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F8D03" w14:textId="1117F619" w:rsidR="00E82DA7" w:rsidRDefault="00806B8A" w:rsidP="00E82DA7">
      <w:r w:rsidRPr="005E3157">
        <w:rPr>
          <w:noProof/>
        </w:rPr>
        <w:drawing>
          <wp:anchor distT="0" distB="0" distL="114300" distR="114300" simplePos="0" relativeHeight="251658240" behindDoc="1" locked="0" layoutInCell="1" allowOverlap="1" wp14:anchorId="2B77F3D5" wp14:editId="1425AD43">
            <wp:simplePos x="0" y="0"/>
            <wp:positionH relativeFrom="margin">
              <wp:align>center</wp:align>
            </wp:positionH>
            <wp:positionV relativeFrom="margin">
              <wp:align>center</wp:align>
            </wp:positionV>
            <wp:extent cx="7578000" cy="10720800"/>
            <wp:effectExtent l="0" t="0" r="4445"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ED4CD0">
        <w:t xml:space="preserve">                          </w:t>
      </w:r>
      <w:r w:rsidR="00645FEA">
        <w:t xml:space="preserve"> </w:t>
      </w:r>
    </w:p>
    <w:p w14:paraId="53FEEC2A" w14:textId="77777777" w:rsidR="00806B8A" w:rsidRDefault="00806B8A">
      <w:pPr>
        <w:spacing w:before="0" w:after="160" w:line="259" w:lineRule="auto"/>
      </w:pPr>
      <w:r>
        <w:br w:type="page"/>
      </w:r>
    </w:p>
    <w:p w14:paraId="1AADF65B" w14:textId="344EF44D" w:rsidR="000E0B74" w:rsidRDefault="000E0B74" w:rsidP="00E17F85">
      <w:pPr>
        <w:rPr>
          <w:noProof/>
        </w:rPr>
      </w:pPr>
      <w:r w:rsidRPr="00661BF0">
        <w:lastRenderedPageBreak/>
        <w:t>© Commonwealth of Au</w:t>
      </w:r>
      <w:r w:rsidRPr="006743FE">
        <w:t>stralia 20</w:t>
      </w:r>
      <w:r w:rsidR="004F4893" w:rsidRPr="006743FE">
        <w:t>2</w:t>
      </w:r>
      <w:r w:rsidR="00A24D27">
        <w:t>3</w:t>
      </w:r>
    </w:p>
    <w:p w14:paraId="1ED0B0A4" w14:textId="4CB12636"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7D395D">
        <w:t xml:space="preserve">. </w:t>
      </w:r>
      <w:r w:rsidRPr="002F1BC2">
        <w:t>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4715442B" w14:textId="77777777" w:rsidR="000E0B74" w:rsidRDefault="000E0B74" w:rsidP="000E0B74">
      <w:pPr>
        <w:pStyle w:val="ChartGraphic"/>
        <w:jc w:val="left"/>
      </w:pPr>
      <w:r w:rsidRPr="00E56DFB">
        <w:rPr>
          <w:noProof/>
          <w:lang w:eastAsia="en-AU"/>
        </w:rPr>
        <w:drawing>
          <wp:inline distT="0" distB="0" distL="0" distR="0" wp14:anchorId="74FFF0FE" wp14:editId="19CD395C">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5E4EF21" w14:textId="66D006BE"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AB67FBC" w14:textId="79DEB58C" w:rsidR="000E0B74" w:rsidRPr="002F1BC2" w:rsidRDefault="000E0B74" w:rsidP="000E0B74">
      <w:pPr>
        <w:ind w:left="709"/>
        <w:rPr>
          <w:i/>
        </w:rPr>
      </w:pPr>
      <w:r w:rsidRPr="002F1BC2">
        <w:rPr>
          <w:i/>
        </w:rPr>
        <w:t xml:space="preserve">Treasury material used </w:t>
      </w:r>
      <w:r w:rsidR="004B14AB">
        <w:rPr>
          <w:i/>
        </w:rPr>
        <w:t>‘</w:t>
      </w:r>
      <w:r w:rsidRPr="002F1BC2">
        <w:rPr>
          <w:i/>
        </w:rPr>
        <w:t>as supplied</w:t>
      </w:r>
      <w:r w:rsidR="004B14AB">
        <w:rPr>
          <w:i/>
        </w:rPr>
        <w:t>’</w:t>
      </w:r>
      <w:r>
        <w:rPr>
          <w:i/>
        </w:rPr>
        <w:t>.</w:t>
      </w:r>
    </w:p>
    <w:p w14:paraId="164F125C" w14:textId="4EE5D8E1"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4B14AB">
        <w:t xml:space="preserve"> – </w:t>
      </w:r>
      <w:r>
        <w:t>then Treasury prefers t</w:t>
      </w:r>
      <w:r w:rsidRPr="00476F09">
        <w:t xml:space="preserve">he following attribution: </w:t>
      </w:r>
    </w:p>
    <w:p w14:paraId="72801CB3" w14:textId="2B75A011" w:rsidR="000E0B74" w:rsidRPr="00A13A11" w:rsidRDefault="000E0B74" w:rsidP="004325E4">
      <w:pPr>
        <w:ind w:left="720"/>
      </w:pPr>
      <w:r w:rsidRPr="002F1BC2">
        <w:rPr>
          <w:i/>
        </w:rPr>
        <w:t xml:space="preserve">Source: </w:t>
      </w:r>
      <w:r w:rsidR="00A736E9">
        <w:rPr>
          <w:i/>
          <w:iCs/>
        </w:rPr>
        <w:t>Centre for Population</w:t>
      </w:r>
      <w:r w:rsidR="004F4893">
        <w:rPr>
          <w:i/>
          <w:iCs/>
        </w:rPr>
        <w:t xml:space="preserve"> </w:t>
      </w:r>
      <w:r w:rsidR="00140C66">
        <w:rPr>
          <w:i/>
          <w:iCs/>
        </w:rPr>
        <w:t>2023</w:t>
      </w:r>
      <w:r w:rsidR="004F4893">
        <w:rPr>
          <w:i/>
          <w:iCs/>
        </w:rPr>
        <w:t xml:space="preserve">, </w:t>
      </w:r>
      <w:r w:rsidR="003E6CA3">
        <w:rPr>
          <w:i/>
          <w:iCs/>
        </w:rPr>
        <w:t>2023 Population Statement</w:t>
      </w:r>
      <w:r w:rsidR="004F4893">
        <w:rPr>
          <w:i/>
          <w:iCs/>
        </w:rPr>
        <w:t xml:space="preserve">, </w:t>
      </w:r>
      <w:r w:rsidR="004325E4">
        <w:rPr>
          <w:i/>
          <w:iCs/>
        </w:rPr>
        <w:br/>
      </w:r>
      <w:r w:rsidR="006E0DCC">
        <w:rPr>
          <w:i/>
          <w:iCs/>
        </w:rPr>
        <w:t>t</w:t>
      </w:r>
      <w:r w:rsidR="004F4893">
        <w:rPr>
          <w:i/>
          <w:iCs/>
        </w:rPr>
        <w:t>he Australian Government, Canberra.</w:t>
      </w:r>
    </w:p>
    <w:p w14:paraId="37D9F19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F1623B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F6518F8" w14:textId="6F4E719C" w:rsidR="000E0B74" w:rsidRPr="006627B4" w:rsidRDefault="000E0B74" w:rsidP="000E0B74">
      <w:pPr>
        <w:ind w:firstLine="720"/>
      </w:pPr>
      <w:r w:rsidRPr="002F1BC2">
        <w:rPr>
          <w:i/>
        </w:rPr>
        <w:t xml:space="preserve">Based on </w:t>
      </w:r>
      <w:r w:rsidR="00A736E9">
        <w:rPr>
          <w:i/>
          <w:iCs/>
        </w:rPr>
        <w:t>Centre for Population</w:t>
      </w:r>
      <w:r w:rsidR="004F4893">
        <w:rPr>
          <w:i/>
          <w:iCs/>
        </w:rPr>
        <w:t xml:space="preserve"> analysis/data.</w:t>
      </w:r>
    </w:p>
    <w:p w14:paraId="747BB4BD" w14:textId="77777777" w:rsidR="000E0B74" w:rsidRPr="006627B4" w:rsidRDefault="000E0B74" w:rsidP="000E0B74">
      <w:pPr>
        <w:spacing w:before="240"/>
        <w:rPr>
          <w:b/>
        </w:rPr>
      </w:pPr>
      <w:r w:rsidRPr="006627B4">
        <w:rPr>
          <w:b/>
        </w:rPr>
        <w:t>Use of the Coat of Arms</w:t>
      </w:r>
    </w:p>
    <w:p w14:paraId="48D19DE9" w14:textId="688331E1"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00476121" w:rsidRPr="00476121">
          <w:rPr>
            <w:rStyle w:val="Hyperlink"/>
          </w:rPr>
          <w:t>www.pmc.gov.au/government/commonwealth</w:t>
        </w:r>
        <w:r w:rsidR="004B14AB">
          <w:rPr>
            <w:rStyle w:val="Hyperlink"/>
          </w:rPr>
          <w:noBreakHyphen/>
        </w:r>
        <w:r w:rsidR="00476121" w:rsidRPr="00476121">
          <w:rPr>
            <w:rStyle w:val="Hyperlink"/>
          </w:rPr>
          <w:t>coat</w:t>
        </w:r>
        <w:r w:rsidR="004B14AB">
          <w:rPr>
            <w:rStyle w:val="Hyperlink"/>
          </w:rPr>
          <w:noBreakHyphen/>
        </w:r>
        <w:r w:rsidR="00476121" w:rsidRPr="00476121">
          <w:rPr>
            <w:rStyle w:val="Hyperlink"/>
          </w:rPr>
          <w:t>arms</w:t>
        </w:r>
      </w:hyperlink>
      <w:r w:rsidRPr="005C503A">
        <w:t>).</w:t>
      </w:r>
    </w:p>
    <w:p w14:paraId="2CA3D92D" w14:textId="77777777" w:rsidR="000E0B74" w:rsidRPr="006627B4" w:rsidRDefault="000E0B74" w:rsidP="000E0B74">
      <w:pPr>
        <w:spacing w:before="240"/>
        <w:rPr>
          <w:b/>
        </w:rPr>
      </w:pPr>
      <w:r>
        <w:rPr>
          <w:b/>
        </w:rPr>
        <w:t>Other u</w:t>
      </w:r>
      <w:r w:rsidRPr="006627B4">
        <w:rPr>
          <w:b/>
        </w:rPr>
        <w:t>ses</w:t>
      </w:r>
    </w:p>
    <w:p w14:paraId="24CF4B8C" w14:textId="77777777" w:rsidR="000E0B74" w:rsidRPr="006627B4" w:rsidRDefault="000E0B74" w:rsidP="000E0B74">
      <w:r>
        <w:t>E</w:t>
      </w:r>
      <w:r w:rsidRPr="006627B4">
        <w:t>nquiries regarding this licence and any other use of this document are welcome at:</w:t>
      </w:r>
    </w:p>
    <w:p w14:paraId="3EBEFA34" w14:textId="6034C93E" w:rsidR="00F836F9" w:rsidRDefault="000E0B74" w:rsidP="006743FE">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008B1AA5" w:rsidRPr="006627B4">
        <w:t xml:space="preserve">Parkes </w:t>
      </w:r>
      <w:r w:rsidR="008B1AA5">
        <w:t>ACT</w:t>
      </w:r>
      <w:r w:rsidRPr="006627B4">
        <w:t xml:space="preserve"> 2600</w:t>
      </w:r>
      <w:r>
        <w:br/>
      </w:r>
      <w:r w:rsidRPr="006627B4">
        <w:t xml:space="preserve">Email: </w:t>
      </w:r>
      <w:hyperlink r:id="rId14" w:history="1">
        <w:r w:rsidR="00570FA2" w:rsidRPr="008574BF">
          <w:rPr>
            <w:rStyle w:val="Hyperlink"/>
          </w:rPr>
          <w:t>media@treasury.gov.au</w:t>
        </w:r>
      </w:hyperlink>
    </w:p>
    <w:p w14:paraId="0D7A1AD3" w14:textId="77777777" w:rsidR="00AC19E9" w:rsidRDefault="00AC19E9">
      <w:pPr>
        <w:spacing w:before="0" w:after="160" w:line="259" w:lineRule="auto"/>
        <w:rPr>
          <w:b/>
          <w:smallCaps/>
          <w:color w:val="FFFFFF" w:themeColor="background1"/>
          <w:spacing w:val="15"/>
          <w:sz w:val="22"/>
          <w:szCs w:val="22"/>
        </w:rPr>
      </w:pPr>
      <w:bookmarkStart w:id="0" w:name="_Toc110260066"/>
      <w:bookmarkStart w:id="1" w:name="_Toc110260182"/>
      <w:bookmarkStart w:id="2" w:name="_Toc110260312"/>
      <w:bookmarkStart w:id="3" w:name="_Toc110263562"/>
      <w:bookmarkStart w:id="4" w:name="_Toc110263857"/>
      <w:bookmarkStart w:id="5" w:name="_Toc110263932"/>
      <w:bookmarkStart w:id="6" w:name="_Toc110264102"/>
      <w:bookmarkStart w:id="7" w:name="_Toc110264638"/>
      <w:bookmarkStart w:id="8" w:name="_Toc110267052"/>
      <w:bookmarkStart w:id="9" w:name="_Toc147329400"/>
      <w:bookmarkStart w:id="10" w:name="_Toc149846492"/>
      <w:bookmarkStart w:id="11" w:name="_Toc149846534"/>
      <w:bookmarkStart w:id="12" w:name="_Toc149846632"/>
      <w:bookmarkStart w:id="13" w:name="_Toc149847575"/>
      <w:bookmarkStart w:id="14" w:name="_Toc149847658"/>
      <w:r>
        <w:br w:type="page"/>
      </w:r>
    </w:p>
    <w:p w14:paraId="26BC334B" w14:textId="5DA491CC" w:rsidR="00476121" w:rsidRPr="004218BD" w:rsidRDefault="00283A10" w:rsidP="004218BD">
      <w:pPr>
        <w:pStyle w:val="Heading1"/>
      </w:pPr>
      <w:bookmarkStart w:id="15" w:name="_Toc151994711"/>
      <w:bookmarkStart w:id="16" w:name="_Toc154050200"/>
      <w:r w:rsidRPr="004218BD">
        <w:lastRenderedPageBreak/>
        <w:t>A</w:t>
      </w:r>
      <w:r w:rsidR="00476121" w:rsidRPr="004218BD">
        <w:t>cknowledgement of country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86601F6" w14:textId="73E4BD05" w:rsidR="0026018E" w:rsidRDefault="0026018E" w:rsidP="004218BD">
      <w:pPr>
        <w:rPr>
          <w:shd w:val="clear" w:color="auto" w:fill="FFFFFF"/>
        </w:rPr>
      </w:pPr>
      <w:r w:rsidRPr="008C5A36">
        <w:rPr>
          <w:shd w:val="clear" w:color="auto" w:fill="FFFFFF"/>
        </w:rPr>
        <w:t>In the spirit of reconciliation</w:t>
      </w:r>
      <w:r w:rsidR="00E07757">
        <w:rPr>
          <w:shd w:val="clear" w:color="auto" w:fill="FFFFFF"/>
        </w:rPr>
        <w:t>, the</w:t>
      </w:r>
      <w:r w:rsidRPr="008C5A36">
        <w:rPr>
          <w:shd w:val="clear" w:color="auto" w:fill="FFFFFF"/>
        </w:rPr>
        <w:t xml:space="preserve"> Treasury acknowledges the Traditional Custodians of country throughout Australia and their connections to land, sea and community. </w:t>
      </w:r>
    </w:p>
    <w:p w14:paraId="5C6614CE" w14:textId="432A5E76" w:rsidR="0026018E" w:rsidRDefault="0026018E" w:rsidP="004218BD">
      <w:r w:rsidRPr="008C5A36">
        <w:rPr>
          <w:shd w:val="clear" w:color="auto" w:fill="FFFFFF"/>
        </w:rPr>
        <w:t>We pay our respect</w:t>
      </w:r>
      <w:r w:rsidRPr="008C5A36">
        <w:t>s</w:t>
      </w:r>
      <w:r w:rsidRPr="008C5A36">
        <w:rPr>
          <w:shd w:val="clear" w:color="auto" w:fill="FFFFFF"/>
        </w:rPr>
        <w:t xml:space="preserve"> to their Elders past and present and extend that respect to all Aboriginal and Torres</w:t>
      </w:r>
      <w:r w:rsidR="00377429">
        <w:rPr>
          <w:shd w:val="clear" w:color="auto" w:fill="FFFFFF"/>
        </w:rPr>
        <w:t> </w:t>
      </w:r>
      <w:r w:rsidRPr="008C5A36">
        <w:rPr>
          <w:shd w:val="clear" w:color="auto" w:fill="FFFFFF"/>
        </w:rPr>
        <w:t>Strait</w:t>
      </w:r>
      <w:r w:rsidR="00377429">
        <w:rPr>
          <w:shd w:val="clear" w:color="auto" w:fill="FFFFFF"/>
        </w:rPr>
        <w:t> </w:t>
      </w:r>
      <w:r w:rsidRPr="008C5A36">
        <w:rPr>
          <w:shd w:val="clear" w:color="auto" w:fill="FFFFFF"/>
        </w:rPr>
        <w:t>Islander peoples.</w:t>
      </w:r>
    </w:p>
    <w:p w14:paraId="4AC814EB" w14:textId="5E34B89D" w:rsidR="00D54F6B" w:rsidRDefault="00CC514B">
      <w:pPr>
        <w:spacing w:before="0" w:after="160" w:line="259" w:lineRule="auto"/>
        <w:rPr>
          <w:b/>
          <w:color w:val="000000" w:themeColor="text1"/>
          <w:szCs w:val="22"/>
        </w:rPr>
      </w:pPr>
      <w:r>
        <w:br w:type="page"/>
      </w:r>
    </w:p>
    <w:p w14:paraId="54FDB105" w14:textId="32D97D76" w:rsidR="00C40D31" w:rsidRPr="00C40D31" w:rsidRDefault="003859CE" w:rsidP="00C40D31">
      <w:pPr>
        <w:pStyle w:val="Heading1"/>
      </w:pPr>
      <w:bookmarkStart w:id="17" w:name="_Toc149847659"/>
      <w:bookmarkStart w:id="18" w:name="_Toc151994712"/>
      <w:bookmarkStart w:id="19" w:name="_Toc152662228"/>
      <w:bookmarkStart w:id="20" w:name="_Toc152662529"/>
      <w:bookmarkStart w:id="21" w:name="_Toc154050201"/>
      <w:r w:rsidRPr="001F1B27">
        <w:lastRenderedPageBreak/>
        <w:t>Contents</w:t>
      </w:r>
      <w:bookmarkEnd w:id="17"/>
      <w:bookmarkEnd w:id="18"/>
      <w:bookmarkEnd w:id="19"/>
      <w:bookmarkEnd w:id="20"/>
      <w:bookmarkEnd w:id="21"/>
    </w:p>
    <w:p w14:paraId="7D5FD352" w14:textId="6E3BCB4C" w:rsidR="00691C04" w:rsidRDefault="008D59CE">
      <w:pPr>
        <w:pStyle w:val="TOC1"/>
        <w:rPr>
          <w:b w:val="0"/>
          <w:color w:val="auto"/>
          <w:sz w:val="22"/>
          <w:lang w:eastAsia="en-AU"/>
        </w:rPr>
      </w:pPr>
      <w:r w:rsidRPr="00F67DB6">
        <w:rPr>
          <w:color w:val="004A7F"/>
        </w:rPr>
        <w:fldChar w:fldCharType="begin"/>
      </w:r>
      <w:r>
        <w:rPr>
          <w:color w:val="004A7F"/>
        </w:rPr>
        <w:instrText xml:space="preserve"> TOC \o "1-2" \h \z \u </w:instrText>
      </w:r>
      <w:r w:rsidRPr="00F67DB6">
        <w:rPr>
          <w:color w:val="004A7F"/>
        </w:rPr>
        <w:fldChar w:fldCharType="separate"/>
      </w:r>
      <w:hyperlink w:anchor="_Toc154050200" w:history="1">
        <w:r w:rsidR="00691C04" w:rsidRPr="00AD1A18">
          <w:rPr>
            <w:rStyle w:val="Hyperlink"/>
          </w:rPr>
          <w:t>Acknowledgement of country</w:t>
        </w:r>
        <w:r w:rsidR="00691C04">
          <w:rPr>
            <w:webHidden/>
          </w:rPr>
          <w:tab/>
        </w:r>
        <w:r w:rsidR="00691C04">
          <w:rPr>
            <w:webHidden/>
          </w:rPr>
          <w:fldChar w:fldCharType="begin"/>
        </w:r>
        <w:r w:rsidR="00691C04">
          <w:rPr>
            <w:webHidden/>
          </w:rPr>
          <w:instrText xml:space="preserve"> PAGEREF _Toc154050200 \h </w:instrText>
        </w:r>
        <w:r w:rsidR="00691C04">
          <w:rPr>
            <w:webHidden/>
          </w:rPr>
        </w:r>
        <w:r w:rsidR="00691C04">
          <w:rPr>
            <w:webHidden/>
          </w:rPr>
          <w:fldChar w:fldCharType="separate"/>
        </w:r>
        <w:r w:rsidR="00CE6FEA">
          <w:rPr>
            <w:webHidden/>
          </w:rPr>
          <w:t>iii</w:t>
        </w:r>
        <w:r w:rsidR="00691C04">
          <w:rPr>
            <w:webHidden/>
          </w:rPr>
          <w:fldChar w:fldCharType="end"/>
        </w:r>
      </w:hyperlink>
    </w:p>
    <w:p w14:paraId="603AE0F5" w14:textId="2FD3E50D" w:rsidR="00691C04" w:rsidRDefault="009A3320">
      <w:pPr>
        <w:pStyle w:val="TOC1"/>
        <w:rPr>
          <w:b w:val="0"/>
          <w:color w:val="auto"/>
          <w:sz w:val="22"/>
          <w:lang w:eastAsia="en-AU"/>
        </w:rPr>
      </w:pPr>
      <w:hyperlink w:anchor="_Toc154050201" w:history="1">
        <w:r w:rsidR="00691C04" w:rsidRPr="00AD1A18">
          <w:rPr>
            <w:rStyle w:val="Hyperlink"/>
          </w:rPr>
          <w:t>Contents</w:t>
        </w:r>
        <w:r w:rsidR="00691C04">
          <w:rPr>
            <w:webHidden/>
          </w:rPr>
          <w:tab/>
        </w:r>
        <w:r w:rsidR="00691C04">
          <w:rPr>
            <w:webHidden/>
          </w:rPr>
          <w:fldChar w:fldCharType="begin"/>
        </w:r>
        <w:r w:rsidR="00691C04">
          <w:rPr>
            <w:webHidden/>
          </w:rPr>
          <w:instrText xml:space="preserve"> PAGEREF _Toc154050201 \h </w:instrText>
        </w:r>
        <w:r w:rsidR="00691C04">
          <w:rPr>
            <w:webHidden/>
          </w:rPr>
        </w:r>
        <w:r w:rsidR="00691C04">
          <w:rPr>
            <w:webHidden/>
          </w:rPr>
          <w:fldChar w:fldCharType="separate"/>
        </w:r>
        <w:r w:rsidR="00CE6FEA">
          <w:rPr>
            <w:webHidden/>
          </w:rPr>
          <w:t>iv</w:t>
        </w:r>
        <w:r w:rsidR="00691C04">
          <w:rPr>
            <w:webHidden/>
          </w:rPr>
          <w:fldChar w:fldCharType="end"/>
        </w:r>
      </w:hyperlink>
    </w:p>
    <w:p w14:paraId="4DD4EDB2" w14:textId="79123C4D" w:rsidR="00691C04" w:rsidRDefault="009A3320">
      <w:pPr>
        <w:pStyle w:val="TOC1"/>
        <w:rPr>
          <w:b w:val="0"/>
          <w:color w:val="auto"/>
          <w:sz w:val="22"/>
          <w:lang w:eastAsia="en-AU"/>
        </w:rPr>
      </w:pPr>
      <w:hyperlink w:anchor="_Toc154050202" w:history="1">
        <w:r w:rsidR="00691C04" w:rsidRPr="00AD1A18">
          <w:rPr>
            <w:rStyle w:val="Hyperlink"/>
          </w:rPr>
          <w:t>From the Treasurer</w:t>
        </w:r>
        <w:r w:rsidR="00691C04">
          <w:rPr>
            <w:webHidden/>
          </w:rPr>
          <w:tab/>
        </w:r>
        <w:r w:rsidR="00691C04">
          <w:rPr>
            <w:webHidden/>
          </w:rPr>
          <w:fldChar w:fldCharType="begin"/>
        </w:r>
        <w:r w:rsidR="00691C04">
          <w:rPr>
            <w:webHidden/>
          </w:rPr>
          <w:instrText xml:space="preserve"> PAGEREF _Toc154050202 \h </w:instrText>
        </w:r>
        <w:r w:rsidR="00691C04">
          <w:rPr>
            <w:webHidden/>
          </w:rPr>
        </w:r>
        <w:r w:rsidR="00691C04">
          <w:rPr>
            <w:webHidden/>
          </w:rPr>
          <w:fldChar w:fldCharType="separate"/>
        </w:r>
        <w:r w:rsidR="00CE6FEA">
          <w:rPr>
            <w:webHidden/>
          </w:rPr>
          <w:t>v</w:t>
        </w:r>
        <w:r w:rsidR="00691C04">
          <w:rPr>
            <w:webHidden/>
          </w:rPr>
          <w:fldChar w:fldCharType="end"/>
        </w:r>
      </w:hyperlink>
    </w:p>
    <w:p w14:paraId="7CAFA592" w14:textId="61674A79" w:rsidR="00691C04" w:rsidRDefault="009A3320">
      <w:pPr>
        <w:pStyle w:val="TOC1"/>
        <w:rPr>
          <w:b w:val="0"/>
          <w:color w:val="auto"/>
          <w:sz w:val="22"/>
          <w:lang w:eastAsia="en-AU"/>
        </w:rPr>
      </w:pPr>
      <w:hyperlink w:anchor="_Toc154050203" w:history="1">
        <w:r w:rsidR="00691C04" w:rsidRPr="00AD1A18">
          <w:rPr>
            <w:rStyle w:val="Hyperlink"/>
          </w:rPr>
          <w:t>Foreword</w:t>
        </w:r>
        <w:r w:rsidR="00691C04">
          <w:rPr>
            <w:webHidden/>
          </w:rPr>
          <w:tab/>
        </w:r>
        <w:r w:rsidR="00691C04">
          <w:rPr>
            <w:webHidden/>
          </w:rPr>
          <w:fldChar w:fldCharType="begin"/>
        </w:r>
        <w:r w:rsidR="00691C04">
          <w:rPr>
            <w:webHidden/>
          </w:rPr>
          <w:instrText xml:space="preserve"> PAGEREF _Toc154050203 \h </w:instrText>
        </w:r>
        <w:r w:rsidR="00691C04">
          <w:rPr>
            <w:webHidden/>
          </w:rPr>
        </w:r>
        <w:r w:rsidR="00691C04">
          <w:rPr>
            <w:webHidden/>
          </w:rPr>
          <w:fldChar w:fldCharType="separate"/>
        </w:r>
        <w:r w:rsidR="00CE6FEA">
          <w:rPr>
            <w:webHidden/>
          </w:rPr>
          <w:t>vi</w:t>
        </w:r>
        <w:r w:rsidR="00691C04">
          <w:rPr>
            <w:webHidden/>
          </w:rPr>
          <w:fldChar w:fldCharType="end"/>
        </w:r>
      </w:hyperlink>
    </w:p>
    <w:p w14:paraId="796FBF0E" w14:textId="0158420D" w:rsidR="00691C04" w:rsidRDefault="009A3320">
      <w:pPr>
        <w:pStyle w:val="TOC1"/>
        <w:rPr>
          <w:b w:val="0"/>
          <w:color w:val="auto"/>
          <w:sz w:val="22"/>
          <w:lang w:eastAsia="en-AU"/>
        </w:rPr>
      </w:pPr>
      <w:hyperlink w:anchor="_Toc154050204" w:history="1">
        <w:r w:rsidR="00691C04" w:rsidRPr="00AD1A18">
          <w:rPr>
            <w:rStyle w:val="Hyperlink"/>
          </w:rPr>
          <w:t>Key points</w:t>
        </w:r>
        <w:r w:rsidR="00691C04">
          <w:rPr>
            <w:webHidden/>
          </w:rPr>
          <w:tab/>
        </w:r>
        <w:r w:rsidR="00691C04">
          <w:rPr>
            <w:webHidden/>
          </w:rPr>
          <w:fldChar w:fldCharType="begin"/>
        </w:r>
        <w:r w:rsidR="00691C04">
          <w:rPr>
            <w:webHidden/>
          </w:rPr>
          <w:instrText xml:space="preserve"> PAGEREF _Toc154050204 \h </w:instrText>
        </w:r>
        <w:r w:rsidR="00691C04">
          <w:rPr>
            <w:webHidden/>
          </w:rPr>
        </w:r>
        <w:r w:rsidR="00691C04">
          <w:rPr>
            <w:webHidden/>
          </w:rPr>
          <w:fldChar w:fldCharType="separate"/>
        </w:r>
        <w:r w:rsidR="00CE6FEA">
          <w:rPr>
            <w:webHidden/>
          </w:rPr>
          <w:t>vii</w:t>
        </w:r>
        <w:r w:rsidR="00691C04">
          <w:rPr>
            <w:webHidden/>
          </w:rPr>
          <w:fldChar w:fldCharType="end"/>
        </w:r>
      </w:hyperlink>
    </w:p>
    <w:p w14:paraId="4F018761" w14:textId="117AF16B" w:rsidR="00691C04" w:rsidRDefault="009A3320">
      <w:pPr>
        <w:pStyle w:val="TOC1"/>
        <w:tabs>
          <w:tab w:val="left" w:pos="660"/>
        </w:tabs>
        <w:rPr>
          <w:b w:val="0"/>
          <w:color w:val="auto"/>
          <w:sz w:val="22"/>
          <w:lang w:eastAsia="en-AU"/>
        </w:rPr>
      </w:pPr>
      <w:hyperlink w:anchor="_Toc154050205" w:history="1">
        <w:r w:rsidR="00691C04" w:rsidRPr="00AD1A18">
          <w:rPr>
            <w:rStyle w:val="Hyperlink"/>
          </w:rPr>
          <w:t>1.</w:t>
        </w:r>
        <w:r w:rsidR="00691C04">
          <w:rPr>
            <w:b w:val="0"/>
            <w:color w:val="auto"/>
            <w:sz w:val="22"/>
            <w:lang w:eastAsia="en-AU"/>
          </w:rPr>
          <w:tab/>
        </w:r>
        <w:r w:rsidR="00691C04" w:rsidRPr="00AD1A18">
          <w:rPr>
            <w:rStyle w:val="Hyperlink"/>
            <w:bCs/>
          </w:rPr>
          <w:t>National</w:t>
        </w:r>
        <w:r w:rsidR="00691C04" w:rsidRPr="00AD1A18">
          <w:rPr>
            <w:rStyle w:val="Hyperlink"/>
          </w:rPr>
          <w:t xml:space="preserve"> population</w:t>
        </w:r>
        <w:r w:rsidR="00691C04">
          <w:rPr>
            <w:webHidden/>
          </w:rPr>
          <w:tab/>
        </w:r>
        <w:r w:rsidR="00691C04">
          <w:rPr>
            <w:webHidden/>
          </w:rPr>
          <w:fldChar w:fldCharType="begin"/>
        </w:r>
        <w:r w:rsidR="00691C04">
          <w:rPr>
            <w:webHidden/>
          </w:rPr>
          <w:instrText xml:space="preserve"> PAGEREF _Toc154050205 \h </w:instrText>
        </w:r>
        <w:r w:rsidR="00691C04">
          <w:rPr>
            <w:webHidden/>
          </w:rPr>
        </w:r>
        <w:r w:rsidR="00691C04">
          <w:rPr>
            <w:webHidden/>
          </w:rPr>
          <w:fldChar w:fldCharType="separate"/>
        </w:r>
        <w:r w:rsidR="00CE6FEA">
          <w:rPr>
            <w:webHidden/>
          </w:rPr>
          <w:t>1</w:t>
        </w:r>
        <w:r w:rsidR="00691C04">
          <w:rPr>
            <w:webHidden/>
          </w:rPr>
          <w:fldChar w:fldCharType="end"/>
        </w:r>
      </w:hyperlink>
    </w:p>
    <w:p w14:paraId="08B3617E" w14:textId="06B40840" w:rsidR="00691C04" w:rsidRDefault="009A3320">
      <w:pPr>
        <w:pStyle w:val="TOC2"/>
        <w:tabs>
          <w:tab w:val="left" w:pos="660"/>
        </w:tabs>
        <w:rPr>
          <w:color w:val="auto"/>
          <w:sz w:val="22"/>
          <w:szCs w:val="22"/>
          <w:lang w:eastAsia="en-AU"/>
        </w:rPr>
      </w:pPr>
      <w:hyperlink w:anchor="_Toc154050206" w:history="1">
        <w:r w:rsidR="00691C04" w:rsidRPr="00AD1A18">
          <w:rPr>
            <w:rStyle w:val="Hyperlink"/>
          </w:rPr>
          <w:t>1.1</w:t>
        </w:r>
        <w:r w:rsidR="00691C04">
          <w:rPr>
            <w:color w:val="auto"/>
            <w:sz w:val="22"/>
            <w:szCs w:val="22"/>
            <w:lang w:eastAsia="en-AU"/>
          </w:rPr>
          <w:tab/>
        </w:r>
        <w:r w:rsidR="00691C04" w:rsidRPr="00AD1A18">
          <w:rPr>
            <w:rStyle w:val="Hyperlink"/>
          </w:rPr>
          <w:t>Overview</w:t>
        </w:r>
        <w:r w:rsidR="00691C04">
          <w:rPr>
            <w:webHidden/>
          </w:rPr>
          <w:tab/>
        </w:r>
        <w:r w:rsidR="00691C04">
          <w:rPr>
            <w:webHidden/>
          </w:rPr>
          <w:fldChar w:fldCharType="begin"/>
        </w:r>
        <w:r w:rsidR="00691C04">
          <w:rPr>
            <w:webHidden/>
          </w:rPr>
          <w:instrText xml:space="preserve"> PAGEREF _Toc154050206 \h </w:instrText>
        </w:r>
        <w:r w:rsidR="00691C04">
          <w:rPr>
            <w:webHidden/>
          </w:rPr>
        </w:r>
        <w:r w:rsidR="00691C04">
          <w:rPr>
            <w:webHidden/>
          </w:rPr>
          <w:fldChar w:fldCharType="separate"/>
        </w:r>
        <w:r w:rsidR="00CE6FEA">
          <w:rPr>
            <w:webHidden/>
          </w:rPr>
          <w:t>1</w:t>
        </w:r>
        <w:r w:rsidR="00691C04">
          <w:rPr>
            <w:webHidden/>
          </w:rPr>
          <w:fldChar w:fldCharType="end"/>
        </w:r>
      </w:hyperlink>
    </w:p>
    <w:p w14:paraId="64AFDCAA" w14:textId="67EB7AE1" w:rsidR="00691C04" w:rsidRDefault="009A3320">
      <w:pPr>
        <w:pStyle w:val="TOC2"/>
        <w:tabs>
          <w:tab w:val="left" w:pos="660"/>
        </w:tabs>
        <w:rPr>
          <w:color w:val="auto"/>
          <w:sz w:val="22"/>
          <w:szCs w:val="22"/>
          <w:lang w:eastAsia="en-AU"/>
        </w:rPr>
      </w:pPr>
      <w:hyperlink w:anchor="_Toc154050207" w:history="1">
        <w:r w:rsidR="00691C04" w:rsidRPr="00AD1A18">
          <w:rPr>
            <w:rStyle w:val="Hyperlink"/>
          </w:rPr>
          <w:t>1.2</w:t>
        </w:r>
        <w:r w:rsidR="00691C04">
          <w:rPr>
            <w:color w:val="auto"/>
            <w:sz w:val="22"/>
            <w:szCs w:val="22"/>
            <w:lang w:eastAsia="en-AU"/>
          </w:rPr>
          <w:tab/>
        </w:r>
        <w:r w:rsidR="00691C04" w:rsidRPr="00AD1A18">
          <w:rPr>
            <w:rStyle w:val="Hyperlink"/>
          </w:rPr>
          <w:t>Net overseas migration</w:t>
        </w:r>
        <w:r w:rsidR="00691C04">
          <w:rPr>
            <w:webHidden/>
          </w:rPr>
          <w:tab/>
        </w:r>
        <w:r w:rsidR="00691C04">
          <w:rPr>
            <w:webHidden/>
          </w:rPr>
          <w:fldChar w:fldCharType="begin"/>
        </w:r>
        <w:r w:rsidR="00691C04">
          <w:rPr>
            <w:webHidden/>
          </w:rPr>
          <w:instrText xml:space="preserve"> PAGEREF _Toc154050207 \h </w:instrText>
        </w:r>
        <w:r w:rsidR="00691C04">
          <w:rPr>
            <w:webHidden/>
          </w:rPr>
        </w:r>
        <w:r w:rsidR="00691C04">
          <w:rPr>
            <w:webHidden/>
          </w:rPr>
          <w:fldChar w:fldCharType="separate"/>
        </w:r>
        <w:r w:rsidR="00CE6FEA">
          <w:rPr>
            <w:webHidden/>
          </w:rPr>
          <w:t>3</w:t>
        </w:r>
        <w:r w:rsidR="00691C04">
          <w:rPr>
            <w:webHidden/>
          </w:rPr>
          <w:fldChar w:fldCharType="end"/>
        </w:r>
      </w:hyperlink>
    </w:p>
    <w:p w14:paraId="49B140F2" w14:textId="60B59AD1" w:rsidR="00691C04" w:rsidRDefault="009A3320">
      <w:pPr>
        <w:pStyle w:val="TOC2"/>
        <w:tabs>
          <w:tab w:val="left" w:pos="660"/>
        </w:tabs>
        <w:rPr>
          <w:color w:val="auto"/>
          <w:sz w:val="22"/>
          <w:szCs w:val="22"/>
          <w:lang w:eastAsia="en-AU"/>
        </w:rPr>
      </w:pPr>
      <w:hyperlink w:anchor="_Toc154050208" w:history="1">
        <w:r w:rsidR="00691C04" w:rsidRPr="00AD1A18">
          <w:rPr>
            <w:rStyle w:val="Hyperlink"/>
          </w:rPr>
          <w:t>1.3</w:t>
        </w:r>
        <w:r w:rsidR="00691C04">
          <w:rPr>
            <w:color w:val="auto"/>
            <w:sz w:val="22"/>
            <w:szCs w:val="22"/>
            <w:lang w:eastAsia="en-AU"/>
          </w:rPr>
          <w:tab/>
        </w:r>
        <w:r w:rsidR="00691C04" w:rsidRPr="00AD1A18">
          <w:rPr>
            <w:rStyle w:val="Hyperlink"/>
          </w:rPr>
          <w:t>Births</w:t>
        </w:r>
        <w:r w:rsidR="00691C04">
          <w:rPr>
            <w:webHidden/>
          </w:rPr>
          <w:tab/>
        </w:r>
        <w:r w:rsidR="00691C04">
          <w:rPr>
            <w:webHidden/>
          </w:rPr>
          <w:fldChar w:fldCharType="begin"/>
        </w:r>
        <w:r w:rsidR="00691C04">
          <w:rPr>
            <w:webHidden/>
          </w:rPr>
          <w:instrText xml:space="preserve"> PAGEREF _Toc154050208 \h </w:instrText>
        </w:r>
        <w:r w:rsidR="00691C04">
          <w:rPr>
            <w:webHidden/>
          </w:rPr>
        </w:r>
        <w:r w:rsidR="00691C04">
          <w:rPr>
            <w:webHidden/>
          </w:rPr>
          <w:fldChar w:fldCharType="separate"/>
        </w:r>
        <w:r w:rsidR="00CE6FEA">
          <w:rPr>
            <w:webHidden/>
          </w:rPr>
          <w:t>7</w:t>
        </w:r>
        <w:r w:rsidR="00691C04">
          <w:rPr>
            <w:webHidden/>
          </w:rPr>
          <w:fldChar w:fldCharType="end"/>
        </w:r>
      </w:hyperlink>
    </w:p>
    <w:p w14:paraId="30155FED" w14:textId="728EBAF7" w:rsidR="00691C04" w:rsidRDefault="009A3320">
      <w:pPr>
        <w:pStyle w:val="TOC2"/>
        <w:tabs>
          <w:tab w:val="left" w:pos="660"/>
        </w:tabs>
        <w:rPr>
          <w:color w:val="auto"/>
          <w:sz w:val="22"/>
          <w:szCs w:val="22"/>
          <w:lang w:eastAsia="en-AU"/>
        </w:rPr>
      </w:pPr>
      <w:hyperlink w:anchor="_Toc154050209" w:history="1">
        <w:r w:rsidR="00691C04" w:rsidRPr="00AD1A18">
          <w:rPr>
            <w:rStyle w:val="Hyperlink"/>
          </w:rPr>
          <w:t>1.4</w:t>
        </w:r>
        <w:r w:rsidR="00691C04">
          <w:rPr>
            <w:color w:val="auto"/>
            <w:sz w:val="22"/>
            <w:szCs w:val="22"/>
            <w:lang w:eastAsia="en-AU"/>
          </w:rPr>
          <w:tab/>
        </w:r>
        <w:r w:rsidR="00691C04" w:rsidRPr="00AD1A18">
          <w:rPr>
            <w:rStyle w:val="Hyperlink"/>
          </w:rPr>
          <w:t>Deaths</w:t>
        </w:r>
        <w:r w:rsidR="00691C04">
          <w:rPr>
            <w:webHidden/>
          </w:rPr>
          <w:tab/>
        </w:r>
        <w:r w:rsidR="00691C04">
          <w:rPr>
            <w:webHidden/>
          </w:rPr>
          <w:fldChar w:fldCharType="begin"/>
        </w:r>
        <w:r w:rsidR="00691C04">
          <w:rPr>
            <w:webHidden/>
          </w:rPr>
          <w:instrText xml:space="preserve"> PAGEREF _Toc154050209 \h </w:instrText>
        </w:r>
        <w:r w:rsidR="00691C04">
          <w:rPr>
            <w:webHidden/>
          </w:rPr>
        </w:r>
        <w:r w:rsidR="00691C04">
          <w:rPr>
            <w:webHidden/>
          </w:rPr>
          <w:fldChar w:fldCharType="separate"/>
        </w:r>
        <w:r w:rsidR="00CE6FEA">
          <w:rPr>
            <w:webHidden/>
          </w:rPr>
          <w:t>11</w:t>
        </w:r>
        <w:r w:rsidR="00691C04">
          <w:rPr>
            <w:webHidden/>
          </w:rPr>
          <w:fldChar w:fldCharType="end"/>
        </w:r>
      </w:hyperlink>
    </w:p>
    <w:p w14:paraId="3F0DE309" w14:textId="7C3ED0E3" w:rsidR="00691C04" w:rsidRDefault="009A3320">
      <w:pPr>
        <w:pStyle w:val="TOC1"/>
        <w:tabs>
          <w:tab w:val="left" w:pos="660"/>
        </w:tabs>
        <w:rPr>
          <w:b w:val="0"/>
          <w:color w:val="auto"/>
          <w:sz w:val="22"/>
          <w:lang w:eastAsia="en-AU"/>
        </w:rPr>
      </w:pPr>
      <w:hyperlink w:anchor="_Toc154050210" w:history="1">
        <w:r w:rsidR="00691C04" w:rsidRPr="00AD1A18">
          <w:rPr>
            <w:rStyle w:val="Hyperlink"/>
          </w:rPr>
          <w:t>2.</w:t>
        </w:r>
        <w:r w:rsidR="00691C04">
          <w:rPr>
            <w:b w:val="0"/>
            <w:color w:val="auto"/>
            <w:sz w:val="22"/>
            <w:lang w:eastAsia="en-AU"/>
          </w:rPr>
          <w:tab/>
        </w:r>
        <w:r w:rsidR="00691C04" w:rsidRPr="00AD1A18">
          <w:rPr>
            <w:rStyle w:val="Hyperlink"/>
          </w:rPr>
          <w:t>Sub</w:t>
        </w:r>
        <w:r w:rsidR="00691C04" w:rsidRPr="00AD1A18">
          <w:rPr>
            <w:rStyle w:val="Hyperlink"/>
          </w:rPr>
          <w:noBreakHyphen/>
          <w:t>national populations</w:t>
        </w:r>
        <w:r w:rsidR="00691C04">
          <w:rPr>
            <w:webHidden/>
          </w:rPr>
          <w:tab/>
        </w:r>
        <w:r w:rsidR="00691C04">
          <w:rPr>
            <w:webHidden/>
          </w:rPr>
          <w:fldChar w:fldCharType="begin"/>
        </w:r>
        <w:r w:rsidR="00691C04">
          <w:rPr>
            <w:webHidden/>
          </w:rPr>
          <w:instrText xml:space="preserve"> PAGEREF _Toc154050210 \h </w:instrText>
        </w:r>
        <w:r w:rsidR="00691C04">
          <w:rPr>
            <w:webHidden/>
          </w:rPr>
        </w:r>
        <w:r w:rsidR="00691C04">
          <w:rPr>
            <w:webHidden/>
          </w:rPr>
          <w:fldChar w:fldCharType="separate"/>
        </w:r>
        <w:r w:rsidR="00CE6FEA">
          <w:rPr>
            <w:webHidden/>
          </w:rPr>
          <w:t>15</w:t>
        </w:r>
        <w:r w:rsidR="00691C04">
          <w:rPr>
            <w:webHidden/>
          </w:rPr>
          <w:fldChar w:fldCharType="end"/>
        </w:r>
      </w:hyperlink>
    </w:p>
    <w:p w14:paraId="12CBA53E" w14:textId="10F0EA40" w:rsidR="00691C04" w:rsidRDefault="009A3320">
      <w:pPr>
        <w:pStyle w:val="TOC2"/>
        <w:tabs>
          <w:tab w:val="left" w:pos="660"/>
        </w:tabs>
        <w:rPr>
          <w:color w:val="auto"/>
          <w:sz w:val="22"/>
          <w:szCs w:val="22"/>
          <w:lang w:eastAsia="en-AU"/>
        </w:rPr>
      </w:pPr>
      <w:hyperlink w:anchor="_Toc154050211" w:history="1">
        <w:r w:rsidR="00691C04" w:rsidRPr="00AD1A18">
          <w:rPr>
            <w:rStyle w:val="Hyperlink"/>
          </w:rPr>
          <w:t>2.1</w:t>
        </w:r>
        <w:r w:rsidR="00691C04">
          <w:rPr>
            <w:color w:val="auto"/>
            <w:sz w:val="22"/>
            <w:szCs w:val="22"/>
            <w:lang w:eastAsia="en-AU"/>
          </w:rPr>
          <w:tab/>
        </w:r>
        <w:r w:rsidR="00691C04" w:rsidRPr="00AD1A18">
          <w:rPr>
            <w:rStyle w:val="Hyperlink"/>
          </w:rPr>
          <w:t>Summary</w:t>
        </w:r>
        <w:r w:rsidR="00691C04">
          <w:rPr>
            <w:webHidden/>
          </w:rPr>
          <w:tab/>
        </w:r>
        <w:r w:rsidR="00691C04">
          <w:rPr>
            <w:webHidden/>
          </w:rPr>
          <w:fldChar w:fldCharType="begin"/>
        </w:r>
        <w:r w:rsidR="00691C04">
          <w:rPr>
            <w:webHidden/>
          </w:rPr>
          <w:instrText xml:space="preserve"> PAGEREF _Toc154050211 \h </w:instrText>
        </w:r>
        <w:r w:rsidR="00691C04">
          <w:rPr>
            <w:webHidden/>
          </w:rPr>
        </w:r>
        <w:r w:rsidR="00691C04">
          <w:rPr>
            <w:webHidden/>
          </w:rPr>
          <w:fldChar w:fldCharType="separate"/>
        </w:r>
        <w:r w:rsidR="00CE6FEA">
          <w:rPr>
            <w:webHidden/>
          </w:rPr>
          <w:t>15</w:t>
        </w:r>
        <w:r w:rsidR="00691C04">
          <w:rPr>
            <w:webHidden/>
          </w:rPr>
          <w:fldChar w:fldCharType="end"/>
        </w:r>
      </w:hyperlink>
    </w:p>
    <w:p w14:paraId="298EEE40" w14:textId="02665EE4" w:rsidR="00691C04" w:rsidRDefault="009A3320">
      <w:pPr>
        <w:pStyle w:val="TOC2"/>
        <w:tabs>
          <w:tab w:val="left" w:pos="660"/>
        </w:tabs>
        <w:rPr>
          <w:color w:val="auto"/>
          <w:sz w:val="22"/>
          <w:szCs w:val="22"/>
          <w:lang w:eastAsia="en-AU"/>
        </w:rPr>
      </w:pPr>
      <w:hyperlink w:anchor="_Toc154050212" w:history="1">
        <w:r w:rsidR="00691C04" w:rsidRPr="00AD1A18">
          <w:rPr>
            <w:rStyle w:val="Hyperlink"/>
          </w:rPr>
          <w:t>2.2</w:t>
        </w:r>
        <w:r w:rsidR="00691C04">
          <w:rPr>
            <w:color w:val="auto"/>
            <w:sz w:val="22"/>
            <w:szCs w:val="22"/>
            <w:lang w:eastAsia="en-AU"/>
          </w:rPr>
          <w:tab/>
        </w:r>
        <w:r w:rsidR="00691C04" w:rsidRPr="00AD1A18">
          <w:rPr>
            <w:rStyle w:val="Hyperlink"/>
          </w:rPr>
          <w:t>New South Wales</w:t>
        </w:r>
        <w:r w:rsidR="00691C04">
          <w:rPr>
            <w:webHidden/>
          </w:rPr>
          <w:tab/>
        </w:r>
        <w:r w:rsidR="00691C04">
          <w:rPr>
            <w:webHidden/>
          </w:rPr>
          <w:fldChar w:fldCharType="begin"/>
        </w:r>
        <w:r w:rsidR="00691C04">
          <w:rPr>
            <w:webHidden/>
          </w:rPr>
          <w:instrText xml:space="preserve"> PAGEREF _Toc154050212 \h </w:instrText>
        </w:r>
        <w:r w:rsidR="00691C04">
          <w:rPr>
            <w:webHidden/>
          </w:rPr>
        </w:r>
        <w:r w:rsidR="00691C04">
          <w:rPr>
            <w:webHidden/>
          </w:rPr>
          <w:fldChar w:fldCharType="separate"/>
        </w:r>
        <w:r w:rsidR="00CE6FEA">
          <w:rPr>
            <w:webHidden/>
          </w:rPr>
          <w:t>20</w:t>
        </w:r>
        <w:r w:rsidR="00691C04">
          <w:rPr>
            <w:webHidden/>
          </w:rPr>
          <w:fldChar w:fldCharType="end"/>
        </w:r>
      </w:hyperlink>
    </w:p>
    <w:p w14:paraId="6B56E5F6" w14:textId="0837D1BF" w:rsidR="00691C04" w:rsidRDefault="009A3320">
      <w:pPr>
        <w:pStyle w:val="TOC2"/>
        <w:tabs>
          <w:tab w:val="left" w:pos="660"/>
        </w:tabs>
        <w:rPr>
          <w:color w:val="auto"/>
          <w:sz w:val="22"/>
          <w:szCs w:val="22"/>
          <w:lang w:eastAsia="en-AU"/>
        </w:rPr>
      </w:pPr>
      <w:hyperlink w:anchor="_Toc154050213" w:history="1">
        <w:r w:rsidR="00691C04" w:rsidRPr="00AD1A18">
          <w:rPr>
            <w:rStyle w:val="Hyperlink"/>
          </w:rPr>
          <w:t>2.3</w:t>
        </w:r>
        <w:r w:rsidR="00691C04">
          <w:rPr>
            <w:color w:val="auto"/>
            <w:sz w:val="22"/>
            <w:szCs w:val="22"/>
            <w:lang w:eastAsia="en-AU"/>
          </w:rPr>
          <w:tab/>
        </w:r>
        <w:r w:rsidR="00691C04" w:rsidRPr="00AD1A18">
          <w:rPr>
            <w:rStyle w:val="Hyperlink"/>
          </w:rPr>
          <w:t>Victoria</w:t>
        </w:r>
        <w:r w:rsidR="00691C04">
          <w:rPr>
            <w:webHidden/>
          </w:rPr>
          <w:tab/>
        </w:r>
        <w:r w:rsidR="00691C04">
          <w:rPr>
            <w:webHidden/>
          </w:rPr>
          <w:fldChar w:fldCharType="begin"/>
        </w:r>
        <w:r w:rsidR="00691C04">
          <w:rPr>
            <w:webHidden/>
          </w:rPr>
          <w:instrText xml:space="preserve"> PAGEREF _Toc154050213 \h </w:instrText>
        </w:r>
        <w:r w:rsidR="00691C04">
          <w:rPr>
            <w:webHidden/>
          </w:rPr>
        </w:r>
        <w:r w:rsidR="00691C04">
          <w:rPr>
            <w:webHidden/>
          </w:rPr>
          <w:fldChar w:fldCharType="separate"/>
        </w:r>
        <w:r w:rsidR="00CE6FEA">
          <w:rPr>
            <w:webHidden/>
          </w:rPr>
          <w:t>23</w:t>
        </w:r>
        <w:r w:rsidR="00691C04">
          <w:rPr>
            <w:webHidden/>
          </w:rPr>
          <w:fldChar w:fldCharType="end"/>
        </w:r>
      </w:hyperlink>
    </w:p>
    <w:p w14:paraId="7FC110F7" w14:textId="33BC101D" w:rsidR="00691C04" w:rsidRDefault="009A3320">
      <w:pPr>
        <w:pStyle w:val="TOC2"/>
        <w:tabs>
          <w:tab w:val="left" w:pos="660"/>
        </w:tabs>
        <w:rPr>
          <w:color w:val="auto"/>
          <w:sz w:val="22"/>
          <w:szCs w:val="22"/>
          <w:lang w:eastAsia="en-AU"/>
        </w:rPr>
      </w:pPr>
      <w:hyperlink w:anchor="_Toc154050214" w:history="1">
        <w:r w:rsidR="00691C04" w:rsidRPr="00AD1A18">
          <w:rPr>
            <w:rStyle w:val="Hyperlink"/>
          </w:rPr>
          <w:t>2.4</w:t>
        </w:r>
        <w:r w:rsidR="00691C04">
          <w:rPr>
            <w:color w:val="auto"/>
            <w:sz w:val="22"/>
            <w:szCs w:val="22"/>
            <w:lang w:eastAsia="en-AU"/>
          </w:rPr>
          <w:tab/>
        </w:r>
        <w:r w:rsidR="00691C04" w:rsidRPr="00AD1A18">
          <w:rPr>
            <w:rStyle w:val="Hyperlink"/>
          </w:rPr>
          <w:t>Queensland</w:t>
        </w:r>
        <w:r w:rsidR="00691C04">
          <w:rPr>
            <w:webHidden/>
          </w:rPr>
          <w:tab/>
        </w:r>
        <w:r w:rsidR="00691C04">
          <w:rPr>
            <w:webHidden/>
          </w:rPr>
          <w:fldChar w:fldCharType="begin"/>
        </w:r>
        <w:r w:rsidR="00691C04">
          <w:rPr>
            <w:webHidden/>
          </w:rPr>
          <w:instrText xml:space="preserve"> PAGEREF _Toc154050214 \h </w:instrText>
        </w:r>
        <w:r w:rsidR="00691C04">
          <w:rPr>
            <w:webHidden/>
          </w:rPr>
        </w:r>
        <w:r w:rsidR="00691C04">
          <w:rPr>
            <w:webHidden/>
          </w:rPr>
          <w:fldChar w:fldCharType="separate"/>
        </w:r>
        <w:r w:rsidR="00CE6FEA">
          <w:rPr>
            <w:webHidden/>
          </w:rPr>
          <w:t>26</w:t>
        </w:r>
        <w:r w:rsidR="00691C04">
          <w:rPr>
            <w:webHidden/>
          </w:rPr>
          <w:fldChar w:fldCharType="end"/>
        </w:r>
      </w:hyperlink>
    </w:p>
    <w:p w14:paraId="2CB4C4A6" w14:textId="62170760" w:rsidR="00691C04" w:rsidRDefault="009A3320">
      <w:pPr>
        <w:pStyle w:val="TOC2"/>
        <w:tabs>
          <w:tab w:val="left" w:pos="660"/>
        </w:tabs>
        <w:rPr>
          <w:color w:val="auto"/>
          <w:sz w:val="22"/>
          <w:szCs w:val="22"/>
          <w:lang w:eastAsia="en-AU"/>
        </w:rPr>
      </w:pPr>
      <w:hyperlink w:anchor="_Toc154050215" w:history="1">
        <w:r w:rsidR="00691C04" w:rsidRPr="00AD1A18">
          <w:rPr>
            <w:rStyle w:val="Hyperlink"/>
          </w:rPr>
          <w:t>2.5</w:t>
        </w:r>
        <w:r w:rsidR="00691C04">
          <w:rPr>
            <w:color w:val="auto"/>
            <w:sz w:val="22"/>
            <w:szCs w:val="22"/>
            <w:lang w:eastAsia="en-AU"/>
          </w:rPr>
          <w:tab/>
        </w:r>
        <w:r w:rsidR="00691C04" w:rsidRPr="00AD1A18">
          <w:rPr>
            <w:rStyle w:val="Hyperlink"/>
          </w:rPr>
          <w:t>South Australia</w:t>
        </w:r>
        <w:r w:rsidR="00691C04">
          <w:rPr>
            <w:webHidden/>
          </w:rPr>
          <w:tab/>
        </w:r>
        <w:r w:rsidR="00691C04">
          <w:rPr>
            <w:webHidden/>
          </w:rPr>
          <w:fldChar w:fldCharType="begin"/>
        </w:r>
        <w:r w:rsidR="00691C04">
          <w:rPr>
            <w:webHidden/>
          </w:rPr>
          <w:instrText xml:space="preserve"> PAGEREF _Toc154050215 \h </w:instrText>
        </w:r>
        <w:r w:rsidR="00691C04">
          <w:rPr>
            <w:webHidden/>
          </w:rPr>
        </w:r>
        <w:r w:rsidR="00691C04">
          <w:rPr>
            <w:webHidden/>
          </w:rPr>
          <w:fldChar w:fldCharType="separate"/>
        </w:r>
        <w:r w:rsidR="00CE6FEA">
          <w:rPr>
            <w:webHidden/>
          </w:rPr>
          <w:t>29</w:t>
        </w:r>
        <w:r w:rsidR="00691C04">
          <w:rPr>
            <w:webHidden/>
          </w:rPr>
          <w:fldChar w:fldCharType="end"/>
        </w:r>
      </w:hyperlink>
    </w:p>
    <w:p w14:paraId="2DE8E3F4" w14:textId="3FBB208B" w:rsidR="00691C04" w:rsidRDefault="009A3320">
      <w:pPr>
        <w:pStyle w:val="TOC2"/>
        <w:tabs>
          <w:tab w:val="left" w:pos="660"/>
        </w:tabs>
        <w:rPr>
          <w:color w:val="auto"/>
          <w:sz w:val="22"/>
          <w:szCs w:val="22"/>
          <w:lang w:eastAsia="en-AU"/>
        </w:rPr>
      </w:pPr>
      <w:hyperlink w:anchor="_Toc154050216" w:history="1">
        <w:r w:rsidR="00691C04" w:rsidRPr="00AD1A18">
          <w:rPr>
            <w:rStyle w:val="Hyperlink"/>
          </w:rPr>
          <w:t>2.6</w:t>
        </w:r>
        <w:r w:rsidR="00691C04">
          <w:rPr>
            <w:color w:val="auto"/>
            <w:sz w:val="22"/>
            <w:szCs w:val="22"/>
            <w:lang w:eastAsia="en-AU"/>
          </w:rPr>
          <w:tab/>
        </w:r>
        <w:r w:rsidR="00691C04" w:rsidRPr="00AD1A18">
          <w:rPr>
            <w:rStyle w:val="Hyperlink"/>
          </w:rPr>
          <w:t>Western Australia</w:t>
        </w:r>
        <w:r w:rsidR="00691C04">
          <w:rPr>
            <w:webHidden/>
          </w:rPr>
          <w:tab/>
        </w:r>
        <w:r w:rsidR="00691C04">
          <w:rPr>
            <w:webHidden/>
          </w:rPr>
          <w:fldChar w:fldCharType="begin"/>
        </w:r>
        <w:r w:rsidR="00691C04">
          <w:rPr>
            <w:webHidden/>
          </w:rPr>
          <w:instrText xml:space="preserve"> PAGEREF _Toc154050216 \h </w:instrText>
        </w:r>
        <w:r w:rsidR="00691C04">
          <w:rPr>
            <w:webHidden/>
          </w:rPr>
        </w:r>
        <w:r w:rsidR="00691C04">
          <w:rPr>
            <w:webHidden/>
          </w:rPr>
          <w:fldChar w:fldCharType="separate"/>
        </w:r>
        <w:r w:rsidR="00CE6FEA">
          <w:rPr>
            <w:webHidden/>
          </w:rPr>
          <w:t>32</w:t>
        </w:r>
        <w:r w:rsidR="00691C04">
          <w:rPr>
            <w:webHidden/>
          </w:rPr>
          <w:fldChar w:fldCharType="end"/>
        </w:r>
      </w:hyperlink>
    </w:p>
    <w:p w14:paraId="5A7DE4B3" w14:textId="083179D9" w:rsidR="00691C04" w:rsidRDefault="009A3320">
      <w:pPr>
        <w:pStyle w:val="TOC2"/>
        <w:tabs>
          <w:tab w:val="left" w:pos="660"/>
        </w:tabs>
        <w:rPr>
          <w:color w:val="auto"/>
          <w:sz w:val="22"/>
          <w:szCs w:val="22"/>
          <w:lang w:eastAsia="en-AU"/>
        </w:rPr>
      </w:pPr>
      <w:hyperlink w:anchor="_Toc154050217" w:history="1">
        <w:r w:rsidR="00691C04" w:rsidRPr="00AD1A18">
          <w:rPr>
            <w:rStyle w:val="Hyperlink"/>
          </w:rPr>
          <w:t>2.7</w:t>
        </w:r>
        <w:r w:rsidR="00691C04">
          <w:rPr>
            <w:color w:val="auto"/>
            <w:sz w:val="22"/>
            <w:szCs w:val="22"/>
            <w:lang w:eastAsia="en-AU"/>
          </w:rPr>
          <w:tab/>
        </w:r>
        <w:r w:rsidR="00691C04" w:rsidRPr="00AD1A18">
          <w:rPr>
            <w:rStyle w:val="Hyperlink"/>
          </w:rPr>
          <w:t>Tasmania</w:t>
        </w:r>
        <w:r w:rsidR="00691C04">
          <w:rPr>
            <w:webHidden/>
          </w:rPr>
          <w:tab/>
        </w:r>
        <w:r w:rsidR="00691C04">
          <w:rPr>
            <w:webHidden/>
          </w:rPr>
          <w:fldChar w:fldCharType="begin"/>
        </w:r>
        <w:r w:rsidR="00691C04">
          <w:rPr>
            <w:webHidden/>
          </w:rPr>
          <w:instrText xml:space="preserve"> PAGEREF _Toc154050217 \h </w:instrText>
        </w:r>
        <w:r w:rsidR="00691C04">
          <w:rPr>
            <w:webHidden/>
          </w:rPr>
        </w:r>
        <w:r w:rsidR="00691C04">
          <w:rPr>
            <w:webHidden/>
          </w:rPr>
          <w:fldChar w:fldCharType="separate"/>
        </w:r>
        <w:r w:rsidR="00CE6FEA">
          <w:rPr>
            <w:webHidden/>
          </w:rPr>
          <w:t>35</w:t>
        </w:r>
        <w:r w:rsidR="00691C04">
          <w:rPr>
            <w:webHidden/>
          </w:rPr>
          <w:fldChar w:fldCharType="end"/>
        </w:r>
      </w:hyperlink>
    </w:p>
    <w:p w14:paraId="2ABB97CC" w14:textId="6BE94E0B" w:rsidR="00691C04" w:rsidRDefault="009A3320">
      <w:pPr>
        <w:pStyle w:val="TOC2"/>
        <w:tabs>
          <w:tab w:val="left" w:pos="660"/>
        </w:tabs>
        <w:rPr>
          <w:color w:val="auto"/>
          <w:sz w:val="22"/>
          <w:szCs w:val="22"/>
          <w:lang w:eastAsia="en-AU"/>
        </w:rPr>
      </w:pPr>
      <w:hyperlink w:anchor="_Toc154050218" w:history="1">
        <w:r w:rsidR="00691C04" w:rsidRPr="00AD1A18">
          <w:rPr>
            <w:rStyle w:val="Hyperlink"/>
          </w:rPr>
          <w:t>2.8</w:t>
        </w:r>
        <w:r w:rsidR="00691C04">
          <w:rPr>
            <w:color w:val="auto"/>
            <w:sz w:val="22"/>
            <w:szCs w:val="22"/>
            <w:lang w:eastAsia="en-AU"/>
          </w:rPr>
          <w:tab/>
        </w:r>
        <w:r w:rsidR="00691C04" w:rsidRPr="00AD1A18">
          <w:rPr>
            <w:rStyle w:val="Hyperlink"/>
          </w:rPr>
          <w:t>Northern Territory</w:t>
        </w:r>
        <w:r w:rsidR="00691C04">
          <w:rPr>
            <w:webHidden/>
          </w:rPr>
          <w:tab/>
        </w:r>
        <w:r w:rsidR="00691C04">
          <w:rPr>
            <w:webHidden/>
          </w:rPr>
          <w:fldChar w:fldCharType="begin"/>
        </w:r>
        <w:r w:rsidR="00691C04">
          <w:rPr>
            <w:webHidden/>
          </w:rPr>
          <w:instrText xml:space="preserve"> PAGEREF _Toc154050218 \h </w:instrText>
        </w:r>
        <w:r w:rsidR="00691C04">
          <w:rPr>
            <w:webHidden/>
          </w:rPr>
        </w:r>
        <w:r w:rsidR="00691C04">
          <w:rPr>
            <w:webHidden/>
          </w:rPr>
          <w:fldChar w:fldCharType="separate"/>
        </w:r>
        <w:r w:rsidR="00CE6FEA">
          <w:rPr>
            <w:webHidden/>
          </w:rPr>
          <w:t>38</w:t>
        </w:r>
        <w:r w:rsidR="00691C04">
          <w:rPr>
            <w:webHidden/>
          </w:rPr>
          <w:fldChar w:fldCharType="end"/>
        </w:r>
      </w:hyperlink>
    </w:p>
    <w:p w14:paraId="79BB2EBE" w14:textId="44062259" w:rsidR="00691C04" w:rsidRDefault="009A3320">
      <w:pPr>
        <w:pStyle w:val="TOC2"/>
        <w:tabs>
          <w:tab w:val="left" w:pos="660"/>
        </w:tabs>
        <w:rPr>
          <w:color w:val="auto"/>
          <w:sz w:val="22"/>
          <w:szCs w:val="22"/>
          <w:lang w:eastAsia="en-AU"/>
        </w:rPr>
      </w:pPr>
      <w:hyperlink w:anchor="_Toc154050219" w:history="1">
        <w:r w:rsidR="00691C04" w:rsidRPr="00AD1A18">
          <w:rPr>
            <w:rStyle w:val="Hyperlink"/>
          </w:rPr>
          <w:t>2.9</w:t>
        </w:r>
        <w:r w:rsidR="00691C04">
          <w:rPr>
            <w:color w:val="auto"/>
            <w:sz w:val="22"/>
            <w:szCs w:val="22"/>
            <w:lang w:eastAsia="en-AU"/>
          </w:rPr>
          <w:tab/>
        </w:r>
        <w:r w:rsidR="00691C04" w:rsidRPr="00AD1A18">
          <w:rPr>
            <w:rStyle w:val="Hyperlink"/>
          </w:rPr>
          <w:t>Australian Capital Territory</w:t>
        </w:r>
        <w:r w:rsidR="00691C04">
          <w:rPr>
            <w:webHidden/>
          </w:rPr>
          <w:tab/>
        </w:r>
        <w:r w:rsidR="00691C04">
          <w:rPr>
            <w:webHidden/>
          </w:rPr>
          <w:fldChar w:fldCharType="begin"/>
        </w:r>
        <w:r w:rsidR="00691C04">
          <w:rPr>
            <w:webHidden/>
          </w:rPr>
          <w:instrText xml:space="preserve"> PAGEREF _Toc154050219 \h </w:instrText>
        </w:r>
        <w:r w:rsidR="00691C04">
          <w:rPr>
            <w:webHidden/>
          </w:rPr>
        </w:r>
        <w:r w:rsidR="00691C04">
          <w:rPr>
            <w:webHidden/>
          </w:rPr>
          <w:fldChar w:fldCharType="separate"/>
        </w:r>
        <w:r w:rsidR="00CE6FEA">
          <w:rPr>
            <w:webHidden/>
          </w:rPr>
          <w:t>41</w:t>
        </w:r>
        <w:r w:rsidR="00691C04">
          <w:rPr>
            <w:webHidden/>
          </w:rPr>
          <w:fldChar w:fldCharType="end"/>
        </w:r>
      </w:hyperlink>
    </w:p>
    <w:p w14:paraId="1CFD33B9" w14:textId="238D9813" w:rsidR="00691C04" w:rsidRDefault="009A3320">
      <w:pPr>
        <w:pStyle w:val="TOC1"/>
        <w:tabs>
          <w:tab w:val="left" w:pos="660"/>
        </w:tabs>
        <w:rPr>
          <w:b w:val="0"/>
          <w:color w:val="auto"/>
          <w:sz w:val="22"/>
          <w:lang w:eastAsia="en-AU"/>
        </w:rPr>
      </w:pPr>
      <w:hyperlink w:anchor="_Toc154050220" w:history="1">
        <w:r w:rsidR="00691C04" w:rsidRPr="00AD1A18">
          <w:rPr>
            <w:rStyle w:val="Hyperlink"/>
          </w:rPr>
          <w:t>3.</w:t>
        </w:r>
        <w:r w:rsidR="00691C04">
          <w:rPr>
            <w:b w:val="0"/>
            <w:color w:val="auto"/>
            <w:sz w:val="22"/>
            <w:lang w:eastAsia="en-AU"/>
          </w:rPr>
          <w:tab/>
        </w:r>
        <w:r w:rsidR="00691C04" w:rsidRPr="00AD1A18">
          <w:rPr>
            <w:rStyle w:val="Hyperlink"/>
          </w:rPr>
          <w:t>Technical appendix</w:t>
        </w:r>
        <w:r w:rsidR="00691C04">
          <w:rPr>
            <w:webHidden/>
          </w:rPr>
          <w:tab/>
        </w:r>
        <w:r w:rsidR="00691C04">
          <w:rPr>
            <w:webHidden/>
          </w:rPr>
          <w:fldChar w:fldCharType="begin"/>
        </w:r>
        <w:r w:rsidR="00691C04">
          <w:rPr>
            <w:webHidden/>
          </w:rPr>
          <w:instrText xml:space="preserve"> PAGEREF _Toc154050220 \h </w:instrText>
        </w:r>
        <w:r w:rsidR="00691C04">
          <w:rPr>
            <w:webHidden/>
          </w:rPr>
        </w:r>
        <w:r w:rsidR="00691C04">
          <w:rPr>
            <w:webHidden/>
          </w:rPr>
          <w:fldChar w:fldCharType="separate"/>
        </w:r>
        <w:r w:rsidR="00CE6FEA">
          <w:rPr>
            <w:webHidden/>
          </w:rPr>
          <w:t>43</w:t>
        </w:r>
        <w:r w:rsidR="00691C04">
          <w:rPr>
            <w:webHidden/>
          </w:rPr>
          <w:fldChar w:fldCharType="end"/>
        </w:r>
      </w:hyperlink>
    </w:p>
    <w:p w14:paraId="38B60E0F" w14:textId="1BA83AFF" w:rsidR="00691C04" w:rsidRDefault="009A3320">
      <w:pPr>
        <w:pStyle w:val="TOC2"/>
        <w:tabs>
          <w:tab w:val="left" w:pos="660"/>
        </w:tabs>
        <w:rPr>
          <w:color w:val="auto"/>
          <w:sz w:val="22"/>
          <w:szCs w:val="22"/>
          <w:lang w:eastAsia="en-AU"/>
        </w:rPr>
      </w:pPr>
      <w:hyperlink w:anchor="_Toc154050221" w:history="1">
        <w:r w:rsidR="00691C04" w:rsidRPr="00AD1A18">
          <w:rPr>
            <w:rStyle w:val="Hyperlink"/>
          </w:rPr>
          <w:t>3.1</w:t>
        </w:r>
        <w:r w:rsidR="00691C04">
          <w:rPr>
            <w:color w:val="auto"/>
            <w:sz w:val="22"/>
            <w:szCs w:val="22"/>
            <w:lang w:eastAsia="en-AU"/>
          </w:rPr>
          <w:tab/>
        </w:r>
        <w:r w:rsidR="00691C04" w:rsidRPr="00AD1A18">
          <w:rPr>
            <w:rStyle w:val="Hyperlink"/>
          </w:rPr>
          <w:t>Assumptions</w:t>
        </w:r>
        <w:r w:rsidR="00691C04">
          <w:rPr>
            <w:webHidden/>
          </w:rPr>
          <w:tab/>
        </w:r>
        <w:r w:rsidR="00691C04">
          <w:rPr>
            <w:webHidden/>
          </w:rPr>
          <w:fldChar w:fldCharType="begin"/>
        </w:r>
        <w:r w:rsidR="00691C04">
          <w:rPr>
            <w:webHidden/>
          </w:rPr>
          <w:instrText xml:space="preserve"> PAGEREF _Toc154050221 \h </w:instrText>
        </w:r>
        <w:r w:rsidR="00691C04">
          <w:rPr>
            <w:webHidden/>
          </w:rPr>
        </w:r>
        <w:r w:rsidR="00691C04">
          <w:rPr>
            <w:webHidden/>
          </w:rPr>
          <w:fldChar w:fldCharType="separate"/>
        </w:r>
        <w:r w:rsidR="00CE6FEA">
          <w:rPr>
            <w:webHidden/>
          </w:rPr>
          <w:t>43</w:t>
        </w:r>
        <w:r w:rsidR="00691C04">
          <w:rPr>
            <w:webHidden/>
          </w:rPr>
          <w:fldChar w:fldCharType="end"/>
        </w:r>
      </w:hyperlink>
    </w:p>
    <w:p w14:paraId="3B4624B9" w14:textId="3DC318B9" w:rsidR="00691C04" w:rsidRDefault="009A3320">
      <w:pPr>
        <w:pStyle w:val="TOC2"/>
        <w:tabs>
          <w:tab w:val="left" w:pos="660"/>
        </w:tabs>
        <w:rPr>
          <w:color w:val="auto"/>
          <w:sz w:val="22"/>
          <w:szCs w:val="22"/>
          <w:lang w:eastAsia="en-AU"/>
        </w:rPr>
      </w:pPr>
      <w:hyperlink w:anchor="_Toc154050222" w:history="1">
        <w:r w:rsidR="00691C04" w:rsidRPr="00AD1A18">
          <w:rPr>
            <w:rStyle w:val="Hyperlink"/>
          </w:rPr>
          <w:t>3.2</w:t>
        </w:r>
        <w:r w:rsidR="00691C04">
          <w:rPr>
            <w:color w:val="auto"/>
            <w:sz w:val="22"/>
            <w:szCs w:val="22"/>
            <w:lang w:eastAsia="en-AU"/>
          </w:rPr>
          <w:tab/>
        </w:r>
        <w:r w:rsidR="00691C04" w:rsidRPr="00AD1A18">
          <w:rPr>
            <w:rStyle w:val="Hyperlink"/>
          </w:rPr>
          <w:t>Comparing past projections to outcomes</w:t>
        </w:r>
        <w:r w:rsidR="00691C04">
          <w:rPr>
            <w:webHidden/>
          </w:rPr>
          <w:tab/>
        </w:r>
        <w:r w:rsidR="00691C04">
          <w:rPr>
            <w:webHidden/>
          </w:rPr>
          <w:fldChar w:fldCharType="begin"/>
        </w:r>
        <w:r w:rsidR="00691C04">
          <w:rPr>
            <w:webHidden/>
          </w:rPr>
          <w:instrText xml:space="preserve"> PAGEREF _Toc154050222 \h </w:instrText>
        </w:r>
        <w:r w:rsidR="00691C04">
          <w:rPr>
            <w:webHidden/>
          </w:rPr>
        </w:r>
        <w:r w:rsidR="00691C04">
          <w:rPr>
            <w:webHidden/>
          </w:rPr>
          <w:fldChar w:fldCharType="separate"/>
        </w:r>
        <w:r w:rsidR="00CE6FEA">
          <w:rPr>
            <w:webHidden/>
          </w:rPr>
          <w:t>45</w:t>
        </w:r>
        <w:r w:rsidR="00691C04">
          <w:rPr>
            <w:webHidden/>
          </w:rPr>
          <w:fldChar w:fldCharType="end"/>
        </w:r>
      </w:hyperlink>
    </w:p>
    <w:p w14:paraId="0CFBADCB" w14:textId="6A9E3E65" w:rsidR="00691C04" w:rsidRDefault="009A3320">
      <w:pPr>
        <w:pStyle w:val="TOC2"/>
        <w:tabs>
          <w:tab w:val="left" w:pos="660"/>
        </w:tabs>
        <w:rPr>
          <w:color w:val="auto"/>
          <w:sz w:val="22"/>
          <w:szCs w:val="22"/>
          <w:lang w:eastAsia="en-AU"/>
        </w:rPr>
      </w:pPr>
      <w:hyperlink w:anchor="_Toc154050223" w:history="1">
        <w:r w:rsidR="00691C04" w:rsidRPr="00AD1A18">
          <w:rPr>
            <w:rStyle w:val="Hyperlink"/>
          </w:rPr>
          <w:t>3.3</w:t>
        </w:r>
        <w:r w:rsidR="00691C04">
          <w:rPr>
            <w:color w:val="auto"/>
            <w:sz w:val="22"/>
            <w:szCs w:val="22"/>
            <w:lang w:eastAsia="en-AU"/>
          </w:rPr>
          <w:tab/>
        </w:r>
        <w:r w:rsidR="00691C04" w:rsidRPr="00AD1A18">
          <w:rPr>
            <w:rStyle w:val="Hyperlink"/>
          </w:rPr>
          <w:t>Comparison to the ABS population projections</w:t>
        </w:r>
        <w:r w:rsidR="00691C04">
          <w:rPr>
            <w:webHidden/>
          </w:rPr>
          <w:tab/>
        </w:r>
        <w:r w:rsidR="00691C04">
          <w:rPr>
            <w:webHidden/>
          </w:rPr>
          <w:fldChar w:fldCharType="begin"/>
        </w:r>
        <w:r w:rsidR="00691C04">
          <w:rPr>
            <w:webHidden/>
          </w:rPr>
          <w:instrText xml:space="preserve"> PAGEREF _Toc154050223 \h </w:instrText>
        </w:r>
        <w:r w:rsidR="00691C04">
          <w:rPr>
            <w:webHidden/>
          </w:rPr>
        </w:r>
        <w:r w:rsidR="00691C04">
          <w:rPr>
            <w:webHidden/>
          </w:rPr>
          <w:fldChar w:fldCharType="separate"/>
        </w:r>
        <w:r w:rsidR="00CE6FEA">
          <w:rPr>
            <w:webHidden/>
          </w:rPr>
          <w:t>50</w:t>
        </w:r>
        <w:r w:rsidR="00691C04">
          <w:rPr>
            <w:webHidden/>
          </w:rPr>
          <w:fldChar w:fldCharType="end"/>
        </w:r>
      </w:hyperlink>
    </w:p>
    <w:p w14:paraId="2E46FD65" w14:textId="6BC349FC" w:rsidR="00691C04" w:rsidRDefault="009A3320">
      <w:pPr>
        <w:pStyle w:val="TOC1"/>
        <w:rPr>
          <w:b w:val="0"/>
          <w:color w:val="auto"/>
          <w:sz w:val="22"/>
          <w:lang w:eastAsia="en-AU"/>
        </w:rPr>
      </w:pPr>
      <w:hyperlink w:anchor="_Toc154050224" w:history="1">
        <w:r w:rsidR="00691C04" w:rsidRPr="00AD1A18">
          <w:rPr>
            <w:rStyle w:val="Hyperlink"/>
          </w:rPr>
          <w:t>Notes</w:t>
        </w:r>
        <w:r w:rsidR="00691C04">
          <w:rPr>
            <w:webHidden/>
          </w:rPr>
          <w:tab/>
        </w:r>
        <w:r w:rsidR="00691C04">
          <w:rPr>
            <w:webHidden/>
          </w:rPr>
          <w:fldChar w:fldCharType="begin"/>
        </w:r>
        <w:r w:rsidR="00691C04">
          <w:rPr>
            <w:webHidden/>
          </w:rPr>
          <w:instrText xml:space="preserve"> PAGEREF _Toc154050224 \h </w:instrText>
        </w:r>
        <w:r w:rsidR="00691C04">
          <w:rPr>
            <w:webHidden/>
          </w:rPr>
        </w:r>
        <w:r w:rsidR="00691C04">
          <w:rPr>
            <w:webHidden/>
          </w:rPr>
          <w:fldChar w:fldCharType="separate"/>
        </w:r>
        <w:r w:rsidR="00CE6FEA">
          <w:rPr>
            <w:webHidden/>
          </w:rPr>
          <w:t>53</w:t>
        </w:r>
        <w:r w:rsidR="00691C04">
          <w:rPr>
            <w:webHidden/>
          </w:rPr>
          <w:fldChar w:fldCharType="end"/>
        </w:r>
      </w:hyperlink>
    </w:p>
    <w:p w14:paraId="7473CB74" w14:textId="40A41AAD" w:rsidR="00691C04" w:rsidRDefault="009A3320">
      <w:pPr>
        <w:pStyle w:val="TOC1"/>
        <w:rPr>
          <w:b w:val="0"/>
          <w:color w:val="auto"/>
          <w:sz w:val="22"/>
          <w:lang w:eastAsia="en-AU"/>
        </w:rPr>
      </w:pPr>
      <w:hyperlink w:anchor="_Toc154050225" w:history="1">
        <w:r w:rsidR="00691C04" w:rsidRPr="00AD1A18">
          <w:rPr>
            <w:rStyle w:val="Hyperlink"/>
          </w:rPr>
          <w:t>Glossary</w:t>
        </w:r>
        <w:r w:rsidR="00691C04">
          <w:rPr>
            <w:webHidden/>
          </w:rPr>
          <w:tab/>
        </w:r>
        <w:r w:rsidR="00691C04">
          <w:rPr>
            <w:webHidden/>
          </w:rPr>
          <w:fldChar w:fldCharType="begin"/>
        </w:r>
        <w:r w:rsidR="00691C04">
          <w:rPr>
            <w:webHidden/>
          </w:rPr>
          <w:instrText xml:space="preserve"> PAGEREF _Toc154050225 \h </w:instrText>
        </w:r>
        <w:r w:rsidR="00691C04">
          <w:rPr>
            <w:webHidden/>
          </w:rPr>
        </w:r>
        <w:r w:rsidR="00691C04">
          <w:rPr>
            <w:webHidden/>
          </w:rPr>
          <w:fldChar w:fldCharType="separate"/>
        </w:r>
        <w:r w:rsidR="00CE6FEA">
          <w:rPr>
            <w:webHidden/>
          </w:rPr>
          <w:t>55</w:t>
        </w:r>
        <w:r w:rsidR="00691C04">
          <w:rPr>
            <w:webHidden/>
          </w:rPr>
          <w:fldChar w:fldCharType="end"/>
        </w:r>
      </w:hyperlink>
    </w:p>
    <w:p w14:paraId="19511116" w14:textId="04784E79" w:rsidR="00691C04" w:rsidRDefault="009A3320">
      <w:pPr>
        <w:pStyle w:val="TOC1"/>
        <w:rPr>
          <w:b w:val="0"/>
          <w:color w:val="auto"/>
          <w:sz w:val="22"/>
          <w:lang w:eastAsia="en-AU"/>
        </w:rPr>
      </w:pPr>
      <w:hyperlink w:anchor="_Toc154050226" w:history="1">
        <w:r w:rsidR="00691C04" w:rsidRPr="00AD1A18">
          <w:rPr>
            <w:rStyle w:val="Hyperlink"/>
          </w:rPr>
          <w:t>References</w:t>
        </w:r>
        <w:r w:rsidR="00691C04">
          <w:rPr>
            <w:webHidden/>
          </w:rPr>
          <w:tab/>
        </w:r>
        <w:r w:rsidR="00691C04">
          <w:rPr>
            <w:webHidden/>
          </w:rPr>
          <w:fldChar w:fldCharType="begin"/>
        </w:r>
        <w:r w:rsidR="00691C04">
          <w:rPr>
            <w:webHidden/>
          </w:rPr>
          <w:instrText xml:space="preserve"> PAGEREF _Toc154050226 \h </w:instrText>
        </w:r>
        <w:r w:rsidR="00691C04">
          <w:rPr>
            <w:webHidden/>
          </w:rPr>
        </w:r>
        <w:r w:rsidR="00691C04">
          <w:rPr>
            <w:webHidden/>
          </w:rPr>
          <w:fldChar w:fldCharType="separate"/>
        </w:r>
        <w:r w:rsidR="00CE6FEA">
          <w:rPr>
            <w:webHidden/>
          </w:rPr>
          <w:t>57</w:t>
        </w:r>
        <w:r w:rsidR="00691C04">
          <w:rPr>
            <w:webHidden/>
          </w:rPr>
          <w:fldChar w:fldCharType="end"/>
        </w:r>
      </w:hyperlink>
    </w:p>
    <w:p w14:paraId="3F08B297" w14:textId="386E06F4" w:rsidR="0066348F" w:rsidRDefault="008D59CE" w:rsidP="00320174">
      <w:pPr>
        <w:rPr>
          <w:b/>
          <w:noProof/>
          <w:color w:val="004A7F"/>
          <w:szCs w:val="22"/>
        </w:rPr>
        <w:sectPr w:rsidR="0066348F" w:rsidSect="00C40D31">
          <w:footerReference w:type="even" r:id="rId15"/>
          <w:footerReference w:type="default" r:id="rId16"/>
          <w:pgSz w:w="11906" w:h="16838" w:code="9"/>
          <w:pgMar w:top="1417" w:right="1417" w:bottom="1417" w:left="1417" w:header="709" w:footer="709" w:gutter="0"/>
          <w:pgNumType w:fmt="lowerRoman" w:start="1"/>
          <w:cols w:space="708"/>
          <w:titlePg/>
          <w:docGrid w:linePitch="360"/>
        </w:sectPr>
      </w:pPr>
      <w:r w:rsidRPr="00F67DB6">
        <w:rPr>
          <w:b/>
          <w:noProof/>
          <w:color w:val="004A7F"/>
          <w:szCs w:val="22"/>
        </w:rPr>
        <w:fldChar w:fldCharType="end"/>
      </w:r>
      <w:bookmarkStart w:id="22" w:name="_Toc149846494"/>
      <w:bookmarkStart w:id="23" w:name="_Toc149846535"/>
      <w:bookmarkStart w:id="24" w:name="_Toc149846633"/>
      <w:bookmarkStart w:id="25" w:name="_Toc149847576"/>
    </w:p>
    <w:p w14:paraId="6DF3C421" w14:textId="1D9C7106" w:rsidR="00475085" w:rsidRPr="004218BD" w:rsidRDefault="00283A10" w:rsidP="00320174">
      <w:pPr>
        <w:pStyle w:val="Heading1"/>
      </w:pPr>
      <w:bookmarkStart w:id="26" w:name="_Toc151994713"/>
      <w:bookmarkStart w:id="27" w:name="_Toc154050202"/>
      <w:r w:rsidRPr="004218BD">
        <w:lastRenderedPageBreak/>
        <w:t>F</w:t>
      </w:r>
      <w:r w:rsidR="00EA4CEE" w:rsidRPr="004218BD">
        <w:t xml:space="preserve">rom the </w:t>
      </w:r>
      <w:r w:rsidRPr="004218BD">
        <w:t>T</w:t>
      </w:r>
      <w:r w:rsidR="00EA4CEE" w:rsidRPr="004218BD">
        <w:t>reasurer</w:t>
      </w:r>
      <w:bookmarkEnd w:id="22"/>
      <w:bookmarkEnd w:id="23"/>
      <w:bookmarkEnd w:id="24"/>
      <w:bookmarkEnd w:id="25"/>
      <w:bookmarkEnd w:id="26"/>
      <w:bookmarkEnd w:id="27"/>
    </w:p>
    <w:tbl>
      <w:tblPr>
        <w:tblW w:w="5000" w:type="pct"/>
        <w:tblLook w:val="04A0" w:firstRow="1" w:lastRow="0" w:firstColumn="1" w:lastColumn="0" w:noHBand="0" w:noVBand="1"/>
      </w:tblPr>
      <w:tblGrid>
        <w:gridCol w:w="2004"/>
        <w:gridCol w:w="7068"/>
      </w:tblGrid>
      <w:tr w:rsidR="003A010B" w14:paraId="69307B37" w14:textId="77777777" w:rsidTr="00BD7BF5">
        <w:trPr>
          <w:trHeight w:val="2564"/>
        </w:trPr>
        <w:tc>
          <w:tcPr>
            <w:tcW w:w="2004" w:type="dxa"/>
          </w:tcPr>
          <w:p w14:paraId="16EFCFB7" w14:textId="1C171EAB" w:rsidR="003A010B" w:rsidRPr="00E32BE7" w:rsidRDefault="003A010B" w:rsidP="00E32BE7">
            <w:pPr>
              <w:pStyle w:val="ChartGraphic"/>
              <w:spacing w:before="120"/>
            </w:pPr>
            <w:r w:rsidRPr="00E32BE7">
              <w:rPr>
                <w:noProof/>
              </w:rPr>
              <w:drawing>
                <wp:inline distT="0" distB="0" distL="0" distR="0" wp14:anchorId="3E00455C" wp14:editId="254697D5">
                  <wp:extent cx="1094400" cy="14940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4400" cy="1494000"/>
                          </a:xfrm>
                          <a:prstGeom prst="rect">
                            <a:avLst/>
                          </a:prstGeom>
                        </pic:spPr>
                      </pic:pic>
                    </a:graphicData>
                  </a:graphic>
                </wp:inline>
              </w:drawing>
            </w:r>
          </w:p>
        </w:tc>
        <w:tc>
          <w:tcPr>
            <w:tcW w:w="7068" w:type="dxa"/>
          </w:tcPr>
          <w:p w14:paraId="09006997" w14:textId="77777777" w:rsidR="003A010B" w:rsidRPr="00D52CF0" w:rsidRDefault="003A010B" w:rsidP="00E32BE7">
            <w:pPr>
              <w:spacing w:before="120"/>
              <w:rPr>
                <w:rStyle w:val="Strong"/>
              </w:rPr>
            </w:pPr>
            <w:r w:rsidRPr="00D52CF0">
              <w:rPr>
                <w:rStyle w:val="Strong"/>
              </w:rPr>
              <w:t>The Hon Dr Jim Chalmers MP</w:t>
            </w:r>
          </w:p>
          <w:p w14:paraId="6FDF6B9E" w14:textId="77777777" w:rsidR="003A010B" w:rsidRPr="00D52CF0" w:rsidRDefault="003A010B" w:rsidP="00E32BE7">
            <w:pPr>
              <w:pStyle w:val="SingleParagraph"/>
              <w:spacing w:before="120"/>
            </w:pPr>
            <w:r w:rsidRPr="00D52CF0">
              <w:t>Treasurer</w:t>
            </w:r>
          </w:p>
        </w:tc>
      </w:tr>
    </w:tbl>
    <w:p w14:paraId="321426B9" w14:textId="6633C3FB" w:rsidR="00BD7BF5" w:rsidRDefault="00BD7BF5" w:rsidP="00677961">
      <w:r>
        <w:t xml:space="preserve">The Albanese Government’s economic plan is all about ensuring Australians are beneficiaries not victims of the shifts shaping our economy. </w:t>
      </w:r>
    </w:p>
    <w:p w14:paraId="06CF0574" w14:textId="33DDABDD" w:rsidR="00BD7BF5" w:rsidRDefault="00BD7BF5" w:rsidP="00677961">
      <w:r>
        <w:t xml:space="preserve">An important part of this is understanding the big trends and transitions in our population. This is vital to building an inclusive and dynamic labour force, laying the foundations for growth and ensuring governments can deliver policies and services that benefit communities right across Australia. </w:t>
      </w:r>
    </w:p>
    <w:p w14:paraId="57B3BE53" w14:textId="49702FA2" w:rsidR="00BD7BF5" w:rsidRDefault="00BD7BF5" w:rsidP="00677961">
      <w:r>
        <w:t>The 2023 Population Statement provides evidence and analysis which helps us prepare for the changes and challenges ahead. It examines how the different components of population growth interact, and tells us how the population is expected to grow over the next decade – at the national, state,</w:t>
      </w:r>
      <w:r w:rsidR="007B3D83">
        <w:t xml:space="preserve"> capital</w:t>
      </w:r>
      <w:r>
        <w:t xml:space="preserve"> city and regional levels. The Statement also provides a picture of how the composition of the population is expected to change and age over time. </w:t>
      </w:r>
    </w:p>
    <w:p w14:paraId="09E2E3CE" w14:textId="243E5A1A" w:rsidR="00BD7BF5" w:rsidRDefault="00BD7BF5" w:rsidP="00677961">
      <w:r>
        <w:t xml:space="preserve">Following the COVID-19 pandemic, recent growth in population growth has been driven by higher levels of migration after the re-opening of international borders. Net overseas migration is expected to decline back to around pre-pandemic levels over the next couple of years. Over the medium term, population ageing continues to be a significant economic and fiscal challenge for Australia. </w:t>
      </w:r>
    </w:p>
    <w:p w14:paraId="144B489E" w14:textId="0A4609E2" w:rsidR="00BD7BF5" w:rsidRDefault="00BD7BF5" w:rsidP="00677961">
      <w:r>
        <w:t xml:space="preserve">The Albanese Government has a significant policy agenda that responds to these trends in our population, to help improve living standards and build a stronger, more sustainable and more inclusive economy. </w:t>
      </w:r>
    </w:p>
    <w:p w14:paraId="1778DB9A" w14:textId="2E535572" w:rsidR="00BD7BF5" w:rsidRDefault="00BD7BF5" w:rsidP="00677961">
      <w:r>
        <w:t xml:space="preserve">Consistent with our recently released Migration Strategy, the Government is acting to ensure we have a carefully calibrated migration system that works in our national economic interest. We are working to improve the liveability and sustainability of our cities, suburbs and regions including through historic investments to boost housing supply, our efforts to improve the infrastructure pipeline to ensure it is delivering value for money, and our significant investments in Medicare and essential services. </w:t>
      </w:r>
    </w:p>
    <w:p w14:paraId="128D72BF" w14:textId="53A216BA" w:rsidR="00BD7BF5" w:rsidRDefault="00BD7BF5" w:rsidP="00677961">
      <w:r>
        <w:t xml:space="preserve">The Government will draw on the 2023 Population Statement </w:t>
      </w:r>
      <w:r w:rsidR="00677961">
        <w:t xml:space="preserve">to </w:t>
      </w:r>
      <w:r>
        <w:t>inform future policy work so we can continue to build a better future for Australia.</w:t>
      </w:r>
    </w:p>
    <w:p w14:paraId="1DE2D4B5" w14:textId="6C951A39" w:rsidR="00872A2E" w:rsidRDefault="00872A2E" w:rsidP="009325FF">
      <w:r>
        <w:rPr>
          <w:noProof/>
        </w:rPr>
        <w:drawing>
          <wp:inline distT="0" distB="0" distL="0" distR="0" wp14:anchorId="2F1BF5B8" wp14:editId="48DD76AC">
            <wp:extent cx="1371600" cy="418344"/>
            <wp:effectExtent l="0" t="0" r="0" b="127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6506" cy="425940"/>
                    </a:xfrm>
                    <a:prstGeom prst="rect">
                      <a:avLst/>
                    </a:prstGeom>
                  </pic:spPr>
                </pic:pic>
              </a:graphicData>
            </a:graphic>
          </wp:inline>
        </w:drawing>
      </w:r>
    </w:p>
    <w:p w14:paraId="672E883B" w14:textId="510DEA50" w:rsidR="006743FE" w:rsidRDefault="00320174" w:rsidP="009325FF">
      <w:r>
        <w:br w:type="page"/>
      </w:r>
    </w:p>
    <w:p w14:paraId="424DE425" w14:textId="44F83D65" w:rsidR="006C5B73" w:rsidRPr="00AC22D1" w:rsidRDefault="00320174" w:rsidP="00AC22D1">
      <w:pPr>
        <w:pStyle w:val="Heading1"/>
      </w:pPr>
      <w:bookmarkStart w:id="28" w:name="_Toc154050203"/>
      <w:r>
        <w:lastRenderedPageBreak/>
        <w:t>F</w:t>
      </w:r>
      <w:r w:rsidR="00FF5070" w:rsidRPr="00AC22D1">
        <w:t>or</w:t>
      </w:r>
      <w:r w:rsidR="00AC22D1" w:rsidRPr="00AC22D1">
        <w:t>e</w:t>
      </w:r>
      <w:r w:rsidR="00FF5070" w:rsidRPr="00AC22D1">
        <w:t>w</w:t>
      </w:r>
      <w:r w:rsidR="00A722C6" w:rsidRPr="00AC22D1">
        <w:t>o</w:t>
      </w:r>
      <w:r w:rsidR="00FF5070" w:rsidRPr="00AC22D1">
        <w:t>rd</w:t>
      </w:r>
      <w:bookmarkEnd w:id="28"/>
    </w:p>
    <w:tbl>
      <w:tblPr>
        <w:tblW w:w="5000" w:type="pct"/>
        <w:tblLook w:val="04A0" w:firstRow="1" w:lastRow="0" w:firstColumn="1" w:lastColumn="0" w:noHBand="0" w:noVBand="1"/>
      </w:tblPr>
      <w:tblGrid>
        <w:gridCol w:w="2147"/>
        <w:gridCol w:w="6925"/>
      </w:tblGrid>
      <w:tr w:rsidR="00D52CF0" w14:paraId="7F25D8C8" w14:textId="77777777" w:rsidTr="006F48FB">
        <w:trPr>
          <w:trHeight w:val="2571"/>
        </w:trPr>
        <w:tc>
          <w:tcPr>
            <w:tcW w:w="2147" w:type="dxa"/>
            <w:tcMar>
              <w:left w:w="0" w:type="dxa"/>
            </w:tcMar>
          </w:tcPr>
          <w:p w14:paraId="691EE5C6" w14:textId="7AFD550B" w:rsidR="00D52CF0" w:rsidRDefault="00D52CF0" w:rsidP="00E32BE7">
            <w:pPr>
              <w:pStyle w:val="ChartGraphic"/>
              <w:spacing w:before="120"/>
            </w:pPr>
            <w:r>
              <w:rPr>
                <w:noProof/>
              </w:rPr>
              <w:drawing>
                <wp:inline distT="0" distB="0" distL="0" distR="0" wp14:anchorId="63B47597" wp14:editId="7F768DEE">
                  <wp:extent cx="1087200" cy="149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7200" cy="1494000"/>
                          </a:xfrm>
                          <a:prstGeom prst="rect">
                            <a:avLst/>
                          </a:prstGeom>
                        </pic:spPr>
                      </pic:pic>
                    </a:graphicData>
                  </a:graphic>
                </wp:inline>
              </w:drawing>
            </w:r>
          </w:p>
        </w:tc>
        <w:tc>
          <w:tcPr>
            <w:tcW w:w="6925" w:type="dxa"/>
            <w:tcMar>
              <w:left w:w="0" w:type="dxa"/>
            </w:tcMar>
          </w:tcPr>
          <w:p w14:paraId="228B07AC" w14:textId="77777777" w:rsidR="00D52CF0" w:rsidRPr="00D52CF0" w:rsidRDefault="00D52CF0" w:rsidP="00E32BE7">
            <w:pPr>
              <w:spacing w:before="120"/>
              <w:rPr>
                <w:rStyle w:val="Strong"/>
              </w:rPr>
            </w:pPr>
            <w:r w:rsidRPr="00D52CF0">
              <w:rPr>
                <w:rStyle w:val="Strong"/>
              </w:rPr>
              <w:t xml:space="preserve">Natalie Horvat </w:t>
            </w:r>
          </w:p>
          <w:p w14:paraId="4AB20C4E" w14:textId="77777777" w:rsidR="00D52CF0" w:rsidRPr="00D52CF0" w:rsidRDefault="00D52CF0" w:rsidP="00E32BE7">
            <w:pPr>
              <w:pStyle w:val="SingleParagraph"/>
              <w:spacing w:before="120"/>
            </w:pPr>
            <w:r w:rsidRPr="00D52CF0">
              <w:t>Executive Director</w:t>
            </w:r>
          </w:p>
          <w:p w14:paraId="2B8ED65E" w14:textId="77777777" w:rsidR="00D52CF0" w:rsidRPr="00D52CF0" w:rsidRDefault="00D52CF0" w:rsidP="00E32BE7">
            <w:pPr>
              <w:pStyle w:val="SingleParagraph"/>
              <w:spacing w:before="120"/>
            </w:pPr>
            <w:r w:rsidRPr="00D52CF0">
              <w:t>Centre for Population</w:t>
            </w:r>
          </w:p>
          <w:p w14:paraId="6161C740" w14:textId="77777777" w:rsidR="00D52CF0" w:rsidRDefault="00D52CF0" w:rsidP="00E32BE7">
            <w:pPr>
              <w:spacing w:before="120"/>
            </w:pPr>
          </w:p>
        </w:tc>
      </w:tr>
    </w:tbl>
    <w:p w14:paraId="26395EF7" w14:textId="41E1A1F5" w:rsidR="00EC6904" w:rsidRDefault="00EC6904" w:rsidP="00966DDA">
      <w:r>
        <w:t>Understanding Australia</w:t>
      </w:r>
      <w:r w:rsidR="004B14AB">
        <w:t>’</w:t>
      </w:r>
      <w:r>
        <w:t xml:space="preserve">s </w:t>
      </w:r>
      <w:r w:rsidR="00470911">
        <w:t xml:space="preserve">changing </w:t>
      </w:r>
      <w:r>
        <w:t xml:space="preserve">population </w:t>
      </w:r>
      <w:r w:rsidR="00A9100B">
        <w:t xml:space="preserve">allows </w:t>
      </w:r>
      <w:r w:rsidR="00E11B12">
        <w:t xml:space="preserve">the private sector and </w:t>
      </w:r>
      <w:r w:rsidR="00A9100B">
        <w:t xml:space="preserve">all levels of </w:t>
      </w:r>
      <w:r w:rsidR="00A3176E">
        <w:t>g</w:t>
      </w:r>
      <w:r w:rsidR="00A9100B">
        <w:t xml:space="preserve">overnment to </w:t>
      </w:r>
      <w:r w:rsidR="00E11B12">
        <w:t xml:space="preserve">deliver services </w:t>
      </w:r>
      <w:r w:rsidR="00BC7E95">
        <w:t xml:space="preserve">and </w:t>
      </w:r>
      <w:r w:rsidR="00A9100B">
        <w:t>design polic</w:t>
      </w:r>
      <w:r w:rsidR="00A3176E">
        <w:t>ies</w:t>
      </w:r>
      <w:r w:rsidR="00A9100B">
        <w:t xml:space="preserve"> that meet </w:t>
      </w:r>
      <w:r w:rsidR="009B0207">
        <w:t xml:space="preserve">community </w:t>
      </w:r>
      <w:r w:rsidR="00A9100B">
        <w:t>needs</w:t>
      </w:r>
      <w:r w:rsidR="009B0207">
        <w:t>.</w:t>
      </w:r>
    </w:p>
    <w:p w14:paraId="3FB5305F" w14:textId="43C8F12B" w:rsidR="00EC6904" w:rsidRDefault="009B0207" w:rsidP="00966DDA">
      <w:r>
        <w:t>The</w:t>
      </w:r>
      <w:r w:rsidR="003B3DA6">
        <w:t xml:space="preserve"> Centre for Population </w:t>
      </w:r>
      <w:r w:rsidR="007A721A">
        <w:t xml:space="preserve">has been </w:t>
      </w:r>
      <w:r w:rsidR="003B3DA6">
        <w:t>build</w:t>
      </w:r>
      <w:r w:rsidR="007A721A">
        <w:t>ing</w:t>
      </w:r>
      <w:r w:rsidR="003B3DA6">
        <w:t xml:space="preserve"> th</w:t>
      </w:r>
      <w:r w:rsidR="00AF06D5">
        <w:t>e evidence base</w:t>
      </w:r>
      <w:r w:rsidR="00BA5AC3">
        <w:t xml:space="preserve"> </w:t>
      </w:r>
      <w:r w:rsidR="007F7390">
        <w:t>on population trends and</w:t>
      </w:r>
      <w:r w:rsidR="00BA5AC3">
        <w:t xml:space="preserve"> inform</w:t>
      </w:r>
      <w:r w:rsidR="007A721A">
        <w:t>ing</w:t>
      </w:r>
      <w:r w:rsidR="00BA5AC3">
        <w:t xml:space="preserve"> </w:t>
      </w:r>
      <w:r w:rsidR="007A721A">
        <w:t>public discussion</w:t>
      </w:r>
      <w:r w:rsidR="007F7390">
        <w:t xml:space="preserve"> since 2019</w:t>
      </w:r>
      <w:r w:rsidR="00FE0E06">
        <w:t>. It does this in</w:t>
      </w:r>
      <w:r w:rsidR="0003724B">
        <w:t xml:space="preserve"> a collaborative way</w:t>
      </w:r>
      <w:r w:rsidR="009779D1">
        <w:t xml:space="preserve">, </w:t>
      </w:r>
      <w:r w:rsidR="007F7390">
        <w:t>work</w:t>
      </w:r>
      <w:r w:rsidR="009779D1">
        <w:t>ing</w:t>
      </w:r>
      <w:r w:rsidR="0003724B">
        <w:t xml:space="preserve"> with state and territor</w:t>
      </w:r>
      <w:r w:rsidR="007F7390">
        <w:t>y</w:t>
      </w:r>
      <w:r w:rsidR="003D1FC6">
        <w:t xml:space="preserve"> governments</w:t>
      </w:r>
      <w:r w:rsidR="007A721A">
        <w:t>, as well as</w:t>
      </w:r>
      <w:r w:rsidR="00FE0E06">
        <w:t xml:space="preserve"> </w:t>
      </w:r>
      <w:r w:rsidR="0003724B" w:rsidRPr="00877EDE">
        <w:t xml:space="preserve">academics and </w:t>
      </w:r>
      <w:r w:rsidR="0003724B">
        <w:t xml:space="preserve">other </w:t>
      </w:r>
      <w:r w:rsidR="0003724B" w:rsidRPr="00877EDE">
        <w:t>population experts</w:t>
      </w:r>
      <w:r w:rsidR="007A721A">
        <w:t>.</w:t>
      </w:r>
      <w:r w:rsidR="00E03D96" w:rsidRPr="00E03D96">
        <w:t xml:space="preserve"> </w:t>
      </w:r>
      <w:r w:rsidR="00E03D96">
        <w:t xml:space="preserve">In the past year, the Centre has </w:t>
      </w:r>
      <w:r w:rsidR="00D0111D">
        <w:t>contributed to the 2023</w:t>
      </w:r>
      <w:r w:rsidR="001C79BE">
        <w:t> </w:t>
      </w:r>
      <w:r w:rsidR="00D0111D">
        <w:t>Intergenerational Report and</w:t>
      </w:r>
      <w:r w:rsidR="00E03D96">
        <w:t xml:space="preserve"> publish</w:t>
      </w:r>
      <w:r w:rsidR="00750AC3">
        <w:t>ed</w:t>
      </w:r>
      <w:r w:rsidR="00E03D96">
        <w:t xml:space="preserve"> paper</w:t>
      </w:r>
      <w:r w:rsidR="00750AC3">
        <w:t>s</w:t>
      </w:r>
      <w:r w:rsidR="00E03D96">
        <w:t xml:space="preserve"> on the drivers of internal migration</w:t>
      </w:r>
      <w:r w:rsidR="00B40CF2">
        <w:t>,</w:t>
      </w:r>
      <w:r w:rsidR="00E03D96">
        <w:t xml:space="preserve"> future fertility</w:t>
      </w:r>
      <w:r w:rsidR="00DB4B70">
        <w:t>,</w:t>
      </w:r>
      <w:r w:rsidR="00E03D96">
        <w:t xml:space="preserve"> and pathways from temporary visas to permanent residency</w:t>
      </w:r>
      <w:r w:rsidR="00E03D96" w:rsidRPr="00877EDE">
        <w:t>.</w:t>
      </w:r>
    </w:p>
    <w:p w14:paraId="50E7581A" w14:textId="2E586E00" w:rsidR="004A694F" w:rsidRDefault="00266493" w:rsidP="00966DDA">
      <w:r w:rsidRPr="00877EDE">
        <w:t>The</w:t>
      </w:r>
      <w:r w:rsidR="007D55A3">
        <w:t xml:space="preserve"> 2023</w:t>
      </w:r>
      <w:r w:rsidRPr="00877EDE">
        <w:t xml:space="preserve"> Population Statement is the </w:t>
      </w:r>
      <w:r w:rsidR="007D55A3">
        <w:t xml:space="preserve">fourth edition of </w:t>
      </w:r>
      <w:r w:rsidR="003D31EE">
        <w:t>the Centre</w:t>
      </w:r>
      <w:r w:rsidR="004B14AB">
        <w:t>’</w:t>
      </w:r>
      <w:r w:rsidR="003D31EE">
        <w:t>s</w:t>
      </w:r>
      <w:r w:rsidR="003D31EE" w:rsidRPr="00877EDE">
        <w:t xml:space="preserve"> </w:t>
      </w:r>
      <w:r w:rsidRPr="00877EDE">
        <w:t xml:space="preserve">flagship annual publication. It provides insights </w:t>
      </w:r>
      <w:r w:rsidR="0085723D">
        <w:t>on</w:t>
      </w:r>
      <w:r w:rsidR="0085723D" w:rsidRPr="00877EDE">
        <w:t xml:space="preserve"> </w:t>
      </w:r>
      <w:r w:rsidRPr="00877EDE">
        <w:t xml:space="preserve">how </w:t>
      </w:r>
      <w:r w:rsidR="0085723D">
        <w:t>the</w:t>
      </w:r>
      <w:r w:rsidR="0085723D" w:rsidRPr="00877EDE">
        <w:t xml:space="preserve"> </w:t>
      </w:r>
      <w:r w:rsidRPr="00877EDE">
        <w:t>population has changed and projects future population changes</w:t>
      </w:r>
      <w:r w:rsidR="00706831">
        <w:t xml:space="preserve"> over the next decade</w:t>
      </w:r>
      <w:r w:rsidRPr="00877EDE">
        <w:t xml:space="preserve">. </w:t>
      </w:r>
      <w:r w:rsidR="0084776C">
        <w:t>This</w:t>
      </w:r>
      <w:r w:rsidR="001C79BE">
        <w:t> </w:t>
      </w:r>
      <w:r w:rsidR="00F329BC">
        <w:t>year</w:t>
      </w:r>
      <w:r w:rsidR="004B14AB">
        <w:t>’</w:t>
      </w:r>
      <w:r w:rsidR="00F329BC">
        <w:t xml:space="preserve">s </w:t>
      </w:r>
      <w:r w:rsidR="0084776C">
        <w:t>edition</w:t>
      </w:r>
      <w:r w:rsidR="00F329BC">
        <w:t xml:space="preserve"> </w:t>
      </w:r>
      <w:r w:rsidR="0084776C">
        <w:t>explore</w:t>
      </w:r>
      <w:r w:rsidR="00371463">
        <w:t>s</w:t>
      </w:r>
      <w:r w:rsidR="0084776C">
        <w:t xml:space="preserve"> Australia</w:t>
      </w:r>
      <w:r w:rsidR="004B14AB">
        <w:t>’</w:t>
      </w:r>
      <w:r w:rsidR="0084776C">
        <w:t xml:space="preserve">s population </w:t>
      </w:r>
      <w:r w:rsidR="0084776C" w:rsidRPr="00877EDE">
        <w:t>recover</w:t>
      </w:r>
      <w:r w:rsidR="00872D21">
        <w:t>y</w:t>
      </w:r>
      <w:r w:rsidR="0084776C" w:rsidRPr="00877EDE">
        <w:t xml:space="preserve"> </w:t>
      </w:r>
      <w:r w:rsidR="0084776C">
        <w:t>f</w:t>
      </w:r>
      <w:r w:rsidR="00E020D8">
        <w:t xml:space="preserve">ollowing the </w:t>
      </w:r>
      <w:r w:rsidR="00693FF2">
        <w:t>COVID</w:t>
      </w:r>
      <w:r w:rsidR="004B14AB">
        <w:noBreakHyphen/>
      </w:r>
      <w:r w:rsidR="00693FF2">
        <w:t xml:space="preserve">19 </w:t>
      </w:r>
      <w:r w:rsidR="00E020D8">
        <w:t xml:space="preserve">pandemic. </w:t>
      </w:r>
    </w:p>
    <w:p w14:paraId="6BB577AB" w14:textId="564B7C08" w:rsidR="007A721A" w:rsidRDefault="003264DC" w:rsidP="00966DDA">
      <w:r>
        <w:t xml:space="preserve">The Population </w:t>
      </w:r>
      <w:r w:rsidR="00732EC2">
        <w:t>S</w:t>
      </w:r>
      <w:r w:rsidR="007A721A">
        <w:t xml:space="preserve">tatement </w:t>
      </w:r>
      <w:r w:rsidR="00732EC2">
        <w:t>has</w:t>
      </w:r>
      <w:r w:rsidR="007A721A">
        <w:t xml:space="preserve"> </w:t>
      </w:r>
      <w:r w:rsidR="004B7CAE">
        <w:t>3</w:t>
      </w:r>
      <w:r w:rsidR="007A721A">
        <w:t xml:space="preserve"> parts</w:t>
      </w:r>
      <w:r w:rsidR="00360A10">
        <w:t xml:space="preserve">. Part 1 explores the national population and </w:t>
      </w:r>
      <w:r w:rsidR="00732EC2">
        <w:t>the Centre</w:t>
      </w:r>
      <w:r w:rsidR="004B14AB">
        <w:t>’</w:t>
      </w:r>
      <w:r w:rsidR="00732EC2">
        <w:t xml:space="preserve">s projections. </w:t>
      </w:r>
      <w:r w:rsidR="00B672F5">
        <w:t xml:space="preserve">This </w:t>
      </w:r>
      <w:r>
        <w:t>includes</w:t>
      </w:r>
      <w:r w:rsidR="00B672F5">
        <w:t xml:space="preserve"> a detailed look at the drive</w:t>
      </w:r>
      <w:r w:rsidR="00CD27ED">
        <w:t>r</w:t>
      </w:r>
      <w:r w:rsidR="00B672F5">
        <w:t>s of</w:t>
      </w:r>
      <w:r w:rsidR="00B672F5" w:rsidRPr="00877EDE">
        <w:t xml:space="preserve"> population change – overseas migration, </w:t>
      </w:r>
      <w:r w:rsidR="00B672F5">
        <w:t>fertility and</w:t>
      </w:r>
      <w:r w:rsidR="00B672F5" w:rsidRPr="00877EDE" w:rsidDel="00B672F5">
        <w:t xml:space="preserve"> </w:t>
      </w:r>
      <w:r w:rsidR="00B672F5">
        <w:t>mortality</w:t>
      </w:r>
      <w:r w:rsidR="00B672F5" w:rsidRPr="00877EDE">
        <w:t xml:space="preserve">. </w:t>
      </w:r>
      <w:r w:rsidR="00732EC2">
        <w:t>Part 2 delves into state, territory</w:t>
      </w:r>
      <w:r w:rsidR="00706831">
        <w:t>, capital city</w:t>
      </w:r>
      <w:r w:rsidR="00732EC2">
        <w:t xml:space="preserve"> and </w:t>
      </w:r>
      <w:r w:rsidR="00706831">
        <w:t>rest</w:t>
      </w:r>
      <w:r w:rsidR="004B14AB">
        <w:noBreakHyphen/>
      </w:r>
      <w:r w:rsidR="00706831">
        <w:t>of</w:t>
      </w:r>
      <w:r w:rsidR="004B14AB">
        <w:noBreakHyphen/>
      </w:r>
      <w:r w:rsidR="00706831">
        <w:t>state</w:t>
      </w:r>
      <w:r w:rsidR="00732EC2">
        <w:t xml:space="preserve"> projections</w:t>
      </w:r>
      <w:r w:rsidR="00B672F5">
        <w:t>, including</w:t>
      </w:r>
      <w:r w:rsidR="00706831">
        <w:t xml:space="preserve"> the role of</w:t>
      </w:r>
      <w:r w:rsidR="00B672F5">
        <w:t xml:space="preserve"> </w:t>
      </w:r>
      <w:r w:rsidR="00706831" w:rsidRPr="00877EDE">
        <w:t>internal migration</w:t>
      </w:r>
      <w:r w:rsidR="00732EC2">
        <w:t xml:space="preserve">. Finally, Part 3 </w:t>
      </w:r>
      <w:r w:rsidR="00732EC2" w:rsidRPr="00877EDE">
        <w:t>details the assumptions</w:t>
      </w:r>
      <w:r w:rsidR="006E251E">
        <w:t xml:space="preserve"> behind </w:t>
      </w:r>
      <w:r w:rsidR="00732EC2" w:rsidRPr="00877EDE">
        <w:t xml:space="preserve">the projections in this </w:t>
      </w:r>
      <w:r w:rsidR="00BC1CF0" w:rsidRPr="00877EDE">
        <w:t>Statement</w:t>
      </w:r>
      <w:r w:rsidR="00BC1CF0">
        <w:t xml:space="preserve"> and</w:t>
      </w:r>
      <w:r w:rsidR="006E251E">
        <w:t xml:space="preserve"> compares</w:t>
      </w:r>
      <w:r w:rsidR="00A8201A">
        <w:t xml:space="preserve"> </w:t>
      </w:r>
      <w:r w:rsidR="001106E2">
        <w:t xml:space="preserve">the </w:t>
      </w:r>
      <w:r w:rsidR="00D35D0F">
        <w:t>Centre</w:t>
      </w:r>
      <w:r w:rsidR="004B14AB">
        <w:t>’</w:t>
      </w:r>
      <w:r w:rsidR="00D35D0F">
        <w:t>s</w:t>
      </w:r>
      <w:r w:rsidR="000115F1">
        <w:t xml:space="preserve"> projections </w:t>
      </w:r>
      <w:r w:rsidR="001106E2">
        <w:t>to</w:t>
      </w:r>
      <w:r w:rsidR="000115F1">
        <w:t xml:space="preserve"> </w:t>
      </w:r>
      <w:r w:rsidR="001106E2">
        <w:t>other projections and actual outcomes</w:t>
      </w:r>
      <w:r w:rsidR="00732EC2" w:rsidRPr="00877EDE">
        <w:t>.</w:t>
      </w:r>
      <w:r w:rsidR="00732EC2">
        <w:t xml:space="preserve"> </w:t>
      </w:r>
    </w:p>
    <w:p w14:paraId="2E445C12" w14:textId="0341B9E8" w:rsidR="00710EE4" w:rsidRPr="00877EDE" w:rsidRDefault="00B93094" w:rsidP="00966DDA">
      <w:r w:rsidRPr="00ED6E50">
        <w:t>For the first time</w:t>
      </w:r>
      <w:r w:rsidR="00C7554C">
        <w:t>,</w:t>
      </w:r>
      <w:r w:rsidRPr="00ED6E50">
        <w:t xml:space="preserve"> this </w:t>
      </w:r>
      <w:r w:rsidR="006A3C91">
        <w:t>edition</w:t>
      </w:r>
      <w:r w:rsidRPr="00ED6E50">
        <w:t xml:space="preserve"> also explores the diversity of our people</w:t>
      </w:r>
      <w:r w:rsidR="003E72CA">
        <w:t>,</w:t>
      </w:r>
      <w:r w:rsidR="00797139">
        <w:t xml:space="preserve"> </w:t>
      </w:r>
      <w:r w:rsidR="00742FA5">
        <w:t xml:space="preserve">including </w:t>
      </w:r>
      <w:r w:rsidR="00633AD7">
        <w:t xml:space="preserve">summary statistics </w:t>
      </w:r>
      <w:r w:rsidR="005F51BB">
        <w:t xml:space="preserve">for </w:t>
      </w:r>
      <w:r w:rsidR="00451E4D">
        <w:t>First Nations</w:t>
      </w:r>
      <w:r w:rsidR="00501F2B">
        <w:t xml:space="preserve"> Australians</w:t>
      </w:r>
      <w:r w:rsidR="00797139">
        <w:t xml:space="preserve"> and countr</w:t>
      </w:r>
      <w:r w:rsidR="006828D8">
        <w:t>y of birth. Other new features include</w:t>
      </w:r>
      <w:r w:rsidR="00087017">
        <w:t xml:space="preserve"> additional</w:t>
      </w:r>
      <w:r w:rsidR="001834BF">
        <w:t xml:space="preserve"> 2021 Census</w:t>
      </w:r>
      <w:r w:rsidR="007728D6">
        <w:t xml:space="preserve"> data insights </w:t>
      </w:r>
      <w:r w:rsidR="005728BC">
        <w:t xml:space="preserve">and </w:t>
      </w:r>
      <w:r w:rsidR="00E0238A">
        <w:t>comparison</w:t>
      </w:r>
      <w:r w:rsidR="00B04C8D">
        <w:t>s</w:t>
      </w:r>
      <w:r w:rsidR="00BE0C74">
        <w:t xml:space="preserve"> to the </w:t>
      </w:r>
      <w:r w:rsidR="0008649F">
        <w:t>Australian Bureau of Statistics</w:t>
      </w:r>
      <w:r w:rsidR="004B14AB">
        <w:t>’</w:t>
      </w:r>
      <w:r w:rsidR="0008649F">
        <w:t xml:space="preserve"> </w:t>
      </w:r>
      <w:r w:rsidR="00E0238A">
        <w:t>population projections.</w:t>
      </w:r>
      <w:r w:rsidR="00E0238A" w:rsidRPr="007D5E71">
        <w:t xml:space="preserve"> </w:t>
      </w:r>
    </w:p>
    <w:p w14:paraId="5102ED53" w14:textId="55E12531" w:rsidR="00787253" w:rsidRPr="00877EDE" w:rsidRDefault="002A6BFB" w:rsidP="00966DDA">
      <w:r>
        <w:t>D</w:t>
      </w:r>
      <w:r w:rsidR="002B5202">
        <w:t xml:space="preserve">isruptions to </w:t>
      </w:r>
      <w:r w:rsidR="00981563">
        <w:t xml:space="preserve">data and </w:t>
      </w:r>
      <w:r w:rsidR="00981714">
        <w:t xml:space="preserve">population </w:t>
      </w:r>
      <w:r w:rsidR="00981563">
        <w:t xml:space="preserve">trends </w:t>
      </w:r>
      <w:r w:rsidR="00787253">
        <w:t>due to</w:t>
      </w:r>
      <w:r w:rsidR="00787253" w:rsidRPr="00877EDE">
        <w:t xml:space="preserve"> the COVID</w:t>
      </w:r>
      <w:r w:rsidR="004B14AB">
        <w:noBreakHyphen/>
      </w:r>
      <w:r w:rsidR="00787253" w:rsidRPr="00877EDE">
        <w:t>19 pandemic</w:t>
      </w:r>
      <w:r w:rsidR="00981714">
        <w:t xml:space="preserve"> continue to</w:t>
      </w:r>
      <w:r w:rsidR="00787253" w:rsidRPr="00877EDE">
        <w:t xml:space="preserve"> </w:t>
      </w:r>
      <w:r w:rsidR="00787253">
        <w:t>make it</w:t>
      </w:r>
      <w:r w:rsidR="00787253" w:rsidRPr="00877EDE">
        <w:t xml:space="preserve"> difficult to confidently </w:t>
      </w:r>
      <w:r w:rsidR="0091208E">
        <w:t>project future population growth</w:t>
      </w:r>
      <w:r w:rsidR="00787253">
        <w:t xml:space="preserve">. </w:t>
      </w:r>
      <w:r w:rsidR="00D713AE">
        <w:t>While t</w:t>
      </w:r>
      <w:r w:rsidR="00787253" w:rsidRPr="00877EDE">
        <w:t xml:space="preserve">he Centre has used its best judgement in </w:t>
      </w:r>
      <w:r w:rsidR="00A37BC0">
        <w:t>preparing these</w:t>
      </w:r>
      <w:r w:rsidR="0091208E">
        <w:t xml:space="preserve"> project</w:t>
      </w:r>
      <w:r w:rsidR="00AA15E9">
        <w:t>ion</w:t>
      </w:r>
      <w:r w:rsidR="0091208E">
        <w:t>s</w:t>
      </w:r>
      <w:r w:rsidR="00A37BC0">
        <w:t xml:space="preserve">, </w:t>
      </w:r>
      <w:r w:rsidR="0078366B">
        <w:t xml:space="preserve">uncertainty </w:t>
      </w:r>
      <w:r w:rsidR="00B025F0">
        <w:t xml:space="preserve">about the future and substantial but unavoidable lags in net overseas migration data make revisions likely going forward. </w:t>
      </w:r>
    </w:p>
    <w:p w14:paraId="61AC4E25" w14:textId="7E55ABC9" w:rsidR="0078642F" w:rsidRDefault="001473D4">
      <w:pPr>
        <w:spacing w:before="0" w:after="160" w:line="259" w:lineRule="auto"/>
      </w:pPr>
      <w:r w:rsidRPr="0078642F">
        <w:rPr>
          <w:noProof/>
        </w:rPr>
        <w:drawing>
          <wp:inline distT="0" distB="0" distL="0" distR="0" wp14:anchorId="37AC4591" wp14:editId="68DDC1CA">
            <wp:extent cx="2240783" cy="914147"/>
            <wp:effectExtent l="0" t="0" r="762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260055" cy="922009"/>
                    </a:xfrm>
                    <a:prstGeom prst="rect">
                      <a:avLst/>
                    </a:prstGeom>
                  </pic:spPr>
                </pic:pic>
              </a:graphicData>
            </a:graphic>
          </wp:inline>
        </w:drawing>
      </w:r>
    </w:p>
    <w:p w14:paraId="04E68832" w14:textId="77777777" w:rsidR="0078642F" w:rsidRDefault="0078642F">
      <w:pPr>
        <w:spacing w:before="0" w:after="160" w:line="259" w:lineRule="auto"/>
      </w:pPr>
    </w:p>
    <w:p w14:paraId="21C3A994" w14:textId="77777777" w:rsidR="0078642F" w:rsidRDefault="0078642F">
      <w:pPr>
        <w:spacing w:before="0" w:after="160" w:line="259" w:lineRule="auto"/>
      </w:pPr>
    </w:p>
    <w:p w14:paraId="404ECAF0" w14:textId="722E82E8" w:rsidR="00A17713" w:rsidRDefault="00A17713">
      <w:pPr>
        <w:spacing w:before="0" w:after="160" w:line="259" w:lineRule="auto"/>
      </w:pPr>
      <w:r>
        <w:br w:type="page"/>
      </w:r>
    </w:p>
    <w:p w14:paraId="673CE82F" w14:textId="0AD69C05" w:rsidR="00E51DD2" w:rsidRDefault="00A7081B" w:rsidP="00E51DD2">
      <w:pPr>
        <w:pStyle w:val="Heading1"/>
      </w:pPr>
      <w:bookmarkStart w:id="29" w:name="_Toc151994715"/>
      <w:bookmarkStart w:id="30" w:name="_Toc154050204"/>
      <w:r>
        <w:lastRenderedPageBreak/>
        <w:t xml:space="preserve">Key </w:t>
      </w:r>
      <w:r w:rsidR="00AB1AF9">
        <w:t>points</w:t>
      </w:r>
      <w:bookmarkEnd w:id="29"/>
      <w:bookmarkEnd w:id="30"/>
    </w:p>
    <w:p w14:paraId="58C0A6A7" w14:textId="53B1CB04" w:rsidR="008A2909" w:rsidRDefault="008A2909" w:rsidP="004218BD">
      <w:r w:rsidRPr="00410E4F">
        <w:t xml:space="preserve">Annual population growth is </w:t>
      </w:r>
      <w:r>
        <w:t>forecast</w:t>
      </w:r>
      <w:r w:rsidRPr="00410E4F">
        <w:t xml:space="preserve"> to increase from 1</w:t>
      </w:r>
      <w:r>
        <w:t>.3</w:t>
      </w:r>
      <w:r w:rsidR="001F3B6F">
        <w:t> per cent</w:t>
      </w:r>
      <w:r w:rsidRPr="00410E4F">
        <w:t xml:space="preserve"> in </w:t>
      </w:r>
      <w:r>
        <w:t>2021</w:t>
      </w:r>
      <w:r w:rsidR="005D6FCC">
        <w:t>–</w:t>
      </w:r>
      <w:r>
        <w:t>22</w:t>
      </w:r>
      <w:r w:rsidRPr="00410E4F">
        <w:t xml:space="preserve"> to </w:t>
      </w:r>
      <w:r>
        <w:t>2.</w:t>
      </w:r>
      <w:r w:rsidRPr="00410E4F">
        <w:t>4</w:t>
      </w:r>
      <w:r w:rsidR="001F3B6F">
        <w:t> per cent</w:t>
      </w:r>
      <w:r w:rsidRPr="00410E4F">
        <w:t xml:space="preserve"> </w:t>
      </w:r>
      <w:r>
        <w:t>in</w:t>
      </w:r>
      <w:r w:rsidRPr="00410E4F">
        <w:t xml:space="preserve"> 202</w:t>
      </w:r>
      <w:r>
        <w:t>2</w:t>
      </w:r>
      <w:r w:rsidRPr="00410E4F">
        <w:t>–2</w:t>
      </w:r>
      <w:r>
        <w:t>3 and 1.9</w:t>
      </w:r>
      <w:r w:rsidR="001F3B6F">
        <w:t> per cent</w:t>
      </w:r>
      <w:r>
        <w:t xml:space="preserve"> in 2023</w:t>
      </w:r>
      <w:r w:rsidR="00D41348" w:rsidRPr="00464D17">
        <w:t>–</w:t>
      </w:r>
      <w:r>
        <w:t>24</w:t>
      </w:r>
      <w:r w:rsidRPr="00410E4F">
        <w:t xml:space="preserve">. Growth is then projected to gradually </w:t>
      </w:r>
      <w:r w:rsidR="0061797B">
        <w:t>ease</w:t>
      </w:r>
      <w:r w:rsidR="00C5415B">
        <w:t>,</w:t>
      </w:r>
      <w:r w:rsidRPr="00410E4F">
        <w:t xml:space="preserve"> reaching 1.2</w:t>
      </w:r>
      <w:r w:rsidR="001F3B6F">
        <w:t> per cent</w:t>
      </w:r>
      <w:r w:rsidRPr="00410E4F">
        <w:t xml:space="preserve"> by </w:t>
      </w:r>
      <w:r>
        <w:t>2033</w:t>
      </w:r>
      <w:r w:rsidR="00D92C8D" w:rsidRPr="00464D17">
        <w:t>–</w:t>
      </w:r>
      <w:r>
        <w:t>34</w:t>
      </w:r>
      <w:r w:rsidRPr="00410E4F">
        <w:t xml:space="preserve">. </w:t>
      </w:r>
    </w:p>
    <w:p w14:paraId="639D2D08" w14:textId="793E1670" w:rsidR="00861329" w:rsidRDefault="001A3196" w:rsidP="004218BD">
      <w:r w:rsidRPr="00410E4F">
        <w:t>Australia</w:t>
      </w:r>
      <w:r w:rsidR="004B14AB">
        <w:t>’</w:t>
      </w:r>
      <w:r w:rsidRPr="00410E4F">
        <w:t xml:space="preserve">s estimated resident population is expected to grow from </w:t>
      </w:r>
      <w:r w:rsidR="00B06ACE">
        <w:t>26</w:t>
      </w:r>
      <w:r w:rsidR="00CA787B">
        <w:t>.0</w:t>
      </w:r>
      <w:r w:rsidRPr="00410E4F">
        <w:t> million on 30 June 20</w:t>
      </w:r>
      <w:r w:rsidR="00910D3E">
        <w:t>2</w:t>
      </w:r>
      <w:r w:rsidR="002C59D3">
        <w:t>2</w:t>
      </w:r>
      <w:r w:rsidRPr="00410E4F">
        <w:t xml:space="preserve"> to </w:t>
      </w:r>
      <w:r w:rsidR="004510D8">
        <w:t>30.</w:t>
      </w:r>
      <w:r w:rsidR="001838F2">
        <w:t>9</w:t>
      </w:r>
      <w:r w:rsidRPr="00410E4F">
        <w:t xml:space="preserve"> million by 30 June 203</w:t>
      </w:r>
      <w:r w:rsidR="00910D3E">
        <w:t>4</w:t>
      </w:r>
      <w:r>
        <w:t xml:space="preserve">. </w:t>
      </w:r>
    </w:p>
    <w:p w14:paraId="0EB39867" w14:textId="191496EE" w:rsidR="001A3196" w:rsidRDefault="001A3196" w:rsidP="004218BD">
      <w:r w:rsidRPr="00410E4F">
        <w:t>Ageing will continue to present a demographic challenge for Australia, with the median age projected to increase from 38.</w:t>
      </w:r>
      <w:r w:rsidR="001E69D3">
        <w:t>5</w:t>
      </w:r>
      <w:r>
        <w:t xml:space="preserve"> years</w:t>
      </w:r>
      <w:r w:rsidRPr="00410E4F">
        <w:t xml:space="preserve"> in </w:t>
      </w:r>
      <w:r w:rsidR="001B6C9E">
        <w:t>2021</w:t>
      </w:r>
      <w:r w:rsidR="007A5D76" w:rsidRPr="00B776F6">
        <w:t>–</w:t>
      </w:r>
      <w:r w:rsidR="001B6C9E">
        <w:t>22</w:t>
      </w:r>
      <w:r w:rsidRPr="00410E4F">
        <w:t xml:space="preserve"> to </w:t>
      </w:r>
      <w:r w:rsidR="00882355">
        <w:t>39</w:t>
      </w:r>
      <w:r w:rsidRPr="00410E4F">
        <w:t>.</w:t>
      </w:r>
      <w:r w:rsidR="001E69D3">
        <w:t>8</w:t>
      </w:r>
      <w:r>
        <w:t xml:space="preserve"> years</w:t>
      </w:r>
      <w:r w:rsidRPr="00410E4F">
        <w:t xml:space="preserve"> by </w:t>
      </w:r>
      <w:r w:rsidR="00197209">
        <w:t>2033</w:t>
      </w:r>
      <w:r w:rsidR="007A5D76" w:rsidRPr="00B776F6">
        <w:t>–</w:t>
      </w:r>
      <w:r w:rsidR="00197209">
        <w:t>34</w:t>
      </w:r>
      <w:r w:rsidRPr="00410E4F">
        <w:t>.</w:t>
      </w:r>
    </w:p>
    <w:p w14:paraId="6BFE79DB" w14:textId="00D100DD" w:rsidR="00D61EB7" w:rsidRDefault="00001EC2" w:rsidP="004218BD">
      <w:r>
        <w:t>Net overseas migration is still expected to be 185,000 lower over the period 2019</w:t>
      </w:r>
      <w:r w:rsidR="00472E5E" w:rsidRPr="00B776F6">
        <w:t>–</w:t>
      </w:r>
      <w:r>
        <w:t>20 to 2022</w:t>
      </w:r>
      <w:r w:rsidRPr="00B776F6">
        <w:t>–</w:t>
      </w:r>
      <w:r>
        <w:t xml:space="preserve">23 than was forecast in </w:t>
      </w:r>
      <w:r w:rsidR="004748F1">
        <w:t xml:space="preserve">the </w:t>
      </w:r>
      <w:r>
        <w:t>2019</w:t>
      </w:r>
      <w:r w:rsidRPr="00B776F6">
        <w:t>–</w:t>
      </w:r>
      <w:r>
        <w:t>20 MYEFO</w:t>
      </w:r>
      <w:r w:rsidR="00202668">
        <w:t>.</w:t>
      </w:r>
      <w:r>
        <w:t xml:space="preserve"> </w:t>
      </w:r>
      <w:r w:rsidR="006C6DF0">
        <w:t>This is</w:t>
      </w:r>
      <w:r>
        <w:t xml:space="preserve"> due to </w:t>
      </w:r>
      <w:r w:rsidR="00FE06DC">
        <w:t xml:space="preserve">the </w:t>
      </w:r>
      <w:r w:rsidR="006C6DF0">
        <w:t xml:space="preserve">COVID-19 </w:t>
      </w:r>
      <w:r w:rsidR="00FE06DC">
        <w:t>pandemic</w:t>
      </w:r>
      <w:r w:rsidR="006C6DF0">
        <w:t>,</w:t>
      </w:r>
      <w:r>
        <w:t xml:space="preserve"> but is recovering with net overseas </w:t>
      </w:r>
      <w:r w:rsidR="00CB0EC3">
        <w:t>migration</w:t>
      </w:r>
      <w:r>
        <w:t xml:space="preserve"> forecast to be 510,000 people in 2022–23 and to return to pre-pandemic levels by 2024</w:t>
      </w:r>
      <w:r w:rsidRPr="00B776F6">
        <w:t>–</w:t>
      </w:r>
      <w:r>
        <w:t>25</w:t>
      </w:r>
      <w:r w:rsidR="004D3F97">
        <w:t>. Policy directions</w:t>
      </w:r>
      <w:r w:rsidR="004D4318">
        <w:t xml:space="preserve"> identified in the Migration Strategy</w:t>
      </w:r>
      <w:r w:rsidR="004D3F97">
        <w:t xml:space="preserve"> </w:t>
      </w:r>
      <w:r w:rsidR="00D60F57">
        <w:t xml:space="preserve">are expected to </w:t>
      </w:r>
      <w:r w:rsidR="0076628E">
        <w:t>reduce net overseas migration</w:t>
      </w:r>
      <w:r w:rsidR="00EA41D9">
        <w:t xml:space="preserve">, </w:t>
      </w:r>
      <w:r w:rsidR="00EA41D9" w:rsidRPr="008606CB">
        <w:t>and get migration working to deliver a prosperous and secure Australia</w:t>
      </w:r>
      <w:r w:rsidR="009D252D">
        <w:t>.</w:t>
      </w:r>
      <w:r w:rsidR="008338CA">
        <w:t xml:space="preserve"> </w:t>
      </w:r>
    </w:p>
    <w:p w14:paraId="5691B030" w14:textId="1DF5EE2E" w:rsidR="00D7746E" w:rsidRPr="00877EDE" w:rsidRDefault="00D7746E" w:rsidP="004218BD">
      <w:r w:rsidRPr="00877EDE">
        <w:t xml:space="preserve">Fertility rates have been slowly declining over the past </w:t>
      </w:r>
      <w:r>
        <w:t>60</w:t>
      </w:r>
      <w:r w:rsidRPr="00877EDE">
        <w:t xml:space="preserve"> years and this trend is expected to continue. The total fertility rate is projected to decline from 1.66 babies per woman in 202</w:t>
      </w:r>
      <w:r>
        <w:t>2</w:t>
      </w:r>
      <w:r w:rsidR="005D6FCC">
        <w:t>–</w:t>
      </w:r>
      <w:r>
        <w:t>23</w:t>
      </w:r>
      <w:r w:rsidRPr="00877EDE">
        <w:t xml:space="preserve"> to 1.62 </w:t>
      </w:r>
      <w:r>
        <w:t xml:space="preserve">babies </w:t>
      </w:r>
      <w:r w:rsidRPr="00877EDE">
        <w:t>by 2030</w:t>
      </w:r>
      <w:r>
        <w:t>–</w:t>
      </w:r>
      <w:r w:rsidRPr="00877EDE">
        <w:t xml:space="preserve">31. </w:t>
      </w:r>
      <w:r w:rsidR="00851081">
        <w:t>In</w:t>
      </w:r>
      <w:r w:rsidR="006F48FB">
        <w:t> </w:t>
      </w:r>
      <w:r w:rsidR="00851081">
        <w:t>recent decades,</w:t>
      </w:r>
      <w:r w:rsidR="00B10A7D">
        <w:t xml:space="preserve"> Australian women </w:t>
      </w:r>
      <w:r w:rsidR="007D012F">
        <w:t>are having</w:t>
      </w:r>
      <w:r w:rsidR="00851081">
        <w:t xml:space="preserve"> children later in life</w:t>
      </w:r>
      <w:r w:rsidR="007D012F">
        <w:t xml:space="preserve"> and </w:t>
      </w:r>
      <w:r w:rsidR="00B10A7D">
        <w:t>having fewer children</w:t>
      </w:r>
      <w:r w:rsidR="00356D88">
        <w:t>,</w:t>
      </w:r>
      <w:r w:rsidR="00B10A7D">
        <w:t xml:space="preserve"> </w:t>
      </w:r>
      <w:r w:rsidR="00FA09F2">
        <w:t xml:space="preserve">which </w:t>
      </w:r>
      <w:r w:rsidR="00C371D9">
        <w:t xml:space="preserve">has </w:t>
      </w:r>
      <w:r w:rsidR="00FA09F2">
        <w:t xml:space="preserve">led to smaller </w:t>
      </w:r>
      <w:r w:rsidR="00AC6996">
        <w:t>families</w:t>
      </w:r>
      <w:r w:rsidR="007D012F">
        <w:t>.</w:t>
      </w:r>
      <w:r w:rsidR="00B10A7D">
        <w:t xml:space="preserve"> </w:t>
      </w:r>
    </w:p>
    <w:p w14:paraId="2D2F0389" w14:textId="54D35052" w:rsidR="001A3196" w:rsidRDefault="006D262F" w:rsidP="004218BD">
      <w:r>
        <w:t>A</w:t>
      </w:r>
      <w:r w:rsidR="001A3196" w:rsidRPr="00877EDE">
        <w:t>s COVID</w:t>
      </w:r>
      <w:r w:rsidR="004B14AB">
        <w:noBreakHyphen/>
      </w:r>
      <w:r w:rsidR="001A3196" w:rsidRPr="00877EDE">
        <w:t xml:space="preserve">19 infection rates increased </w:t>
      </w:r>
      <w:r w:rsidR="002366A3">
        <w:t>from the beginning of</w:t>
      </w:r>
      <w:r w:rsidR="001A3196" w:rsidRPr="00877EDE">
        <w:t xml:space="preserve"> 2022, deaths from COVID</w:t>
      </w:r>
      <w:r w:rsidR="004B14AB">
        <w:noBreakHyphen/>
      </w:r>
      <w:r w:rsidR="001A3196" w:rsidRPr="00877EDE">
        <w:t xml:space="preserve">19 and other causes </w:t>
      </w:r>
      <w:r w:rsidR="005261BA">
        <w:t>rose</w:t>
      </w:r>
      <w:r w:rsidR="001A3196" w:rsidRPr="00877EDE">
        <w:t xml:space="preserve">. </w:t>
      </w:r>
      <w:r w:rsidR="000A7B22">
        <w:t>In 2023, deaths remain eleva</w:t>
      </w:r>
      <w:r w:rsidR="00CC3A98">
        <w:t xml:space="preserve">ted </w:t>
      </w:r>
      <w:r w:rsidR="00697B38">
        <w:t>primarily reflecting COVID</w:t>
      </w:r>
      <w:r w:rsidR="00D71883">
        <w:t>-19</w:t>
      </w:r>
      <w:r w:rsidR="00697B38">
        <w:t xml:space="preserve"> still impacting </w:t>
      </w:r>
      <w:r w:rsidR="003A2A9C">
        <w:t>older Australians</w:t>
      </w:r>
      <w:r w:rsidR="00697B38">
        <w:t>,</w:t>
      </w:r>
      <w:r w:rsidR="00CC3A98">
        <w:t xml:space="preserve"> although at a lower level than in 2022</w:t>
      </w:r>
      <w:r w:rsidR="00053CFC">
        <w:t>.</w:t>
      </w:r>
      <w:r w:rsidR="000A7B22">
        <w:t xml:space="preserve"> </w:t>
      </w:r>
      <w:r w:rsidR="00613094">
        <w:t>A</w:t>
      </w:r>
      <w:r w:rsidR="008D58BA">
        <w:t xml:space="preserve">lthough </w:t>
      </w:r>
      <w:r w:rsidR="001A3196">
        <w:t xml:space="preserve">uncertainty </w:t>
      </w:r>
      <w:r w:rsidR="008D58BA">
        <w:t xml:space="preserve">about </w:t>
      </w:r>
      <w:r w:rsidR="008D5DD0">
        <w:t xml:space="preserve">the medium and </w:t>
      </w:r>
      <w:r w:rsidR="001A3196">
        <w:t>long</w:t>
      </w:r>
      <w:r w:rsidR="00E95961">
        <w:t xml:space="preserve"> </w:t>
      </w:r>
      <w:r w:rsidR="001A3196">
        <w:t xml:space="preserve">term </w:t>
      </w:r>
      <w:r w:rsidR="00970B1D">
        <w:t>effect</w:t>
      </w:r>
      <w:r w:rsidR="008D58BA">
        <w:t>s</w:t>
      </w:r>
      <w:r w:rsidR="00970B1D">
        <w:t xml:space="preserve"> </w:t>
      </w:r>
      <w:r w:rsidR="001A3196">
        <w:t xml:space="preserve">of </w:t>
      </w:r>
      <w:r w:rsidR="00970B1D">
        <w:t>COVID</w:t>
      </w:r>
      <w:r w:rsidR="004B14AB">
        <w:noBreakHyphen/>
      </w:r>
      <w:r w:rsidR="00970B1D">
        <w:t>19</w:t>
      </w:r>
      <w:r w:rsidR="008D58BA">
        <w:t xml:space="preserve"> </w:t>
      </w:r>
      <w:r w:rsidR="001A3196">
        <w:t>on mortality</w:t>
      </w:r>
      <w:r w:rsidR="00614F98">
        <w:t xml:space="preserve"> rates</w:t>
      </w:r>
      <w:r w:rsidR="008D58BA">
        <w:t xml:space="preserve"> remain</w:t>
      </w:r>
      <w:r w:rsidR="00613094">
        <w:t xml:space="preserve">, </w:t>
      </w:r>
      <w:r w:rsidR="00FC56AE" w:rsidRPr="007147E3">
        <w:t xml:space="preserve">mortality </w:t>
      </w:r>
      <w:r w:rsidR="00FC56AE">
        <w:t>is</w:t>
      </w:r>
      <w:r w:rsidR="005F2C46">
        <w:t xml:space="preserve"> not</w:t>
      </w:r>
      <w:r w:rsidR="00FC56AE">
        <w:t xml:space="preserve"> </w:t>
      </w:r>
      <w:r w:rsidR="003D53EF">
        <w:t>expected</w:t>
      </w:r>
      <w:r w:rsidR="00FC56AE">
        <w:t xml:space="preserve"> to</w:t>
      </w:r>
      <w:r w:rsidR="00FC56AE" w:rsidRPr="008C5E84">
        <w:t xml:space="preserve"> </w:t>
      </w:r>
      <w:r w:rsidR="00FC56AE" w:rsidRPr="007147E3">
        <w:t>return to its pre</w:t>
      </w:r>
      <w:r w:rsidR="004B14AB">
        <w:noBreakHyphen/>
      </w:r>
      <w:r w:rsidR="00FC56AE" w:rsidRPr="007147E3">
        <w:t xml:space="preserve">pandemic </w:t>
      </w:r>
      <w:r w:rsidR="003D53EF">
        <w:t xml:space="preserve">trend </w:t>
      </w:r>
      <w:r w:rsidR="005F2C46">
        <w:t>un</w:t>
      </w:r>
      <w:r w:rsidR="003D53EF">
        <w:t xml:space="preserve">til </w:t>
      </w:r>
      <w:r w:rsidR="00FC56AE" w:rsidRPr="007147E3">
        <w:t>202</w:t>
      </w:r>
      <w:r w:rsidR="00FC56AE">
        <w:t>6–</w:t>
      </w:r>
      <w:r w:rsidR="00FC56AE" w:rsidRPr="007147E3">
        <w:t>2</w:t>
      </w:r>
      <w:r w:rsidR="00FC56AE">
        <w:t>7</w:t>
      </w:r>
      <w:r w:rsidR="001A3196" w:rsidRPr="00877EDE">
        <w:t>.</w:t>
      </w:r>
    </w:p>
    <w:p w14:paraId="7417D0D4" w14:textId="1D487588" w:rsidR="001018EB" w:rsidRPr="00877EDE" w:rsidRDefault="001018EB" w:rsidP="004218BD">
      <w:r w:rsidRPr="00877EDE">
        <w:t>Th</w:t>
      </w:r>
      <w:r>
        <w:t>e COVID</w:t>
      </w:r>
      <w:r w:rsidR="004B14AB">
        <w:noBreakHyphen/>
      </w:r>
      <w:r>
        <w:t xml:space="preserve">19 pandemic </w:t>
      </w:r>
      <w:r w:rsidRPr="00877EDE">
        <w:t>is expected to result in a short</w:t>
      </w:r>
      <w:r w:rsidR="00310A93">
        <w:t xml:space="preserve"> </w:t>
      </w:r>
      <w:r w:rsidRPr="00877EDE">
        <w:t xml:space="preserve">term </w:t>
      </w:r>
      <w:r>
        <w:t>impact</w:t>
      </w:r>
      <w:r w:rsidRPr="00877EDE">
        <w:t xml:space="preserve"> </w:t>
      </w:r>
      <w:r>
        <w:t>on</w:t>
      </w:r>
      <w:r w:rsidRPr="00877EDE">
        <w:t xml:space="preserve"> life expectancy </w:t>
      </w:r>
      <w:r>
        <w:t>between</w:t>
      </w:r>
      <w:r w:rsidRPr="00877EDE">
        <w:t xml:space="preserve"> 2021</w:t>
      </w:r>
      <w:r>
        <w:t>–</w:t>
      </w:r>
      <w:r w:rsidRPr="00877EDE">
        <w:t xml:space="preserve">22 and </w:t>
      </w:r>
      <w:r>
        <w:t>2025</w:t>
      </w:r>
      <w:r w:rsidR="00037CE7" w:rsidRPr="00C02FA4">
        <w:t>–</w:t>
      </w:r>
      <w:r>
        <w:t>26</w:t>
      </w:r>
      <w:r w:rsidR="004B14AB">
        <w:t>.</w:t>
      </w:r>
      <w:r w:rsidR="004B14AB" w:rsidRPr="00FC3DCC">
        <w:t xml:space="preserve"> </w:t>
      </w:r>
      <w:r w:rsidR="00DD3719">
        <w:rPr>
          <w:rStyle w:val="normaltextrun"/>
          <w:rFonts w:ascii="Calibri" w:hAnsi="Calibri" w:cs="Calibri"/>
          <w:color w:val="000000"/>
          <w:shd w:val="clear" w:color="auto" w:fill="FFFFFF"/>
        </w:rPr>
        <w:t xml:space="preserve">While </w:t>
      </w:r>
      <w:r w:rsidR="00E35EE2">
        <w:rPr>
          <w:rStyle w:val="normaltextrun"/>
          <w:rFonts w:ascii="Calibri" w:hAnsi="Calibri" w:cs="Calibri"/>
          <w:color w:val="000000"/>
          <w:shd w:val="clear" w:color="auto" w:fill="FFFFFF"/>
        </w:rPr>
        <w:t>Australia has the third highest life expectancy in the world,</w:t>
      </w:r>
      <w:r w:rsidR="004D1AAE">
        <w:rPr>
          <w:rStyle w:val="normaltextrun"/>
          <w:rFonts w:ascii="Calibri" w:hAnsi="Calibri" w:cs="Calibri"/>
          <w:color w:val="000000"/>
          <w:shd w:val="clear" w:color="auto" w:fill="FFFFFF"/>
        </w:rPr>
        <w:t xml:space="preserve"> </w:t>
      </w:r>
      <w:r w:rsidR="00E70554">
        <w:rPr>
          <w:rStyle w:val="normaltextrun"/>
          <w:rFonts w:ascii="Calibri" w:hAnsi="Calibri" w:cs="Calibri"/>
          <w:color w:val="000000"/>
          <w:shd w:val="clear" w:color="auto" w:fill="FFFFFF"/>
        </w:rPr>
        <w:t xml:space="preserve">some </w:t>
      </w:r>
      <w:r w:rsidR="00DC7DBC">
        <w:rPr>
          <w:rStyle w:val="normaltextrun"/>
          <w:rFonts w:ascii="Calibri" w:hAnsi="Calibri" w:cs="Calibri"/>
          <w:color w:val="000000"/>
          <w:shd w:val="clear" w:color="auto" w:fill="FFFFFF"/>
        </w:rPr>
        <w:t>people</w:t>
      </w:r>
      <w:r w:rsidR="00E70554">
        <w:rPr>
          <w:rStyle w:val="normaltextrun"/>
          <w:rFonts w:ascii="Calibri" w:hAnsi="Calibri" w:cs="Calibri"/>
          <w:color w:val="000000"/>
          <w:shd w:val="clear" w:color="auto" w:fill="FFFFFF"/>
        </w:rPr>
        <w:t xml:space="preserve"> experience significantly lower life expectancies than the </w:t>
      </w:r>
      <w:r w:rsidR="004468EC">
        <w:rPr>
          <w:rStyle w:val="normaltextrun"/>
          <w:rFonts w:ascii="Calibri" w:hAnsi="Calibri" w:cs="Calibri"/>
          <w:color w:val="000000"/>
          <w:shd w:val="clear" w:color="auto" w:fill="FFFFFF"/>
        </w:rPr>
        <w:t>nation</w:t>
      </w:r>
      <w:r w:rsidR="00A02E63">
        <w:rPr>
          <w:rStyle w:val="normaltextrun"/>
          <w:rFonts w:ascii="Calibri" w:hAnsi="Calibri" w:cs="Calibri"/>
          <w:color w:val="000000"/>
          <w:shd w:val="clear" w:color="auto" w:fill="FFFFFF"/>
        </w:rPr>
        <w:t>al</w:t>
      </w:r>
      <w:r w:rsidR="004468EC">
        <w:rPr>
          <w:rStyle w:val="normaltextrun"/>
          <w:rFonts w:ascii="Calibri" w:hAnsi="Calibri" w:cs="Calibri"/>
          <w:color w:val="000000"/>
          <w:shd w:val="clear" w:color="auto" w:fill="FFFFFF"/>
        </w:rPr>
        <w:t xml:space="preserve"> </w:t>
      </w:r>
      <w:r w:rsidR="00E70554">
        <w:rPr>
          <w:rStyle w:val="normaltextrun"/>
          <w:rFonts w:ascii="Calibri" w:hAnsi="Calibri" w:cs="Calibri"/>
          <w:color w:val="000000"/>
          <w:shd w:val="clear" w:color="auto" w:fill="FFFFFF"/>
        </w:rPr>
        <w:t xml:space="preserve">average. </w:t>
      </w:r>
      <w:r w:rsidR="00770DAA">
        <w:rPr>
          <w:rStyle w:val="normaltextrun"/>
          <w:rFonts w:ascii="Calibri" w:hAnsi="Calibri" w:cs="Calibri"/>
          <w:color w:val="000000"/>
          <w:shd w:val="clear" w:color="auto" w:fill="FFFFFF"/>
        </w:rPr>
        <w:t>Life</w:t>
      </w:r>
      <w:r w:rsidR="004D1AAE">
        <w:t xml:space="preserve"> expectancy for Aboriginal and Torres</w:t>
      </w:r>
      <w:r w:rsidR="001C79BE">
        <w:t> </w:t>
      </w:r>
      <w:r w:rsidR="004D1AAE">
        <w:t>Strait</w:t>
      </w:r>
      <w:r w:rsidR="001C79BE">
        <w:t> </w:t>
      </w:r>
      <w:r w:rsidR="004D1AAE">
        <w:t xml:space="preserve">Islander </w:t>
      </w:r>
      <w:r w:rsidR="00602C82">
        <w:t>people</w:t>
      </w:r>
      <w:r w:rsidR="004D1AAE">
        <w:t xml:space="preserve"> </w:t>
      </w:r>
      <w:r w:rsidR="002373D6">
        <w:t xml:space="preserve">is </w:t>
      </w:r>
      <w:r w:rsidR="005B4FAC">
        <w:t>over</w:t>
      </w:r>
      <w:r w:rsidR="004D1AAE">
        <w:t xml:space="preserve"> 8 years lower than </w:t>
      </w:r>
      <w:r w:rsidR="00A3524B">
        <w:t>for</w:t>
      </w:r>
      <w:r w:rsidR="004D1AAE">
        <w:t xml:space="preserve"> the non</w:t>
      </w:r>
      <w:r w:rsidR="004B14AB">
        <w:noBreakHyphen/>
      </w:r>
      <w:r w:rsidR="004D1AAE">
        <w:t xml:space="preserve">Indigenous population. </w:t>
      </w:r>
    </w:p>
    <w:p w14:paraId="0897DEFB" w14:textId="52F0F6BA" w:rsidR="00F9624A" w:rsidRDefault="001A3196" w:rsidP="004218BD">
      <w:r w:rsidRPr="00410E4F">
        <w:t>States and territories are projected to return to well</w:t>
      </w:r>
      <w:r w:rsidR="004B14AB">
        <w:noBreakHyphen/>
      </w:r>
      <w:r w:rsidRPr="00410E4F">
        <w:t xml:space="preserve">established population growth </w:t>
      </w:r>
      <w:r w:rsidR="00506D9B">
        <w:t xml:space="preserve">patterns </w:t>
      </w:r>
      <w:r w:rsidRPr="00410E4F">
        <w:t>experienced pre</w:t>
      </w:r>
      <w:r w:rsidR="004B14AB">
        <w:noBreakHyphen/>
      </w:r>
      <w:r w:rsidRPr="00410E4F">
        <w:t xml:space="preserve">pandemic. Capital cities and regional areas are </w:t>
      </w:r>
      <w:r w:rsidR="001E4849">
        <w:t xml:space="preserve">likewise </w:t>
      </w:r>
      <w:r w:rsidRPr="00410E4F">
        <w:t xml:space="preserve">projected to return to </w:t>
      </w:r>
      <w:r w:rsidR="00C94D22">
        <w:t xml:space="preserve">familiar </w:t>
      </w:r>
      <w:r w:rsidRPr="00410E4F">
        <w:t>patterns of population growth</w:t>
      </w:r>
      <w:r w:rsidR="0034653D">
        <w:t xml:space="preserve"> in the coming years</w:t>
      </w:r>
      <w:r w:rsidR="009445E8">
        <w:t xml:space="preserve"> and return to their long-run</w:t>
      </w:r>
      <w:r w:rsidR="00066288">
        <w:t xml:space="preserve"> population</w:t>
      </w:r>
      <w:r w:rsidR="009445E8">
        <w:t xml:space="preserve"> trends by 2025</w:t>
      </w:r>
      <w:r w:rsidR="009445E8" w:rsidDel="00EA63CC">
        <w:t>–</w:t>
      </w:r>
      <w:r w:rsidR="009445E8">
        <w:t>26</w:t>
      </w:r>
      <w:r w:rsidRPr="00410E4F">
        <w:t xml:space="preserve">. </w:t>
      </w:r>
    </w:p>
    <w:p w14:paraId="11F6B33A" w14:textId="12EDABAA" w:rsidR="004366A2" w:rsidRDefault="001A3196" w:rsidP="004218BD">
      <w:r w:rsidRPr="00410E4F">
        <w:t>Melbourne is projected to overtake Sydney as Australia</w:t>
      </w:r>
      <w:r w:rsidR="004B14AB">
        <w:t>’</w:t>
      </w:r>
      <w:r w:rsidRPr="00410E4F">
        <w:t xml:space="preserve">s largest city in 2031–32. </w:t>
      </w:r>
      <w:r w:rsidR="00B477C0">
        <w:t>Brisbane</w:t>
      </w:r>
      <w:r w:rsidR="004B14AB">
        <w:t>’</w:t>
      </w:r>
      <w:r w:rsidR="007C71C0">
        <w:t>s population</w:t>
      </w:r>
      <w:r w:rsidR="00B477C0">
        <w:t xml:space="preserve"> is projected to overtake the population of </w:t>
      </w:r>
      <w:r w:rsidR="005E0FC2">
        <w:t xml:space="preserve">the </w:t>
      </w:r>
      <w:r w:rsidR="00B477C0">
        <w:t>rest of Queensland in 2027</w:t>
      </w:r>
      <w:r w:rsidR="00325070" w:rsidRPr="00C02FA4">
        <w:t>–</w:t>
      </w:r>
      <w:r w:rsidR="00B477C0">
        <w:t xml:space="preserve">28. </w:t>
      </w:r>
      <w:r w:rsidR="00325070">
        <w:t xml:space="preserve">Most </w:t>
      </w:r>
      <w:r w:rsidR="004366A2">
        <w:t xml:space="preserve">capital cities, except for Hobart and Adelaide, are </w:t>
      </w:r>
      <w:r w:rsidR="00783D99">
        <w:t xml:space="preserve">expected </w:t>
      </w:r>
      <w:r w:rsidR="004366A2">
        <w:t xml:space="preserve">to grow faster than the national </w:t>
      </w:r>
      <w:r w:rsidR="005D6780">
        <w:t>average</w:t>
      </w:r>
      <w:r w:rsidR="00254BF0">
        <w:t xml:space="preserve"> because</w:t>
      </w:r>
      <w:r w:rsidR="005572EA">
        <w:t xml:space="preserve"> capital cities </w:t>
      </w:r>
      <w:r w:rsidR="008D7F1D">
        <w:t>tend to</w:t>
      </w:r>
      <w:r w:rsidR="005572EA">
        <w:t xml:space="preserve"> experience higher levels of net overseas migration</w:t>
      </w:r>
      <w:r w:rsidR="00A849BD">
        <w:t xml:space="preserve"> than rest</w:t>
      </w:r>
      <w:r w:rsidR="00991C71">
        <w:t>-of-state areas</w:t>
      </w:r>
      <w:r w:rsidR="005572EA">
        <w:t>.</w:t>
      </w:r>
      <w:r w:rsidR="00B477C0">
        <w:t xml:space="preserve"> </w:t>
      </w:r>
    </w:p>
    <w:p w14:paraId="238B6241" w14:textId="64251F99" w:rsidR="001A3196" w:rsidRDefault="00C72485" w:rsidP="004218BD">
      <w:r>
        <w:t xml:space="preserve">Adelaide and </w:t>
      </w:r>
      <w:r w:rsidR="00224888">
        <w:t xml:space="preserve">all </w:t>
      </w:r>
      <w:r w:rsidR="001A3196" w:rsidRPr="00410E4F">
        <w:t>rest</w:t>
      </w:r>
      <w:r w:rsidR="004B14AB">
        <w:noBreakHyphen/>
      </w:r>
      <w:r w:rsidR="001A3196" w:rsidRPr="00410E4F">
        <w:t>of</w:t>
      </w:r>
      <w:r w:rsidR="004B14AB">
        <w:noBreakHyphen/>
      </w:r>
      <w:r w:rsidR="001A3196" w:rsidRPr="00410E4F">
        <w:t>state areas are expected to</w:t>
      </w:r>
      <w:r w:rsidR="008D56EA">
        <w:t xml:space="preserve"> grow </w:t>
      </w:r>
      <w:r w:rsidR="00351A0E">
        <w:t>more slowly</w:t>
      </w:r>
      <w:r w:rsidR="008D56EA">
        <w:t xml:space="preserve"> than the rest of the country</w:t>
      </w:r>
      <w:r w:rsidR="00224888">
        <w:t>. This is</w:t>
      </w:r>
      <w:r w:rsidR="008D56EA">
        <w:t xml:space="preserve"> due to</w:t>
      </w:r>
      <w:r w:rsidR="00224888">
        <w:t xml:space="preserve"> factors such as</w:t>
      </w:r>
      <w:r w:rsidR="008D56EA">
        <w:t xml:space="preserve"> their older age profile</w:t>
      </w:r>
      <w:r w:rsidR="00783F15">
        <w:t>s</w:t>
      </w:r>
      <w:r w:rsidR="00224888">
        <w:t xml:space="preserve"> and relatively</w:t>
      </w:r>
      <w:r w:rsidR="00F03A9F">
        <w:t xml:space="preserve"> </w:t>
      </w:r>
      <w:r w:rsidR="008D56EA">
        <w:t xml:space="preserve">lower </w:t>
      </w:r>
      <w:r w:rsidR="00224888">
        <w:t xml:space="preserve">rates </w:t>
      </w:r>
      <w:r w:rsidR="008D56EA">
        <w:t>of</w:t>
      </w:r>
      <w:r w:rsidR="008D56EA" w:rsidDel="00224888">
        <w:t xml:space="preserve"> </w:t>
      </w:r>
      <w:r w:rsidR="0061271B">
        <w:t>migration</w:t>
      </w:r>
      <w:r w:rsidR="001A3196" w:rsidRPr="00410E4F">
        <w:t>.</w:t>
      </w:r>
      <w:r w:rsidR="00141BA3">
        <w:t xml:space="preserve"> </w:t>
      </w:r>
    </w:p>
    <w:p w14:paraId="26D45A29" w14:textId="77777777" w:rsidR="00E32BE7" w:rsidRPr="00877EDE" w:rsidRDefault="00E32BE7" w:rsidP="004218BD"/>
    <w:p w14:paraId="492A2E18" w14:textId="2E1048D7" w:rsidR="00E72D0E" w:rsidRDefault="00E72D0E" w:rsidP="004218BD">
      <w:pPr>
        <w:sectPr w:rsidR="00E72D0E" w:rsidSect="00C40D31">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1417" w:right="1417" w:bottom="1417" w:left="1417" w:header="709" w:footer="709" w:gutter="0"/>
          <w:pgNumType w:fmt="lowerRoman"/>
          <w:cols w:space="708"/>
          <w:docGrid w:linePitch="360"/>
        </w:sectPr>
      </w:pPr>
      <w:bookmarkStart w:id="31" w:name="_Toc151994716"/>
    </w:p>
    <w:p w14:paraId="38D1AE1A" w14:textId="34CB0FAE" w:rsidR="00E51DD2" w:rsidRDefault="00E51DD2" w:rsidP="0034783D">
      <w:pPr>
        <w:pStyle w:val="Heading1Numbered"/>
      </w:pPr>
      <w:bookmarkStart w:id="32" w:name="_Toc154050205"/>
      <w:r w:rsidRPr="004E474F">
        <w:rPr>
          <w:bCs/>
        </w:rPr>
        <w:lastRenderedPageBreak/>
        <w:t>National</w:t>
      </w:r>
      <w:r>
        <w:t xml:space="preserve"> population</w:t>
      </w:r>
      <w:bookmarkEnd w:id="31"/>
      <w:bookmarkEnd w:id="32"/>
    </w:p>
    <w:p w14:paraId="50D73EAD" w14:textId="4AEA9183" w:rsidR="004E474F" w:rsidRDefault="00C47C8D" w:rsidP="0034783D">
      <w:pPr>
        <w:pStyle w:val="Heading2Numbered"/>
      </w:pPr>
      <w:bookmarkStart w:id="33" w:name="_Toc149846498"/>
      <w:bookmarkStart w:id="34" w:name="_Toc149846539"/>
      <w:bookmarkStart w:id="35" w:name="_Toc149846637"/>
      <w:bookmarkStart w:id="36" w:name="_Toc149847580"/>
      <w:bookmarkStart w:id="37" w:name="_Toc151994717"/>
      <w:bookmarkStart w:id="38" w:name="_Toc154050206"/>
      <w:r w:rsidRPr="008F536C">
        <w:t>Overview</w:t>
      </w:r>
      <w:bookmarkEnd w:id="33"/>
      <w:bookmarkEnd w:id="34"/>
      <w:bookmarkEnd w:id="35"/>
      <w:bookmarkEnd w:id="36"/>
      <w:bookmarkEnd w:id="37"/>
      <w:bookmarkEnd w:id="38"/>
    </w:p>
    <w:p w14:paraId="2C6A696E" w14:textId="157BD6E3" w:rsidR="00BE4D59" w:rsidRDefault="00C804D4" w:rsidP="0034783D">
      <w:r>
        <w:t>Australia</w:t>
      </w:r>
      <w:r w:rsidR="004B14AB">
        <w:t>’</w:t>
      </w:r>
      <w:r>
        <w:t xml:space="preserve">s population grew by </w:t>
      </w:r>
      <w:r w:rsidR="000B3FBA">
        <w:t>1.3</w:t>
      </w:r>
      <w:r w:rsidR="001F3B6F">
        <w:t> per cent</w:t>
      </w:r>
      <w:r w:rsidR="00C52566">
        <w:t xml:space="preserve"> in 2021</w:t>
      </w:r>
      <w:r w:rsidR="00E54F9C">
        <w:t>–</w:t>
      </w:r>
      <w:r w:rsidR="00253C2F">
        <w:t>22 to reach 26</w:t>
      </w:r>
      <w:r w:rsidR="00382F5D">
        <w:t>.0</w:t>
      </w:r>
      <w:r w:rsidR="00253C2F">
        <w:t xml:space="preserve"> milli</w:t>
      </w:r>
      <w:r w:rsidR="000C29ED">
        <w:t xml:space="preserve">on </w:t>
      </w:r>
      <w:r w:rsidR="00C27B64">
        <w:t xml:space="preserve">people </w:t>
      </w:r>
      <w:r w:rsidR="000C29ED">
        <w:t>on 30 June 2022.</w:t>
      </w:r>
      <w:r w:rsidR="00F51FA3">
        <w:t xml:space="preserve"> </w:t>
      </w:r>
      <w:r w:rsidR="00810C5B">
        <w:t xml:space="preserve">With </w:t>
      </w:r>
      <w:r w:rsidR="00846625">
        <w:t xml:space="preserve">high </w:t>
      </w:r>
      <w:r w:rsidR="00FE5024">
        <w:t xml:space="preserve">net </w:t>
      </w:r>
      <w:r w:rsidR="008914BE">
        <w:t>overseas migration</w:t>
      </w:r>
      <w:r w:rsidR="00073D75">
        <w:t xml:space="preserve"> </w:t>
      </w:r>
      <w:r w:rsidR="00BD11E3">
        <w:t>following</w:t>
      </w:r>
      <w:r w:rsidR="00846625">
        <w:t xml:space="preserve"> the COVID-19 pandemic</w:t>
      </w:r>
      <w:r w:rsidR="008914BE">
        <w:t>, Australia</w:t>
      </w:r>
      <w:r w:rsidR="004B14AB">
        <w:t>’</w:t>
      </w:r>
      <w:r w:rsidR="008914BE">
        <w:t>s population is expected to have grown by 2.</w:t>
      </w:r>
      <w:r w:rsidR="009502FF">
        <w:t>4</w:t>
      </w:r>
      <w:r w:rsidR="001F3B6F">
        <w:t> per cent</w:t>
      </w:r>
      <w:r w:rsidR="008914BE">
        <w:t xml:space="preserve"> in 2022–</w:t>
      </w:r>
      <w:r w:rsidR="00320421">
        <w:t xml:space="preserve">23 to be </w:t>
      </w:r>
      <w:r w:rsidR="002D56BA">
        <w:t>around</w:t>
      </w:r>
      <w:r w:rsidR="00320421">
        <w:t xml:space="preserve"> </w:t>
      </w:r>
      <w:r w:rsidR="006655FC">
        <w:t>26.</w:t>
      </w:r>
      <w:r w:rsidR="00584CC2">
        <w:t>6</w:t>
      </w:r>
      <w:r w:rsidR="006655FC">
        <w:t xml:space="preserve"> million on 30 June 2023 (</w:t>
      </w:r>
      <w:r w:rsidR="00170DCB">
        <w:fldChar w:fldCharType="begin"/>
      </w:r>
      <w:r w:rsidR="00170DCB">
        <w:instrText xml:space="preserve"> REF _Ref149841096 \r \h </w:instrText>
      </w:r>
      <w:r w:rsidR="00AC22D1">
        <w:instrText xml:space="preserve"> \* MERGEFORMAT </w:instrText>
      </w:r>
      <w:r w:rsidR="00170DCB">
        <w:fldChar w:fldCharType="separate"/>
      </w:r>
      <w:r w:rsidR="00CE6FEA">
        <w:t>Table 1</w:t>
      </w:r>
      <w:r w:rsidR="00170DCB">
        <w:fldChar w:fldCharType="end"/>
      </w:r>
      <w:r w:rsidR="006655FC">
        <w:t xml:space="preserve">). </w:t>
      </w:r>
    </w:p>
    <w:p w14:paraId="0B7EFB43" w14:textId="3B2E5573" w:rsidR="00A81A24" w:rsidRDefault="00C725D6" w:rsidP="0034783D">
      <w:r>
        <w:t xml:space="preserve">Net overseas migration </w:t>
      </w:r>
      <w:r w:rsidR="00505342" w:rsidRPr="00ED019A">
        <w:t xml:space="preserve">is </w:t>
      </w:r>
      <w:r w:rsidR="0030649B">
        <w:t>forecast</w:t>
      </w:r>
      <w:r w:rsidR="0030649B" w:rsidRPr="00ED019A">
        <w:t xml:space="preserve"> </w:t>
      </w:r>
      <w:r w:rsidR="00505342" w:rsidRPr="00ED019A">
        <w:t>to contribute 81</w:t>
      </w:r>
      <w:r w:rsidR="001F3B6F">
        <w:t> per cent</w:t>
      </w:r>
      <w:r w:rsidR="00505342" w:rsidRPr="00ED019A">
        <w:t xml:space="preserve"> </w:t>
      </w:r>
      <w:r w:rsidR="005102F2" w:rsidRPr="00ED019A">
        <w:t>of th</w:t>
      </w:r>
      <w:r w:rsidR="00B90E9E">
        <w:t>e</w:t>
      </w:r>
      <w:r w:rsidR="00505342" w:rsidRPr="00ED019A">
        <w:t xml:space="preserve"> population growth in 2022–23</w:t>
      </w:r>
      <w:r w:rsidR="0046638D">
        <w:t xml:space="preserve"> but is forecast to decline over time</w:t>
      </w:r>
      <w:r w:rsidR="00E95D17" w:rsidRPr="00E95D17">
        <w:t xml:space="preserve"> </w:t>
      </w:r>
      <w:r w:rsidR="00E95D17">
        <w:t>(Section 1.2)</w:t>
      </w:r>
      <w:r w:rsidR="00385083">
        <w:t xml:space="preserve">. </w:t>
      </w:r>
      <w:r w:rsidR="00ED3BA3">
        <w:t>The growth in 2022</w:t>
      </w:r>
      <w:r w:rsidR="00737C48">
        <w:t>–</w:t>
      </w:r>
      <w:r w:rsidR="00ED3BA3">
        <w:t>23 primarily reflects a catch</w:t>
      </w:r>
      <w:r w:rsidR="00ED3BA3">
        <w:noBreakHyphen/>
        <w:t>up of migration lost over the pandemic. Over the 8 years from the onset of the pandemic in 2019–20 to the end of the forecasts in 2026–</w:t>
      </w:r>
      <w:r w:rsidR="00ED3BA3">
        <w:rPr>
          <w:caps/>
        </w:rPr>
        <w:t>27</w:t>
      </w:r>
      <w:r w:rsidR="00ED3BA3">
        <w:t xml:space="preserve">, net overseas migration is forecast to average 240,000 persons per year, in line with </w:t>
      </w:r>
      <w:r w:rsidR="00163264">
        <w:t>the</w:t>
      </w:r>
      <w:r w:rsidR="00ED3BA3">
        <w:t xml:space="preserve"> 241,000 in 2018–19</w:t>
      </w:r>
      <w:r w:rsidR="00AB25DE">
        <w:t>, prior to the pandemic</w:t>
      </w:r>
      <w:r w:rsidR="00D47B0C">
        <w:t>.</w:t>
      </w:r>
      <w:r w:rsidR="00B0694B">
        <w:t xml:space="preserve"> </w:t>
      </w:r>
      <w:r w:rsidR="00D76A2A">
        <w:t>Net overseas migration is forecast to return to pre</w:t>
      </w:r>
      <w:r w:rsidR="00D76A2A">
        <w:noBreakHyphen/>
        <w:t>pandemic levels from 2024–25, as pandemic</w:t>
      </w:r>
      <w:r w:rsidR="00D76A2A">
        <w:noBreakHyphen/>
        <w:t>related factors wane and policy directions identified in the Migration Strategy take effect. Policy decisions taken in MYEFO 2023</w:t>
      </w:r>
      <w:r w:rsidR="00D76A2A" w:rsidDel="00F62680">
        <w:t>–</w:t>
      </w:r>
      <w:r w:rsidR="00D76A2A">
        <w:t>24, including those from the Migration Strategy, are expected to reduce net overseas migration by 180,000 over the 4 years to 2026</w:t>
      </w:r>
      <w:r w:rsidR="00D76A2A" w:rsidDel="00F62680">
        <w:t>–</w:t>
      </w:r>
      <w:r w:rsidR="00D76A2A">
        <w:t>27 through both fewer arrivals and more departures.</w:t>
      </w:r>
    </w:p>
    <w:p w14:paraId="0449DC13" w14:textId="32DE8D54" w:rsidR="00402A7C" w:rsidRDefault="00066B42" w:rsidP="004C084B">
      <w:r>
        <w:t>A</w:t>
      </w:r>
      <w:r w:rsidR="004202AD">
        <w:t xml:space="preserve">nnual population growth is expected to </w:t>
      </w:r>
      <w:r w:rsidR="00235D73">
        <w:t>slow</w:t>
      </w:r>
      <w:r w:rsidR="00B0400E">
        <w:t xml:space="preserve"> to</w:t>
      </w:r>
      <w:r w:rsidR="00141DA5">
        <w:t xml:space="preserve"> </w:t>
      </w:r>
      <w:r w:rsidR="007B5016">
        <w:t>1.9</w:t>
      </w:r>
      <w:r w:rsidR="001F3B6F">
        <w:t> per cent</w:t>
      </w:r>
      <w:r w:rsidR="000F3DD1">
        <w:t xml:space="preserve"> in 2023–</w:t>
      </w:r>
      <w:r w:rsidR="002B5E40">
        <w:t>24</w:t>
      </w:r>
      <w:r w:rsidR="009B28AE">
        <w:t xml:space="preserve">. </w:t>
      </w:r>
      <w:r w:rsidR="00D4043D">
        <w:t xml:space="preserve">Population growth </w:t>
      </w:r>
      <w:r w:rsidR="00E73565">
        <w:t xml:space="preserve">is </w:t>
      </w:r>
      <w:r w:rsidR="003345D9">
        <w:t>then</w:t>
      </w:r>
      <w:r w:rsidR="00EA775E">
        <w:t xml:space="preserve"> </w:t>
      </w:r>
      <w:r w:rsidR="00E73565">
        <w:t>expected to</w:t>
      </w:r>
      <w:r w:rsidR="00EA775E">
        <w:t xml:space="preserve"> </w:t>
      </w:r>
      <w:r w:rsidR="007F698D">
        <w:t>slow further to</w:t>
      </w:r>
      <w:r w:rsidR="003345D9">
        <w:t xml:space="preserve"> </w:t>
      </w:r>
      <w:r w:rsidR="00E552FD">
        <w:t>1.</w:t>
      </w:r>
      <w:r w:rsidR="00A935DC">
        <w:t>4</w:t>
      </w:r>
      <w:r w:rsidR="001F3B6F">
        <w:t> per cent</w:t>
      </w:r>
      <w:r w:rsidR="00E552FD">
        <w:t xml:space="preserve"> in 2024</w:t>
      </w:r>
      <w:r w:rsidR="008C0B3E">
        <w:t>–</w:t>
      </w:r>
      <w:r w:rsidR="00E552FD">
        <w:t>25</w:t>
      </w:r>
      <w:r w:rsidR="002B5E40">
        <w:t xml:space="preserve"> </w:t>
      </w:r>
      <w:r w:rsidR="00651D96">
        <w:t>and</w:t>
      </w:r>
      <w:r w:rsidR="002B5E40">
        <w:t xml:space="preserve"> 1.2</w:t>
      </w:r>
      <w:r w:rsidR="001F3B6F">
        <w:t> per cent</w:t>
      </w:r>
      <w:r w:rsidR="002B5E40">
        <w:t xml:space="preserve"> by 2033–34</w:t>
      </w:r>
      <w:r w:rsidR="00402A7C">
        <w:t xml:space="preserve"> (</w:t>
      </w:r>
      <w:r w:rsidR="001944CB">
        <w:fldChar w:fldCharType="begin"/>
      </w:r>
      <w:r w:rsidR="001944CB">
        <w:instrText xml:space="preserve"> REF _Ref149841096 \r \h </w:instrText>
      </w:r>
      <w:r w:rsidR="00AC22D1">
        <w:instrText xml:space="preserve"> \* MERGEFORMAT </w:instrText>
      </w:r>
      <w:r w:rsidR="001944CB">
        <w:fldChar w:fldCharType="separate"/>
      </w:r>
      <w:r w:rsidR="00CE6FEA">
        <w:t>Table 1</w:t>
      </w:r>
      <w:r w:rsidR="001944CB">
        <w:fldChar w:fldCharType="end"/>
      </w:r>
      <w:r w:rsidR="00402A7C">
        <w:t>)</w:t>
      </w:r>
      <w:r w:rsidR="002B5E40">
        <w:t xml:space="preserve">. </w:t>
      </w:r>
      <w:r w:rsidR="00402A7C">
        <w:t>The</w:t>
      </w:r>
      <w:r w:rsidR="001C79BE">
        <w:t> </w:t>
      </w:r>
      <w:r w:rsidR="00402A7C">
        <w:t>main driver of</w:t>
      </w:r>
      <w:r w:rsidR="002B5E40">
        <w:t xml:space="preserve"> </w:t>
      </w:r>
      <w:r w:rsidR="009D729C">
        <w:t xml:space="preserve">the forecast </w:t>
      </w:r>
      <w:r w:rsidR="00402A7C">
        <w:t>s</w:t>
      </w:r>
      <w:r w:rsidR="00B0027C">
        <w:t xml:space="preserve">lowing </w:t>
      </w:r>
      <w:r w:rsidR="00DC5151">
        <w:t xml:space="preserve">population growth </w:t>
      </w:r>
      <w:r w:rsidR="00402A7C">
        <w:t xml:space="preserve">is </w:t>
      </w:r>
      <w:r w:rsidR="0040036F">
        <w:t xml:space="preserve">a </w:t>
      </w:r>
      <w:r w:rsidR="005211D8">
        <w:t xml:space="preserve">decline in </w:t>
      </w:r>
      <w:r w:rsidR="00D052C1">
        <w:t xml:space="preserve">annual net overseas migration </w:t>
      </w:r>
      <w:r w:rsidR="0019190F">
        <w:t xml:space="preserve">from </w:t>
      </w:r>
      <w:r w:rsidR="38EA793B">
        <w:t>a forecast</w:t>
      </w:r>
      <w:r w:rsidR="0019190F">
        <w:t xml:space="preserve"> </w:t>
      </w:r>
      <w:r w:rsidR="00235D73">
        <w:t xml:space="preserve">of </w:t>
      </w:r>
      <w:r w:rsidR="0019190F">
        <w:t>5</w:t>
      </w:r>
      <w:r w:rsidR="00C7115B">
        <w:t>10</w:t>
      </w:r>
      <w:r w:rsidR="00373DC3">
        <w:t>,000</w:t>
      </w:r>
      <w:r w:rsidR="00FF3413" w:rsidRPr="00FF3413">
        <w:t xml:space="preserve"> </w:t>
      </w:r>
      <w:r w:rsidR="00235D73">
        <w:t xml:space="preserve">in 2022–23, </w:t>
      </w:r>
      <w:r w:rsidR="00FF3413">
        <w:t>associated with the catch</w:t>
      </w:r>
      <w:r w:rsidR="005B41AA">
        <w:t>-</w:t>
      </w:r>
      <w:r w:rsidR="00FF3413">
        <w:t xml:space="preserve">up from </w:t>
      </w:r>
      <w:r w:rsidR="00FE06DC">
        <w:t>the pandemic</w:t>
      </w:r>
      <w:r w:rsidR="00235D73">
        <w:t>,</w:t>
      </w:r>
      <w:r w:rsidR="00373DC3">
        <w:t xml:space="preserve"> to </w:t>
      </w:r>
      <w:r w:rsidR="00C22483">
        <w:t>235,000</w:t>
      </w:r>
      <w:r w:rsidR="00373DC3">
        <w:t xml:space="preserve"> by </w:t>
      </w:r>
      <w:r w:rsidR="0080590F">
        <w:t>2026–27</w:t>
      </w:r>
      <w:r w:rsidR="00E979AC">
        <w:t>, which is around the pre</w:t>
      </w:r>
      <w:r w:rsidR="00E979AC">
        <w:noBreakHyphen/>
        <w:t>pandemic level</w:t>
      </w:r>
      <w:r w:rsidR="009B05FB">
        <w:t xml:space="preserve">. </w:t>
      </w:r>
      <w:r w:rsidR="0067383B">
        <w:t>A d</w:t>
      </w:r>
      <w:r w:rsidR="009B05FB">
        <w:t xml:space="preserve">eclining </w:t>
      </w:r>
      <w:r w:rsidR="0036284A">
        <w:t>total fertility rate</w:t>
      </w:r>
      <w:r w:rsidR="0067383B">
        <w:t>,</w:t>
      </w:r>
      <w:r w:rsidR="0036284A">
        <w:t xml:space="preserve"> from 1.66</w:t>
      </w:r>
      <w:r w:rsidR="006058C4">
        <w:t> </w:t>
      </w:r>
      <w:r w:rsidR="0036284A">
        <w:t>babies</w:t>
      </w:r>
      <w:r w:rsidR="006058C4">
        <w:t> per </w:t>
      </w:r>
      <w:r w:rsidR="0036284A">
        <w:t>woman in 202</w:t>
      </w:r>
      <w:r w:rsidR="00AA73DD">
        <w:t>2</w:t>
      </w:r>
      <w:r w:rsidR="0036284A">
        <w:t>–2</w:t>
      </w:r>
      <w:r w:rsidR="00AA73DD">
        <w:t>3</w:t>
      </w:r>
      <w:r w:rsidR="0036284A">
        <w:t xml:space="preserve"> to 1.62</w:t>
      </w:r>
      <w:r w:rsidR="0041733F">
        <w:t xml:space="preserve"> by 2030</w:t>
      </w:r>
      <w:r w:rsidR="006438B7">
        <w:t>–31</w:t>
      </w:r>
      <w:r w:rsidR="009B05FB">
        <w:t xml:space="preserve">, will also </w:t>
      </w:r>
      <w:r w:rsidR="00494659">
        <w:t>slow growth</w:t>
      </w:r>
      <w:r w:rsidR="0030724C">
        <w:t xml:space="preserve"> in the population</w:t>
      </w:r>
      <w:r w:rsidR="009D418E">
        <w:t xml:space="preserve"> (Section</w:t>
      </w:r>
      <w:r w:rsidR="00D92566">
        <w:t> </w:t>
      </w:r>
      <w:r w:rsidR="009D418E">
        <w:t>1.3)</w:t>
      </w:r>
      <w:r w:rsidR="006438B7" w:rsidRPr="00E56A04">
        <w:t>.</w:t>
      </w:r>
      <w:r w:rsidR="006438B7">
        <w:t xml:space="preserve"> </w:t>
      </w:r>
      <w:r w:rsidR="00C605C1">
        <w:t>I</w:t>
      </w:r>
      <w:r w:rsidR="00432239" w:rsidRPr="00ED019A">
        <w:t>ncreased deaths due to</w:t>
      </w:r>
      <w:r w:rsidR="001376ED" w:rsidRPr="00ED019A">
        <w:t xml:space="preserve"> </w:t>
      </w:r>
      <w:r w:rsidR="009D7436">
        <w:t xml:space="preserve">the </w:t>
      </w:r>
      <w:r w:rsidR="001376ED" w:rsidRPr="00ED019A">
        <w:t>COVID</w:t>
      </w:r>
      <w:r w:rsidR="004B14AB">
        <w:noBreakHyphen/>
      </w:r>
      <w:r w:rsidR="001376ED" w:rsidRPr="00ED019A">
        <w:t xml:space="preserve">19 pandemic and other causes </w:t>
      </w:r>
      <w:r w:rsidR="00E56A04" w:rsidRPr="00ED019A">
        <w:t>will</w:t>
      </w:r>
      <w:r w:rsidR="00432239" w:rsidRPr="00ED019A">
        <w:t xml:space="preserve"> </w:t>
      </w:r>
      <w:r w:rsidR="00203975">
        <w:t xml:space="preserve">also slow </w:t>
      </w:r>
      <w:r w:rsidR="00EC29E3" w:rsidRPr="00ED019A">
        <w:t xml:space="preserve">population </w:t>
      </w:r>
      <w:r w:rsidR="006C0BF4" w:rsidRPr="00ED019A">
        <w:t>growth</w:t>
      </w:r>
      <w:r w:rsidR="009D418E">
        <w:t xml:space="preserve"> </w:t>
      </w:r>
      <w:r w:rsidR="000732DD">
        <w:t xml:space="preserve">through </w:t>
      </w:r>
      <w:r w:rsidR="00C605C1" w:rsidRPr="00ED019A">
        <w:t>to 2025‍–‍26</w:t>
      </w:r>
      <w:r w:rsidR="00C605C1">
        <w:t xml:space="preserve"> </w:t>
      </w:r>
      <w:r w:rsidR="009D418E">
        <w:t>(Section 1.</w:t>
      </w:r>
      <w:r w:rsidR="00DC638B">
        <w:t>4</w:t>
      </w:r>
      <w:r w:rsidR="009D418E">
        <w:t>)</w:t>
      </w:r>
      <w:r w:rsidR="001376ED" w:rsidRPr="00ED019A">
        <w:t xml:space="preserve">. </w:t>
      </w:r>
      <w:r w:rsidR="003D68A9">
        <w:t>This</w:t>
      </w:r>
      <w:r w:rsidR="001C79BE">
        <w:t> </w:t>
      </w:r>
      <w:r w:rsidR="003D68A9">
        <w:t xml:space="preserve">will lead to </w:t>
      </w:r>
      <w:r w:rsidR="00EC45E4">
        <w:t>n</w:t>
      </w:r>
      <w:r w:rsidR="000B00F6">
        <w:t xml:space="preserve">atural increase (births minus deaths) </w:t>
      </w:r>
      <w:r w:rsidR="007D5618">
        <w:t>fall</w:t>
      </w:r>
      <w:r w:rsidR="00EC45E4">
        <w:t>ing</w:t>
      </w:r>
      <w:r w:rsidR="007D5618">
        <w:t xml:space="preserve"> more than usual </w:t>
      </w:r>
      <w:r w:rsidR="00616CF7">
        <w:t>in the short</w:t>
      </w:r>
      <w:r w:rsidR="00BC7515">
        <w:t xml:space="preserve"> </w:t>
      </w:r>
      <w:r w:rsidR="00616CF7">
        <w:t xml:space="preserve">term </w:t>
      </w:r>
      <w:r w:rsidR="00064560">
        <w:t xml:space="preserve">before </w:t>
      </w:r>
      <w:r w:rsidR="003D5DB5">
        <w:t>returning</w:t>
      </w:r>
      <w:r w:rsidR="00576DE4">
        <w:t xml:space="preserve"> to </w:t>
      </w:r>
      <w:r w:rsidR="002D5F32">
        <w:t xml:space="preserve">the </w:t>
      </w:r>
      <w:r w:rsidR="00576DE4">
        <w:t>pre</w:t>
      </w:r>
      <w:r w:rsidR="004B14AB">
        <w:noBreakHyphen/>
      </w:r>
      <w:r w:rsidR="00576DE4">
        <w:t xml:space="preserve">pandemic </w:t>
      </w:r>
      <w:r w:rsidR="00E31E7E">
        <w:t>trend</w:t>
      </w:r>
      <w:r w:rsidR="00576DE4">
        <w:t xml:space="preserve"> in 2026</w:t>
      </w:r>
      <w:r w:rsidR="00EB4474">
        <w:t>–</w:t>
      </w:r>
      <w:r w:rsidR="00576DE4">
        <w:t>27</w:t>
      </w:r>
      <w:r w:rsidR="00E14A30">
        <w:t xml:space="preserve"> (</w:t>
      </w:r>
      <w:r w:rsidR="00E14A30">
        <w:fldChar w:fldCharType="begin"/>
      </w:r>
      <w:r w:rsidR="00E14A30">
        <w:instrText xml:space="preserve"> REF _Ref149121260 \r \h </w:instrText>
      </w:r>
      <w:r w:rsidR="00AC22D1">
        <w:instrText xml:space="preserve"> \* MERGEFORMAT </w:instrText>
      </w:r>
      <w:r w:rsidR="00E14A30">
        <w:fldChar w:fldCharType="separate"/>
      </w:r>
      <w:r w:rsidR="00CE6FEA">
        <w:t>Chart 2</w:t>
      </w:r>
      <w:r w:rsidR="00E14A30">
        <w:fldChar w:fldCharType="end"/>
      </w:r>
      <w:r w:rsidR="00E14A30">
        <w:t>)</w:t>
      </w:r>
      <w:r w:rsidR="00576DE4">
        <w:t xml:space="preserve">. </w:t>
      </w:r>
    </w:p>
    <w:p w14:paraId="7456E3CE" w14:textId="28B47D6D" w:rsidR="00991244" w:rsidRDefault="00402A7C" w:rsidP="00D51EC2">
      <w:r>
        <w:t>Australia</w:t>
      </w:r>
      <w:r w:rsidR="004B14AB">
        <w:t>’</w:t>
      </w:r>
      <w:r>
        <w:t xml:space="preserve">s population is expected to reach </w:t>
      </w:r>
      <w:r w:rsidR="00233F6A">
        <w:t>29</w:t>
      </w:r>
      <w:r w:rsidR="00390A23">
        <w:t>.8</w:t>
      </w:r>
      <w:r w:rsidR="003E21B3">
        <w:t xml:space="preserve"> million by 2030</w:t>
      </w:r>
      <w:r w:rsidR="00E54F9C">
        <w:t>–</w:t>
      </w:r>
      <w:r w:rsidR="003E21B3">
        <w:t xml:space="preserve">31 and </w:t>
      </w:r>
      <w:r>
        <w:t>3</w:t>
      </w:r>
      <w:r w:rsidR="00390A23">
        <w:t>0.9</w:t>
      </w:r>
      <w:r>
        <w:t> million by 2033–34</w:t>
      </w:r>
      <w:r w:rsidR="00835912">
        <w:t xml:space="preserve"> and</w:t>
      </w:r>
      <w:r w:rsidR="00E85C52">
        <w:t>,</w:t>
      </w:r>
      <w:r w:rsidR="00835912">
        <w:t xml:space="preserve"> i</w:t>
      </w:r>
      <w:r w:rsidR="008E5C6E">
        <w:t>n the longer</w:t>
      </w:r>
      <w:r w:rsidR="00C07B56">
        <w:t xml:space="preserve"> </w:t>
      </w:r>
      <w:r w:rsidR="008E5C6E">
        <w:t xml:space="preserve">term, </w:t>
      </w:r>
      <w:r w:rsidR="00CD1091">
        <w:t>40.</w:t>
      </w:r>
      <w:r w:rsidR="00DA36D8">
        <w:t>6</w:t>
      </w:r>
      <w:r w:rsidR="00BC3AFD">
        <w:t> </w:t>
      </w:r>
      <w:r w:rsidR="00124C99">
        <w:t>million by 2062–63</w:t>
      </w:r>
      <w:r w:rsidR="00404D60">
        <w:t xml:space="preserve">. </w:t>
      </w:r>
      <w:r w:rsidR="00EE394C">
        <w:t>For 2030</w:t>
      </w:r>
      <w:r w:rsidR="00E54F9C">
        <w:t>–</w:t>
      </w:r>
      <w:r w:rsidR="00EE394C">
        <w:t xml:space="preserve">31, </w:t>
      </w:r>
      <w:r w:rsidR="005207E8">
        <w:t>the expected population</w:t>
      </w:r>
      <w:r w:rsidR="00404D60">
        <w:t xml:space="preserve"> </w:t>
      </w:r>
      <w:r w:rsidR="00B82D68">
        <w:t xml:space="preserve">is </w:t>
      </w:r>
      <w:r w:rsidR="00850C0E">
        <w:t>0.</w:t>
      </w:r>
      <w:r w:rsidR="00D55B72">
        <w:t>1</w:t>
      </w:r>
      <w:r w:rsidR="00C831B1">
        <w:t xml:space="preserve"> million </w:t>
      </w:r>
      <w:r w:rsidR="002E04A9">
        <w:t>(</w:t>
      </w:r>
      <w:r w:rsidR="003D0A53">
        <w:t>0.</w:t>
      </w:r>
      <w:r w:rsidR="00D55B72">
        <w:t>4</w:t>
      </w:r>
      <w:r w:rsidR="001F3B6F">
        <w:t> per cent</w:t>
      </w:r>
      <w:r w:rsidR="002E04A9">
        <w:t>)</w:t>
      </w:r>
      <w:r w:rsidR="00C831B1">
        <w:t xml:space="preserve"> </w:t>
      </w:r>
      <w:r w:rsidR="00DB07EA">
        <w:t>above</w:t>
      </w:r>
      <w:r w:rsidR="00892722">
        <w:t xml:space="preserve"> </w:t>
      </w:r>
      <w:r w:rsidR="001D319B">
        <w:t xml:space="preserve">what was </w:t>
      </w:r>
      <w:r w:rsidR="00335748">
        <w:t>project</w:t>
      </w:r>
      <w:r w:rsidR="001D319B">
        <w:t>e</w:t>
      </w:r>
      <w:r w:rsidR="00DC7857">
        <w:t xml:space="preserve">d </w:t>
      </w:r>
      <w:r w:rsidR="00307E53">
        <w:t>in</w:t>
      </w:r>
      <w:r w:rsidR="00C87383">
        <w:t xml:space="preserve"> </w:t>
      </w:r>
      <w:r w:rsidR="00D63725">
        <w:t xml:space="preserve">the </w:t>
      </w:r>
      <w:r w:rsidR="00D5023C">
        <w:t>2023</w:t>
      </w:r>
      <w:r w:rsidR="00B56C9D">
        <w:t>–</w:t>
      </w:r>
      <w:r w:rsidR="00C87383">
        <w:t>24</w:t>
      </w:r>
      <w:r w:rsidR="0001084C">
        <w:t xml:space="preserve"> </w:t>
      </w:r>
      <w:r w:rsidR="00AC2698">
        <w:t>Budget</w:t>
      </w:r>
      <w:r w:rsidR="0001084C">
        <w:t xml:space="preserve"> (</w:t>
      </w:r>
      <w:r w:rsidR="00775408">
        <w:t>29.7</w:t>
      </w:r>
      <w:r w:rsidR="00BC3AFD">
        <w:t> </w:t>
      </w:r>
      <w:r w:rsidR="0001084C">
        <w:t>million)</w:t>
      </w:r>
      <w:r w:rsidR="00C614CB">
        <w:t xml:space="preserve">, but </w:t>
      </w:r>
      <w:r w:rsidR="0022157D">
        <w:t>0.</w:t>
      </w:r>
      <w:r w:rsidR="00182B13">
        <w:t>6</w:t>
      </w:r>
      <w:r w:rsidR="00F06226">
        <w:t xml:space="preserve"> million people (</w:t>
      </w:r>
      <w:r w:rsidR="00F45B4B">
        <w:t>2.</w:t>
      </w:r>
      <w:r w:rsidR="00667DA7">
        <w:t>1</w:t>
      </w:r>
      <w:r w:rsidR="001F3B6F">
        <w:t> per cent</w:t>
      </w:r>
      <w:r w:rsidR="00F06226">
        <w:t xml:space="preserve">) </w:t>
      </w:r>
      <w:r w:rsidR="00D400B4">
        <w:t>below</w:t>
      </w:r>
      <w:r w:rsidR="00F06226">
        <w:t xml:space="preserve"> what was </w:t>
      </w:r>
      <w:r w:rsidR="00804E0B">
        <w:t xml:space="preserve">projected </w:t>
      </w:r>
      <w:r w:rsidR="000E4C52">
        <w:t>prior to the onset of the pandemic</w:t>
      </w:r>
      <w:r w:rsidR="009C003A">
        <w:t xml:space="preserve"> </w:t>
      </w:r>
      <w:r w:rsidR="00D255FB">
        <w:t xml:space="preserve">in the </w:t>
      </w:r>
      <w:r w:rsidR="009C003A">
        <w:t>2019–20 MYEFO</w:t>
      </w:r>
      <w:r w:rsidR="000E4C52">
        <w:t>.</w:t>
      </w:r>
      <w:r w:rsidR="0077377C">
        <w:rPr>
          <w:rStyle w:val="FootnoteReference"/>
        </w:rPr>
        <w:footnoteReference w:id="2"/>
      </w:r>
      <w:r w:rsidR="00437175">
        <w:t xml:space="preserve"> </w:t>
      </w:r>
      <w:r w:rsidR="00CD3454">
        <w:t>Australia</w:t>
      </w:r>
      <w:r w:rsidR="004B14AB">
        <w:t>’</w:t>
      </w:r>
      <w:r w:rsidR="00CD3454">
        <w:t>s ageing population</w:t>
      </w:r>
      <w:r w:rsidR="00201F7B">
        <w:t xml:space="preserve"> </w:t>
      </w:r>
      <w:r w:rsidR="009F5E3A">
        <w:t>presents a</w:t>
      </w:r>
      <w:r w:rsidR="00201F7B">
        <w:t xml:space="preserve"> </w:t>
      </w:r>
      <w:r w:rsidR="00521958">
        <w:t>significant long</w:t>
      </w:r>
      <w:r w:rsidR="00E95961">
        <w:t xml:space="preserve"> </w:t>
      </w:r>
      <w:r w:rsidR="00521958">
        <w:t xml:space="preserve">term demographic challenge, as discussed in </w:t>
      </w:r>
      <w:r w:rsidR="5A440761">
        <w:t>Chapter</w:t>
      </w:r>
      <w:r w:rsidR="00FC55CC">
        <w:t> </w:t>
      </w:r>
      <w:r w:rsidR="5A440761">
        <w:t>2 of</w:t>
      </w:r>
      <w:r w:rsidR="00201F7B">
        <w:t xml:space="preserve"> the 2</w:t>
      </w:r>
      <w:r w:rsidR="471BEA49">
        <w:t>023</w:t>
      </w:r>
      <w:r w:rsidR="00D47857">
        <w:t> </w:t>
      </w:r>
      <w:r w:rsidR="16AFA897">
        <w:t>Intergeneration</w:t>
      </w:r>
      <w:r w:rsidR="00CC4D05">
        <w:t>al</w:t>
      </w:r>
      <w:r w:rsidR="16AFA897">
        <w:t xml:space="preserve"> Report</w:t>
      </w:r>
      <w:r w:rsidR="00201F7B">
        <w:t>.</w:t>
      </w:r>
      <w:r w:rsidR="00701942">
        <w:t xml:space="preserve"> </w:t>
      </w:r>
      <w:r w:rsidR="00B05BBD">
        <w:t>T</w:t>
      </w:r>
      <w:r w:rsidR="00D71779" w:rsidRPr="00877EDE">
        <w:t>he median age</w:t>
      </w:r>
      <w:r w:rsidR="00D71779">
        <w:t xml:space="preserve"> of the population is expected to</w:t>
      </w:r>
      <w:r w:rsidR="00D71779" w:rsidRPr="00877EDE">
        <w:t xml:space="preserve"> increas</w:t>
      </w:r>
      <w:r w:rsidR="00D71779">
        <w:t>e</w:t>
      </w:r>
      <w:r w:rsidR="00D71779" w:rsidRPr="00877EDE">
        <w:t xml:space="preserve"> by 1.</w:t>
      </w:r>
      <w:r w:rsidR="000C5FE5">
        <w:t>4</w:t>
      </w:r>
      <w:r w:rsidR="001C79BE">
        <w:t> </w:t>
      </w:r>
      <w:r w:rsidR="00D71779" w:rsidRPr="00877EDE">
        <w:t>years between 202</w:t>
      </w:r>
      <w:r w:rsidR="00D71779">
        <w:t>2–</w:t>
      </w:r>
      <w:r w:rsidR="00D71779" w:rsidRPr="00877EDE">
        <w:t>2</w:t>
      </w:r>
      <w:r w:rsidR="00D71779">
        <w:t>3</w:t>
      </w:r>
      <w:r w:rsidR="00D71779" w:rsidRPr="00877EDE">
        <w:t xml:space="preserve"> and 203</w:t>
      </w:r>
      <w:r w:rsidR="00D71779">
        <w:t>3–</w:t>
      </w:r>
      <w:r w:rsidR="00D71779" w:rsidRPr="00877EDE">
        <w:t>3</w:t>
      </w:r>
      <w:r w:rsidR="00D71779">
        <w:t>4</w:t>
      </w:r>
      <w:r w:rsidR="00D71779" w:rsidRPr="00877EDE">
        <w:t xml:space="preserve"> </w:t>
      </w:r>
      <w:r w:rsidR="00991244" w:rsidRPr="00877EDE">
        <w:t>reflecting long</w:t>
      </w:r>
      <w:r w:rsidR="004B14AB">
        <w:noBreakHyphen/>
      </w:r>
      <w:r w:rsidR="00991244" w:rsidRPr="00877EDE">
        <w:t>running trends of declining fertility and increasing life expectancies</w:t>
      </w:r>
      <w:r w:rsidR="0093564E">
        <w:t xml:space="preserve"> </w:t>
      </w:r>
      <w:r w:rsidR="0093564E" w:rsidRPr="00877EDE">
        <w:t>(</w:t>
      </w:r>
      <w:r w:rsidR="0093564E">
        <w:fldChar w:fldCharType="begin"/>
      </w:r>
      <w:r w:rsidR="0093564E">
        <w:instrText xml:space="preserve"> REF _Ref149841096 \r \h  \* MERGEFORMAT </w:instrText>
      </w:r>
      <w:r w:rsidR="0093564E">
        <w:fldChar w:fldCharType="separate"/>
      </w:r>
      <w:r w:rsidR="00CE6FEA">
        <w:t>Table 1</w:t>
      </w:r>
      <w:r w:rsidR="0093564E">
        <w:fldChar w:fldCharType="end"/>
      </w:r>
      <w:r w:rsidR="0093564E" w:rsidRPr="00877EDE">
        <w:t>)</w:t>
      </w:r>
      <w:r w:rsidR="00991244" w:rsidRPr="00877EDE">
        <w:t>.</w:t>
      </w:r>
      <w:r w:rsidR="00983BBA">
        <w:t xml:space="preserve"> </w:t>
      </w:r>
      <w:r w:rsidR="00291335">
        <w:t>As</w:t>
      </w:r>
      <w:r w:rsidR="00291335" w:rsidRPr="00751953">
        <w:t xml:space="preserve"> </w:t>
      </w:r>
      <w:r w:rsidR="00291335">
        <w:t xml:space="preserve">new migrants to Australia tend to be </w:t>
      </w:r>
      <w:r w:rsidR="002F4357">
        <w:t xml:space="preserve">relatively </w:t>
      </w:r>
      <w:r w:rsidR="00291335">
        <w:t xml:space="preserve">young, </w:t>
      </w:r>
      <w:r w:rsidR="00F96E34">
        <w:t>the</w:t>
      </w:r>
      <w:r w:rsidR="00434900">
        <w:t xml:space="preserve"> recent catch up in </w:t>
      </w:r>
      <w:r w:rsidR="00CD7140">
        <w:t xml:space="preserve">net overseas </w:t>
      </w:r>
      <w:r w:rsidR="005D53A5">
        <w:t>migration</w:t>
      </w:r>
      <w:r w:rsidR="00751953">
        <w:t xml:space="preserve"> will </w:t>
      </w:r>
      <w:r w:rsidR="00D33A5A">
        <w:t>moderate</w:t>
      </w:r>
      <w:r w:rsidR="0027402D" w:rsidDel="00751953">
        <w:t xml:space="preserve"> </w:t>
      </w:r>
      <w:r w:rsidR="0027402D">
        <w:t>population ageing in the short</w:t>
      </w:r>
      <w:r w:rsidR="00BC7515">
        <w:t xml:space="preserve"> </w:t>
      </w:r>
      <w:r w:rsidR="0027402D">
        <w:t>term</w:t>
      </w:r>
      <w:r w:rsidR="00E870FB">
        <w:t xml:space="preserve">. </w:t>
      </w:r>
    </w:p>
    <w:p w14:paraId="00BB0A1C" w14:textId="15F4451D" w:rsidR="003F0878" w:rsidRDefault="00422F20" w:rsidP="00D51EC2">
      <w:r>
        <w:t xml:space="preserve">The Australian population is diverse. </w:t>
      </w:r>
      <w:r w:rsidR="003C3B14">
        <w:t>The proportion of the Australian population born overseas was 29.5</w:t>
      </w:r>
      <w:r w:rsidR="001F3B6F">
        <w:t> per cent</w:t>
      </w:r>
      <w:r w:rsidR="003C3B14">
        <w:t xml:space="preserve"> in 2022, with those</w:t>
      </w:r>
      <w:r w:rsidR="003C3B14" w:rsidRPr="0031307F">
        <w:t xml:space="preserve"> born in England, India, China and New Zealand the largest overseas-born</w:t>
      </w:r>
      <w:r w:rsidR="003C3B14">
        <w:t xml:space="preserve"> groups</w:t>
      </w:r>
      <w:r w:rsidR="00AD6DDB">
        <w:t>.</w:t>
      </w:r>
      <w:r w:rsidR="003C3B14">
        <w:rPr>
          <w:rStyle w:val="FootnoteReference"/>
        </w:rPr>
        <w:footnoteReference w:id="3"/>
      </w:r>
      <w:r w:rsidR="003C3B14">
        <w:t xml:space="preserve"> </w:t>
      </w:r>
      <w:r w:rsidR="007418E4">
        <w:t>T</w:t>
      </w:r>
      <w:r w:rsidR="00232B4C">
        <w:t xml:space="preserve">he </w:t>
      </w:r>
      <w:r w:rsidR="00624913">
        <w:t>First Nations</w:t>
      </w:r>
      <w:r w:rsidR="00232B4C">
        <w:t xml:space="preserve"> population </w:t>
      </w:r>
      <w:r w:rsidR="002D5222">
        <w:t>w</w:t>
      </w:r>
      <w:r w:rsidR="00624913">
        <w:t>as</w:t>
      </w:r>
      <w:r w:rsidR="00F73CAD">
        <w:t xml:space="preserve"> 3.</w:t>
      </w:r>
      <w:r w:rsidR="00624913">
        <w:t>8</w:t>
      </w:r>
      <w:r w:rsidR="001F3B6F">
        <w:t> per cent</w:t>
      </w:r>
      <w:r w:rsidR="00F73CAD">
        <w:t xml:space="preserve"> of the total Australian population</w:t>
      </w:r>
      <w:r w:rsidR="00203A3E">
        <w:t xml:space="preserve"> at 30 June 2021</w:t>
      </w:r>
      <w:r w:rsidR="00B1789E">
        <w:t xml:space="preserve">, </w:t>
      </w:r>
      <w:r w:rsidR="00D11118">
        <w:t>with</w:t>
      </w:r>
      <w:r w:rsidR="00FC55CC">
        <w:t> </w:t>
      </w:r>
      <w:r w:rsidR="00B1789E">
        <w:t xml:space="preserve">984,000 </w:t>
      </w:r>
      <w:r w:rsidR="00D11118">
        <w:t xml:space="preserve">Aboriginal and </w:t>
      </w:r>
      <w:r w:rsidR="00377429">
        <w:t>Torres Strait Islander</w:t>
      </w:r>
      <w:r w:rsidR="00D11118">
        <w:t xml:space="preserve"> </w:t>
      </w:r>
      <w:r w:rsidR="00B1789E">
        <w:t>people</w:t>
      </w:r>
      <w:r w:rsidR="009A5233">
        <w:t>.</w:t>
      </w:r>
      <w:r w:rsidR="003544B1">
        <w:rPr>
          <w:rStyle w:val="FootnoteReference"/>
        </w:rPr>
        <w:footnoteReference w:id="4"/>
      </w:r>
      <w:r w:rsidR="00746CA3">
        <w:t xml:space="preserve"> One-third of </w:t>
      </w:r>
      <w:r w:rsidR="007C7853" w:rsidRPr="007C7853">
        <w:t xml:space="preserve">Aboriginal and </w:t>
      </w:r>
      <w:r w:rsidR="00377429">
        <w:t>Torres Strait Islander</w:t>
      </w:r>
      <w:r w:rsidR="007C7853" w:rsidRPr="007C7853">
        <w:t xml:space="preserve"> </w:t>
      </w:r>
      <w:r w:rsidR="005B576A">
        <w:t xml:space="preserve">people </w:t>
      </w:r>
      <w:r w:rsidR="007C7853">
        <w:t>were aged under 15</w:t>
      </w:r>
      <w:r w:rsidR="00377429">
        <w:t> year</w:t>
      </w:r>
      <w:r w:rsidR="007C7853">
        <w:t>s</w:t>
      </w:r>
      <w:r w:rsidR="000A2BD0">
        <w:t xml:space="preserve">, </w:t>
      </w:r>
      <w:r w:rsidR="008D3AC4">
        <w:t>15.2</w:t>
      </w:r>
      <w:r w:rsidR="001F3B6F">
        <w:t> per cent</w:t>
      </w:r>
      <w:r w:rsidR="008D3AC4">
        <w:t xml:space="preserve"> higher than </w:t>
      </w:r>
      <w:r w:rsidR="001843CB">
        <w:t xml:space="preserve">the proportion of </w:t>
      </w:r>
      <w:r w:rsidR="008D3AC4">
        <w:t>non-</w:t>
      </w:r>
      <w:r w:rsidR="00086E09">
        <w:t>I</w:t>
      </w:r>
      <w:r w:rsidR="008D3AC4">
        <w:t xml:space="preserve">ndigenous people in the same age group. </w:t>
      </w:r>
    </w:p>
    <w:p w14:paraId="1E43ED2C" w14:textId="4AD2FAF2" w:rsidR="00965F00" w:rsidRPr="00BD2A0A" w:rsidRDefault="000F63ED" w:rsidP="002375F0">
      <w:pPr>
        <w:pStyle w:val="TableMainHeading"/>
      </w:pPr>
      <w:bookmarkStart w:id="39" w:name="_Ref149841096"/>
      <w:r w:rsidRPr="00BD2A0A">
        <w:lastRenderedPageBreak/>
        <w:t>Population outcomes and projections, Australia</w:t>
      </w:r>
      <w:bookmarkEnd w:id="39"/>
    </w:p>
    <w:tbl>
      <w:tblPr>
        <w:tblStyle w:val="CPOPTable"/>
        <w:tblW w:w="5000" w:type="pct"/>
        <w:tblLayout w:type="fixed"/>
        <w:tblLook w:val="04A0" w:firstRow="1" w:lastRow="0" w:firstColumn="1" w:lastColumn="0" w:noHBand="0" w:noVBand="1"/>
        <w:tblCaption w:val="Table"/>
      </w:tblPr>
      <w:tblGrid>
        <w:gridCol w:w="3468"/>
        <w:gridCol w:w="934"/>
        <w:gridCol w:w="934"/>
        <w:gridCol w:w="934"/>
        <w:gridCol w:w="934"/>
        <w:gridCol w:w="934"/>
        <w:gridCol w:w="934"/>
      </w:tblGrid>
      <w:tr w:rsidR="00B7349D" w14:paraId="07819BBA" w14:textId="77777777" w:rsidTr="00AC7676">
        <w:trPr>
          <w:cnfStyle w:val="100000000000" w:firstRow="1" w:lastRow="0" w:firstColumn="0" w:lastColumn="0" w:oddVBand="0" w:evenVBand="0" w:oddHBand="0" w:evenHBand="0" w:firstRowFirstColumn="0" w:firstRowLastColumn="0" w:lastRowFirstColumn="0" w:lastRowLastColumn="0"/>
        </w:trPr>
        <w:tc>
          <w:tcPr>
            <w:tcW w:w="3468" w:type="dxa"/>
            <w:tcBorders>
              <w:top w:val="single" w:sz="4" w:space="0" w:color="auto"/>
              <w:bottom w:val="single" w:sz="4" w:space="0" w:color="auto"/>
            </w:tcBorders>
          </w:tcPr>
          <w:p w14:paraId="2EEE60CA" w14:textId="77777777" w:rsidR="00B7349D" w:rsidRDefault="00B7349D">
            <w:pPr>
              <w:pStyle w:val="TableSecondHeading"/>
              <w:rPr>
                <w:rFonts w:cstheme="minorHAnsi"/>
                <w:sz w:val="19"/>
                <w:szCs w:val="19"/>
                <w:lang w:eastAsia="en-US"/>
              </w:rPr>
            </w:pPr>
          </w:p>
        </w:tc>
        <w:tc>
          <w:tcPr>
            <w:tcW w:w="934" w:type="dxa"/>
            <w:tcBorders>
              <w:top w:val="single" w:sz="4" w:space="0" w:color="auto"/>
              <w:bottom w:val="single" w:sz="4" w:space="0" w:color="auto"/>
            </w:tcBorders>
            <w:hideMark/>
          </w:tcPr>
          <w:p w14:paraId="0A03FAE1" w14:textId="77777777" w:rsidR="00B7349D" w:rsidRDefault="00B7349D">
            <w:pPr>
              <w:pStyle w:val="TableColumnHeadingLeft"/>
              <w:jc w:val="right"/>
              <w:rPr>
                <w:lang w:eastAsia="en-US"/>
              </w:rPr>
            </w:pPr>
            <w:r>
              <w:rPr>
                <w:lang w:eastAsia="en-US"/>
              </w:rPr>
              <w:t xml:space="preserve">2021–22 </w:t>
            </w:r>
          </w:p>
        </w:tc>
        <w:tc>
          <w:tcPr>
            <w:tcW w:w="934" w:type="dxa"/>
            <w:tcBorders>
              <w:top w:val="single" w:sz="4" w:space="0" w:color="auto"/>
              <w:bottom w:val="single" w:sz="4" w:space="0" w:color="auto"/>
            </w:tcBorders>
            <w:shd w:val="clear" w:color="auto" w:fill="D2EDFF" w:themeFill="accent1" w:themeFillTint="1A"/>
            <w:hideMark/>
          </w:tcPr>
          <w:p w14:paraId="55BC46E1" w14:textId="77777777" w:rsidR="00B7349D" w:rsidRDefault="00B7349D">
            <w:pPr>
              <w:pStyle w:val="TableColumnHeadingLeft"/>
              <w:jc w:val="right"/>
              <w:rPr>
                <w:lang w:eastAsia="en-US"/>
              </w:rPr>
            </w:pPr>
            <w:r>
              <w:rPr>
                <w:lang w:eastAsia="en-US"/>
              </w:rPr>
              <w:t>2022–23</w:t>
            </w:r>
          </w:p>
        </w:tc>
        <w:tc>
          <w:tcPr>
            <w:tcW w:w="934" w:type="dxa"/>
            <w:tcBorders>
              <w:top w:val="single" w:sz="4" w:space="0" w:color="auto"/>
              <w:bottom w:val="single" w:sz="4" w:space="0" w:color="auto"/>
            </w:tcBorders>
            <w:hideMark/>
          </w:tcPr>
          <w:p w14:paraId="32F807F8" w14:textId="77777777" w:rsidR="00B7349D" w:rsidRDefault="00B7349D">
            <w:pPr>
              <w:pStyle w:val="TableColumnHeadingLeft"/>
              <w:jc w:val="right"/>
              <w:rPr>
                <w:lang w:eastAsia="en-US"/>
              </w:rPr>
            </w:pPr>
            <w:r>
              <w:rPr>
                <w:lang w:eastAsia="en-US"/>
              </w:rPr>
              <w:t>2023–24</w:t>
            </w:r>
          </w:p>
        </w:tc>
        <w:tc>
          <w:tcPr>
            <w:tcW w:w="934" w:type="dxa"/>
            <w:tcBorders>
              <w:top w:val="single" w:sz="4" w:space="0" w:color="auto"/>
              <w:bottom w:val="single" w:sz="4" w:space="0" w:color="auto"/>
            </w:tcBorders>
            <w:hideMark/>
          </w:tcPr>
          <w:p w14:paraId="705693F3" w14:textId="77777777" w:rsidR="00B7349D" w:rsidRDefault="00B7349D">
            <w:pPr>
              <w:pStyle w:val="TableColumnHeadingLeft"/>
              <w:jc w:val="right"/>
              <w:rPr>
                <w:lang w:eastAsia="en-US"/>
              </w:rPr>
            </w:pPr>
            <w:r>
              <w:rPr>
                <w:lang w:eastAsia="en-US"/>
              </w:rPr>
              <w:t>2024–25</w:t>
            </w:r>
          </w:p>
        </w:tc>
        <w:tc>
          <w:tcPr>
            <w:tcW w:w="934" w:type="dxa"/>
            <w:tcBorders>
              <w:top w:val="single" w:sz="4" w:space="0" w:color="auto"/>
              <w:bottom w:val="single" w:sz="4" w:space="0" w:color="auto"/>
              <w:right w:val="single" w:sz="4" w:space="0" w:color="auto"/>
            </w:tcBorders>
            <w:hideMark/>
          </w:tcPr>
          <w:p w14:paraId="4476CFD5" w14:textId="77777777" w:rsidR="00B7349D" w:rsidRDefault="00B7349D">
            <w:pPr>
              <w:pStyle w:val="TableColumnHeadingLeft"/>
              <w:jc w:val="right"/>
              <w:rPr>
                <w:lang w:eastAsia="en-US"/>
              </w:rPr>
            </w:pPr>
            <w:r>
              <w:rPr>
                <w:lang w:eastAsia="en-US"/>
              </w:rPr>
              <w:t>2025–26</w:t>
            </w:r>
          </w:p>
        </w:tc>
        <w:tc>
          <w:tcPr>
            <w:tcW w:w="934" w:type="dxa"/>
            <w:tcBorders>
              <w:top w:val="single" w:sz="4" w:space="0" w:color="auto"/>
              <w:left w:val="single" w:sz="4" w:space="0" w:color="auto"/>
              <w:bottom w:val="single" w:sz="4" w:space="0" w:color="auto"/>
            </w:tcBorders>
            <w:hideMark/>
          </w:tcPr>
          <w:p w14:paraId="1D0FF047" w14:textId="77777777" w:rsidR="00B7349D" w:rsidRDefault="00B7349D">
            <w:pPr>
              <w:pStyle w:val="TableColumnHeadingLeft"/>
              <w:jc w:val="right"/>
              <w:rPr>
                <w:lang w:eastAsia="en-US"/>
              </w:rPr>
            </w:pPr>
            <w:r>
              <w:rPr>
                <w:lang w:eastAsia="en-US"/>
              </w:rPr>
              <w:t>2033–34</w:t>
            </w:r>
          </w:p>
        </w:tc>
      </w:tr>
      <w:tr w:rsidR="00FE65F6" w:rsidRPr="00D0293B" w14:paraId="3BF78784" w14:textId="77777777" w:rsidTr="00AC7676">
        <w:trPr>
          <w:trHeight w:val="294"/>
        </w:trPr>
        <w:tc>
          <w:tcPr>
            <w:tcW w:w="3468" w:type="dxa"/>
            <w:tcBorders>
              <w:top w:val="single" w:sz="4" w:space="0" w:color="auto"/>
              <w:left w:val="nil"/>
              <w:bottom w:val="nil"/>
              <w:right w:val="nil"/>
            </w:tcBorders>
            <w:hideMark/>
          </w:tcPr>
          <w:p w14:paraId="123FF06F" w14:textId="77777777" w:rsidR="00FE65F6" w:rsidRDefault="00FE65F6" w:rsidP="00FE65F6">
            <w:pPr>
              <w:pStyle w:val="TableTextLeft"/>
              <w:keepNext/>
              <w:rPr>
                <w:b/>
                <w:bCs/>
                <w:color w:val="002C47" w:themeColor="accent1"/>
                <w:lang w:eastAsia="en-US"/>
              </w:rPr>
            </w:pPr>
            <w:r>
              <w:rPr>
                <w:b/>
                <w:bCs/>
                <w:color w:val="002C47" w:themeColor="accent1"/>
                <w:lang w:eastAsia="en-US"/>
              </w:rPr>
              <w:t>Population at 30 June (millions)</w:t>
            </w:r>
          </w:p>
        </w:tc>
        <w:tc>
          <w:tcPr>
            <w:tcW w:w="934" w:type="dxa"/>
            <w:tcBorders>
              <w:top w:val="single" w:sz="4" w:space="0" w:color="auto"/>
              <w:left w:val="nil"/>
              <w:bottom w:val="nil"/>
              <w:right w:val="nil"/>
            </w:tcBorders>
          </w:tcPr>
          <w:p w14:paraId="39F79F34" w14:textId="3FBBE3B7" w:rsidR="00FE65F6" w:rsidRPr="00FE65F6" w:rsidRDefault="00FE65F6" w:rsidP="00FE65F6">
            <w:pPr>
              <w:pStyle w:val="TableTextLeft"/>
              <w:keepNext/>
              <w:jc w:val="right"/>
              <w:rPr>
                <w:b/>
                <w:bCs/>
                <w:lang w:eastAsia="en-US"/>
              </w:rPr>
            </w:pPr>
            <w:r w:rsidRPr="00FE65F6">
              <w:rPr>
                <w:b/>
                <w:bCs/>
              </w:rPr>
              <w:t>26</w:t>
            </w:r>
            <w:r w:rsidR="00191296">
              <w:rPr>
                <w:b/>
                <w:bCs/>
              </w:rPr>
              <w:t>.0</w:t>
            </w:r>
          </w:p>
        </w:tc>
        <w:tc>
          <w:tcPr>
            <w:tcW w:w="934" w:type="dxa"/>
            <w:tcBorders>
              <w:top w:val="single" w:sz="4" w:space="0" w:color="auto"/>
              <w:left w:val="nil"/>
              <w:bottom w:val="nil"/>
              <w:right w:val="nil"/>
            </w:tcBorders>
            <w:shd w:val="clear" w:color="auto" w:fill="D2EDFF" w:themeFill="accent1" w:themeFillTint="1A"/>
          </w:tcPr>
          <w:p w14:paraId="6BA34F4D" w14:textId="77777777" w:rsidR="00FE65F6" w:rsidRPr="00FE65F6" w:rsidRDefault="00FE65F6" w:rsidP="00FE65F6">
            <w:pPr>
              <w:pStyle w:val="TableTextLeft"/>
              <w:keepNext/>
              <w:jc w:val="right"/>
              <w:rPr>
                <w:b/>
                <w:bCs/>
                <w:lang w:eastAsia="en-US"/>
              </w:rPr>
            </w:pPr>
            <w:r w:rsidRPr="00FE65F6">
              <w:rPr>
                <w:b/>
                <w:bCs/>
              </w:rPr>
              <w:t>26.6</w:t>
            </w:r>
          </w:p>
        </w:tc>
        <w:tc>
          <w:tcPr>
            <w:tcW w:w="934" w:type="dxa"/>
            <w:tcBorders>
              <w:top w:val="single" w:sz="4" w:space="0" w:color="auto"/>
              <w:left w:val="nil"/>
              <w:bottom w:val="nil"/>
              <w:right w:val="nil"/>
            </w:tcBorders>
          </w:tcPr>
          <w:p w14:paraId="73262CC3" w14:textId="77777777" w:rsidR="00FE65F6" w:rsidRPr="00FE65F6" w:rsidRDefault="00FE65F6" w:rsidP="00FE65F6">
            <w:pPr>
              <w:pStyle w:val="TableTextLeft"/>
              <w:keepNext/>
              <w:jc w:val="right"/>
              <w:rPr>
                <w:b/>
                <w:bCs/>
                <w:lang w:eastAsia="en-US"/>
              </w:rPr>
            </w:pPr>
            <w:r w:rsidRPr="00FE65F6">
              <w:rPr>
                <w:b/>
                <w:bCs/>
              </w:rPr>
              <w:t>27.2</w:t>
            </w:r>
          </w:p>
        </w:tc>
        <w:tc>
          <w:tcPr>
            <w:tcW w:w="934" w:type="dxa"/>
            <w:tcBorders>
              <w:top w:val="single" w:sz="4" w:space="0" w:color="auto"/>
              <w:left w:val="nil"/>
              <w:bottom w:val="nil"/>
              <w:right w:val="nil"/>
            </w:tcBorders>
          </w:tcPr>
          <w:p w14:paraId="1A903558" w14:textId="6367FE93" w:rsidR="00FE65F6" w:rsidRPr="00FE65F6" w:rsidRDefault="00FE65F6" w:rsidP="00FE65F6">
            <w:pPr>
              <w:pStyle w:val="TableTextLeft"/>
              <w:keepNext/>
              <w:jc w:val="right"/>
              <w:rPr>
                <w:b/>
                <w:bCs/>
                <w:lang w:eastAsia="en-US"/>
              </w:rPr>
            </w:pPr>
            <w:r w:rsidRPr="00FE65F6">
              <w:rPr>
                <w:b/>
                <w:bCs/>
              </w:rPr>
              <w:t>27.5</w:t>
            </w:r>
          </w:p>
        </w:tc>
        <w:tc>
          <w:tcPr>
            <w:tcW w:w="934" w:type="dxa"/>
            <w:tcBorders>
              <w:top w:val="single" w:sz="4" w:space="0" w:color="auto"/>
              <w:left w:val="nil"/>
              <w:bottom w:val="nil"/>
              <w:right w:val="single" w:sz="4" w:space="0" w:color="auto"/>
            </w:tcBorders>
          </w:tcPr>
          <w:p w14:paraId="295B383A" w14:textId="5C5AC13C" w:rsidR="00FE65F6" w:rsidRPr="00FE65F6" w:rsidRDefault="00FE65F6" w:rsidP="00FE65F6">
            <w:pPr>
              <w:pStyle w:val="TableTextLeft"/>
              <w:keepNext/>
              <w:jc w:val="right"/>
              <w:rPr>
                <w:b/>
                <w:bCs/>
                <w:lang w:eastAsia="en-US"/>
              </w:rPr>
            </w:pPr>
            <w:r w:rsidRPr="00FE65F6">
              <w:rPr>
                <w:b/>
                <w:bCs/>
              </w:rPr>
              <w:t>27.9</w:t>
            </w:r>
          </w:p>
        </w:tc>
        <w:tc>
          <w:tcPr>
            <w:tcW w:w="934" w:type="dxa"/>
            <w:tcBorders>
              <w:top w:val="single" w:sz="4" w:space="0" w:color="auto"/>
              <w:left w:val="single" w:sz="4" w:space="0" w:color="auto"/>
              <w:bottom w:val="nil"/>
              <w:right w:val="nil"/>
            </w:tcBorders>
          </w:tcPr>
          <w:p w14:paraId="2B88D8F2" w14:textId="428B4E93" w:rsidR="00FE65F6" w:rsidRPr="00FE65F6" w:rsidRDefault="00FE65F6" w:rsidP="00FE65F6">
            <w:pPr>
              <w:pStyle w:val="TableTextLeft"/>
              <w:keepNext/>
              <w:jc w:val="right"/>
              <w:rPr>
                <w:b/>
                <w:bCs/>
              </w:rPr>
            </w:pPr>
            <w:r w:rsidRPr="00FE65F6">
              <w:rPr>
                <w:b/>
                <w:bCs/>
              </w:rPr>
              <w:t>30.9</w:t>
            </w:r>
          </w:p>
        </w:tc>
      </w:tr>
      <w:tr w:rsidR="00B7349D" w14:paraId="56D3F74F" w14:textId="77777777" w:rsidTr="00AC7676">
        <w:trPr>
          <w:trHeight w:val="224"/>
        </w:trPr>
        <w:tc>
          <w:tcPr>
            <w:tcW w:w="3468" w:type="dxa"/>
            <w:tcBorders>
              <w:top w:val="nil"/>
              <w:left w:val="nil"/>
              <w:bottom w:val="nil"/>
              <w:right w:val="nil"/>
            </w:tcBorders>
            <w:hideMark/>
          </w:tcPr>
          <w:p w14:paraId="2216B75C" w14:textId="77777777" w:rsidR="00B7349D" w:rsidRDefault="00B7349D" w:rsidP="00D94F85">
            <w:pPr>
              <w:pStyle w:val="TableTextLeft"/>
              <w:keepNext/>
              <w:rPr>
                <w:color w:val="002C47" w:themeColor="accent1"/>
                <w:lang w:eastAsia="en-US"/>
              </w:rPr>
            </w:pPr>
            <w:r>
              <w:rPr>
                <w:color w:val="002C47" w:themeColor="accent1"/>
                <w:lang w:eastAsia="en-US"/>
              </w:rPr>
              <w:t>Population growth (per cent)</w:t>
            </w:r>
          </w:p>
        </w:tc>
        <w:tc>
          <w:tcPr>
            <w:tcW w:w="934" w:type="dxa"/>
            <w:tcBorders>
              <w:top w:val="nil"/>
              <w:left w:val="nil"/>
              <w:bottom w:val="nil"/>
              <w:right w:val="nil"/>
            </w:tcBorders>
          </w:tcPr>
          <w:p w14:paraId="5C85072E" w14:textId="376A9A34" w:rsidR="00B7349D" w:rsidRDefault="00B7349D" w:rsidP="00D94F85">
            <w:pPr>
              <w:pStyle w:val="TableTextLeft"/>
              <w:keepNext/>
              <w:jc w:val="right"/>
              <w:rPr>
                <w:lang w:eastAsia="en-US"/>
              </w:rPr>
            </w:pPr>
            <w:r w:rsidRPr="00CD508E">
              <w:t>1.3</w:t>
            </w:r>
          </w:p>
        </w:tc>
        <w:tc>
          <w:tcPr>
            <w:tcW w:w="934" w:type="dxa"/>
            <w:tcBorders>
              <w:top w:val="nil"/>
              <w:left w:val="nil"/>
              <w:bottom w:val="nil"/>
              <w:right w:val="nil"/>
            </w:tcBorders>
            <w:shd w:val="clear" w:color="auto" w:fill="D2EDFF" w:themeFill="accent1" w:themeFillTint="1A"/>
          </w:tcPr>
          <w:p w14:paraId="767169D7" w14:textId="0FAA9E27" w:rsidR="00B7349D" w:rsidRDefault="00B7349D" w:rsidP="00D94F85">
            <w:pPr>
              <w:pStyle w:val="TableTextLeft"/>
              <w:keepNext/>
              <w:jc w:val="right"/>
              <w:rPr>
                <w:lang w:eastAsia="en-US"/>
              </w:rPr>
            </w:pPr>
            <w:r w:rsidRPr="00CD508E">
              <w:t>2.4</w:t>
            </w:r>
          </w:p>
        </w:tc>
        <w:tc>
          <w:tcPr>
            <w:tcW w:w="934" w:type="dxa"/>
            <w:tcBorders>
              <w:top w:val="nil"/>
              <w:left w:val="nil"/>
              <w:bottom w:val="nil"/>
              <w:right w:val="nil"/>
            </w:tcBorders>
          </w:tcPr>
          <w:p w14:paraId="77F66027" w14:textId="1F81E8CE" w:rsidR="00B7349D" w:rsidRDefault="00B331DA" w:rsidP="00D94F85">
            <w:pPr>
              <w:pStyle w:val="TableTextLeft"/>
              <w:keepNext/>
              <w:jc w:val="right"/>
              <w:rPr>
                <w:lang w:eastAsia="en-US"/>
              </w:rPr>
            </w:pPr>
            <w:r>
              <w:t>1.9</w:t>
            </w:r>
          </w:p>
        </w:tc>
        <w:tc>
          <w:tcPr>
            <w:tcW w:w="934" w:type="dxa"/>
            <w:tcBorders>
              <w:top w:val="nil"/>
              <w:left w:val="nil"/>
              <w:bottom w:val="nil"/>
              <w:right w:val="nil"/>
            </w:tcBorders>
          </w:tcPr>
          <w:p w14:paraId="41D3AC88" w14:textId="30E84954" w:rsidR="00B7349D" w:rsidRDefault="00B7349D" w:rsidP="00D94F85">
            <w:pPr>
              <w:pStyle w:val="TableTextLeft"/>
              <w:keepNext/>
              <w:jc w:val="right"/>
              <w:rPr>
                <w:lang w:eastAsia="en-US"/>
              </w:rPr>
            </w:pPr>
            <w:r w:rsidRPr="00CD508E">
              <w:t>1.</w:t>
            </w:r>
            <w:r w:rsidR="00AC7676" w:rsidRPr="001C6D19">
              <w:t>4</w:t>
            </w:r>
          </w:p>
        </w:tc>
        <w:tc>
          <w:tcPr>
            <w:tcW w:w="934" w:type="dxa"/>
            <w:tcBorders>
              <w:top w:val="nil"/>
              <w:left w:val="nil"/>
              <w:bottom w:val="nil"/>
              <w:right w:val="single" w:sz="4" w:space="0" w:color="auto"/>
            </w:tcBorders>
          </w:tcPr>
          <w:p w14:paraId="708EBAB0" w14:textId="12A0B3DE" w:rsidR="00B7349D" w:rsidRDefault="00B7349D" w:rsidP="00D94F85">
            <w:pPr>
              <w:pStyle w:val="TableTextLeft"/>
              <w:keepNext/>
              <w:jc w:val="right"/>
              <w:rPr>
                <w:lang w:eastAsia="en-US"/>
              </w:rPr>
            </w:pPr>
            <w:r w:rsidRPr="00CD508E">
              <w:t>1.</w:t>
            </w:r>
            <w:r w:rsidR="00AC7676" w:rsidRPr="001C6D19">
              <w:t>4</w:t>
            </w:r>
          </w:p>
        </w:tc>
        <w:tc>
          <w:tcPr>
            <w:tcW w:w="934" w:type="dxa"/>
            <w:tcBorders>
              <w:top w:val="nil"/>
              <w:left w:val="single" w:sz="4" w:space="0" w:color="auto"/>
              <w:bottom w:val="nil"/>
              <w:right w:val="nil"/>
            </w:tcBorders>
          </w:tcPr>
          <w:p w14:paraId="2E9CF79C" w14:textId="3A20FFCD" w:rsidR="00B7349D" w:rsidRDefault="00B7349D" w:rsidP="00D94F85">
            <w:pPr>
              <w:pStyle w:val="TableTextLeft"/>
              <w:keepNext/>
              <w:jc w:val="right"/>
              <w:rPr>
                <w:lang w:eastAsia="en-US"/>
              </w:rPr>
            </w:pPr>
            <w:r w:rsidRPr="00CD508E">
              <w:t>1.2</w:t>
            </w:r>
          </w:p>
        </w:tc>
      </w:tr>
      <w:tr w:rsidR="00B7349D" w14:paraId="640B8F29" w14:textId="77777777" w:rsidTr="00382C0B">
        <w:trPr>
          <w:trHeight w:val="80"/>
        </w:trPr>
        <w:tc>
          <w:tcPr>
            <w:tcW w:w="3468" w:type="dxa"/>
            <w:tcBorders>
              <w:top w:val="nil"/>
              <w:left w:val="nil"/>
              <w:bottom w:val="single" w:sz="4" w:space="0" w:color="auto"/>
              <w:right w:val="nil"/>
            </w:tcBorders>
            <w:hideMark/>
          </w:tcPr>
          <w:p w14:paraId="1CC37129" w14:textId="77777777" w:rsidR="00B7349D" w:rsidRDefault="00B7349D" w:rsidP="00D94F85">
            <w:pPr>
              <w:pStyle w:val="TableTextLeft"/>
              <w:keepNext/>
              <w:rPr>
                <w:color w:val="002C47" w:themeColor="accent1"/>
                <w:lang w:eastAsia="en-US"/>
              </w:rPr>
            </w:pPr>
            <w:r>
              <w:rPr>
                <w:color w:val="002C47" w:themeColor="accent1"/>
                <w:lang w:eastAsia="en-US"/>
              </w:rPr>
              <w:t>Population growth (thousands)</w:t>
            </w:r>
          </w:p>
        </w:tc>
        <w:tc>
          <w:tcPr>
            <w:tcW w:w="934" w:type="dxa"/>
            <w:tcBorders>
              <w:top w:val="nil"/>
              <w:left w:val="nil"/>
              <w:bottom w:val="single" w:sz="4" w:space="0" w:color="auto"/>
              <w:right w:val="nil"/>
            </w:tcBorders>
          </w:tcPr>
          <w:p w14:paraId="10D8F51C" w14:textId="1F021F23" w:rsidR="00B7349D" w:rsidRDefault="00B7349D" w:rsidP="00D94F85">
            <w:pPr>
              <w:pStyle w:val="TableTextLeft"/>
              <w:keepNext/>
              <w:jc w:val="right"/>
              <w:rPr>
                <w:lang w:eastAsia="en-US"/>
              </w:rPr>
            </w:pPr>
            <w:r w:rsidRPr="00CD508E">
              <w:t>328</w:t>
            </w:r>
          </w:p>
        </w:tc>
        <w:tc>
          <w:tcPr>
            <w:tcW w:w="934" w:type="dxa"/>
            <w:tcBorders>
              <w:top w:val="nil"/>
              <w:left w:val="nil"/>
              <w:bottom w:val="single" w:sz="4" w:space="0" w:color="auto"/>
              <w:right w:val="nil"/>
            </w:tcBorders>
            <w:shd w:val="clear" w:color="auto" w:fill="D2EDFF" w:themeFill="accent1" w:themeFillTint="1A"/>
          </w:tcPr>
          <w:p w14:paraId="6E3FE406" w14:textId="2F713604" w:rsidR="00B7349D" w:rsidRDefault="00B7349D" w:rsidP="00D94F85">
            <w:pPr>
              <w:pStyle w:val="TableTextLeft"/>
              <w:keepNext/>
              <w:jc w:val="right"/>
              <w:rPr>
                <w:lang w:eastAsia="en-US"/>
              </w:rPr>
            </w:pPr>
            <w:r w:rsidRPr="00CD508E">
              <w:t>629</w:t>
            </w:r>
          </w:p>
        </w:tc>
        <w:tc>
          <w:tcPr>
            <w:tcW w:w="934" w:type="dxa"/>
            <w:tcBorders>
              <w:top w:val="nil"/>
              <w:left w:val="nil"/>
              <w:bottom w:val="single" w:sz="4" w:space="0" w:color="auto"/>
              <w:right w:val="nil"/>
            </w:tcBorders>
          </w:tcPr>
          <w:p w14:paraId="241BA481" w14:textId="0B920A26" w:rsidR="00B7349D" w:rsidRDefault="00AC7676" w:rsidP="00D94F85">
            <w:pPr>
              <w:pStyle w:val="TableTextLeft"/>
              <w:keepNext/>
              <w:jc w:val="right"/>
              <w:rPr>
                <w:lang w:eastAsia="en-US"/>
              </w:rPr>
            </w:pPr>
            <w:r w:rsidRPr="001C6D19">
              <w:t>510</w:t>
            </w:r>
          </w:p>
        </w:tc>
        <w:tc>
          <w:tcPr>
            <w:tcW w:w="934" w:type="dxa"/>
            <w:tcBorders>
              <w:top w:val="nil"/>
              <w:left w:val="nil"/>
              <w:bottom w:val="single" w:sz="4" w:space="0" w:color="auto"/>
              <w:right w:val="nil"/>
            </w:tcBorders>
          </w:tcPr>
          <w:p w14:paraId="5382B91C" w14:textId="7C9BFFC9" w:rsidR="00B7349D" w:rsidRDefault="00050306" w:rsidP="00D94F85">
            <w:pPr>
              <w:pStyle w:val="TableTextLeft"/>
              <w:keepNext/>
              <w:jc w:val="right"/>
              <w:rPr>
                <w:lang w:eastAsia="en-US"/>
              </w:rPr>
            </w:pPr>
            <w:r>
              <w:t>388</w:t>
            </w:r>
          </w:p>
        </w:tc>
        <w:tc>
          <w:tcPr>
            <w:tcW w:w="934" w:type="dxa"/>
            <w:tcBorders>
              <w:top w:val="nil"/>
              <w:left w:val="nil"/>
              <w:bottom w:val="single" w:sz="4" w:space="0" w:color="auto"/>
              <w:right w:val="single" w:sz="4" w:space="0" w:color="auto"/>
            </w:tcBorders>
          </w:tcPr>
          <w:p w14:paraId="5904559D" w14:textId="07B0B3C4" w:rsidR="00B7349D" w:rsidRDefault="006B7250" w:rsidP="00D94F85">
            <w:pPr>
              <w:pStyle w:val="TableTextLeft"/>
              <w:keepNext/>
              <w:jc w:val="right"/>
              <w:rPr>
                <w:lang w:eastAsia="en-US"/>
              </w:rPr>
            </w:pPr>
            <w:r>
              <w:t>399</w:t>
            </w:r>
          </w:p>
        </w:tc>
        <w:tc>
          <w:tcPr>
            <w:tcW w:w="934" w:type="dxa"/>
            <w:tcBorders>
              <w:top w:val="nil"/>
              <w:left w:val="single" w:sz="4" w:space="0" w:color="auto"/>
              <w:bottom w:val="single" w:sz="4" w:space="0" w:color="auto"/>
              <w:right w:val="nil"/>
            </w:tcBorders>
          </w:tcPr>
          <w:p w14:paraId="16555E33" w14:textId="20ED0F7E" w:rsidR="00B7349D" w:rsidRDefault="00FB73E5" w:rsidP="00D94F85">
            <w:pPr>
              <w:pStyle w:val="TableTextLeft"/>
              <w:keepNext/>
              <w:jc w:val="right"/>
              <w:rPr>
                <w:lang w:eastAsia="en-US"/>
              </w:rPr>
            </w:pPr>
            <w:r>
              <w:t>362</w:t>
            </w:r>
          </w:p>
        </w:tc>
      </w:tr>
      <w:tr w:rsidR="00B7349D" w14:paraId="44086AC2" w14:textId="77777777" w:rsidTr="00AC7676">
        <w:trPr>
          <w:trHeight w:val="324"/>
        </w:trPr>
        <w:tc>
          <w:tcPr>
            <w:tcW w:w="3468" w:type="dxa"/>
            <w:tcBorders>
              <w:top w:val="single" w:sz="4" w:space="0" w:color="auto"/>
              <w:left w:val="nil"/>
              <w:bottom w:val="nil"/>
              <w:right w:val="nil"/>
            </w:tcBorders>
            <w:hideMark/>
          </w:tcPr>
          <w:p w14:paraId="2A80006C" w14:textId="77777777" w:rsidR="00B7349D" w:rsidRDefault="00B7349D" w:rsidP="00D94F85">
            <w:pPr>
              <w:pStyle w:val="TableTextLeft"/>
              <w:keepNext/>
              <w:rPr>
                <w:i/>
                <w:iCs/>
                <w:color w:val="002C47" w:themeColor="accent1"/>
                <w:lang w:eastAsia="en-US"/>
              </w:rPr>
            </w:pPr>
            <w:r>
              <w:rPr>
                <w:color w:val="002C47" w:themeColor="accent1"/>
                <w:lang w:eastAsia="en-US"/>
              </w:rPr>
              <w:t>Natural increase (thousands)</w:t>
            </w:r>
          </w:p>
        </w:tc>
        <w:tc>
          <w:tcPr>
            <w:tcW w:w="934" w:type="dxa"/>
            <w:tcBorders>
              <w:top w:val="single" w:sz="4" w:space="0" w:color="auto"/>
              <w:left w:val="nil"/>
              <w:bottom w:val="nil"/>
              <w:right w:val="nil"/>
            </w:tcBorders>
          </w:tcPr>
          <w:p w14:paraId="0B9CF1A0" w14:textId="41780B79" w:rsidR="00B7349D" w:rsidRDefault="00B7349D" w:rsidP="00D94F85">
            <w:pPr>
              <w:pStyle w:val="TableTextLeft"/>
              <w:keepNext/>
              <w:jc w:val="right"/>
              <w:rPr>
                <w:i/>
                <w:iCs/>
                <w:lang w:eastAsia="en-US"/>
              </w:rPr>
            </w:pPr>
            <w:r w:rsidRPr="00CD508E">
              <w:t>125</w:t>
            </w:r>
          </w:p>
        </w:tc>
        <w:tc>
          <w:tcPr>
            <w:tcW w:w="934" w:type="dxa"/>
            <w:tcBorders>
              <w:top w:val="single" w:sz="4" w:space="0" w:color="auto"/>
              <w:left w:val="nil"/>
              <w:bottom w:val="nil"/>
              <w:right w:val="nil"/>
            </w:tcBorders>
            <w:shd w:val="clear" w:color="auto" w:fill="D2EDFF" w:themeFill="accent1" w:themeFillTint="1A"/>
          </w:tcPr>
          <w:p w14:paraId="1EEE380E" w14:textId="355CEB5D" w:rsidR="00B7349D" w:rsidRDefault="00B7349D" w:rsidP="00D94F85">
            <w:pPr>
              <w:pStyle w:val="TableTextLeft"/>
              <w:keepNext/>
              <w:jc w:val="right"/>
              <w:rPr>
                <w:i/>
                <w:iCs/>
                <w:lang w:eastAsia="en-US"/>
              </w:rPr>
            </w:pPr>
            <w:r w:rsidRPr="00CD508E">
              <w:t>122</w:t>
            </w:r>
          </w:p>
        </w:tc>
        <w:tc>
          <w:tcPr>
            <w:tcW w:w="934" w:type="dxa"/>
            <w:tcBorders>
              <w:top w:val="single" w:sz="4" w:space="0" w:color="auto"/>
              <w:left w:val="nil"/>
              <w:bottom w:val="nil"/>
              <w:right w:val="nil"/>
            </w:tcBorders>
          </w:tcPr>
          <w:p w14:paraId="33E93C04" w14:textId="48BE106C" w:rsidR="00B7349D" w:rsidRDefault="00B7349D" w:rsidP="00D94F85">
            <w:pPr>
              <w:pStyle w:val="TableTextLeft"/>
              <w:keepNext/>
              <w:jc w:val="right"/>
              <w:rPr>
                <w:i/>
                <w:iCs/>
                <w:lang w:eastAsia="en-US"/>
              </w:rPr>
            </w:pPr>
            <w:r w:rsidRPr="00CD508E">
              <w:t>133</w:t>
            </w:r>
          </w:p>
        </w:tc>
        <w:tc>
          <w:tcPr>
            <w:tcW w:w="934" w:type="dxa"/>
            <w:tcBorders>
              <w:top w:val="single" w:sz="4" w:space="0" w:color="auto"/>
              <w:left w:val="nil"/>
              <w:bottom w:val="nil"/>
              <w:right w:val="nil"/>
            </w:tcBorders>
          </w:tcPr>
          <w:p w14:paraId="15B03182" w14:textId="3E88DD92" w:rsidR="00B7349D" w:rsidRDefault="00AC7676" w:rsidP="00D94F85">
            <w:pPr>
              <w:pStyle w:val="TableTextLeft"/>
              <w:keepNext/>
              <w:jc w:val="right"/>
              <w:rPr>
                <w:i/>
                <w:iCs/>
                <w:lang w:eastAsia="en-US"/>
              </w:rPr>
            </w:pPr>
            <w:r w:rsidRPr="001C6D19">
              <w:t>140</w:t>
            </w:r>
          </w:p>
        </w:tc>
        <w:tc>
          <w:tcPr>
            <w:tcW w:w="934" w:type="dxa"/>
            <w:tcBorders>
              <w:top w:val="single" w:sz="4" w:space="0" w:color="auto"/>
              <w:left w:val="nil"/>
              <w:bottom w:val="nil"/>
              <w:right w:val="single" w:sz="4" w:space="0" w:color="auto"/>
            </w:tcBorders>
          </w:tcPr>
          <w:p w14:paraId="236809B7" w14:textId="23A8F7D1" w:rsidR="00B7349D" w:rsidRDefault="00AC7676" w:rsidP="00D94F85">
            <w:pPr>
              <w:pStyle w:val="TableTextLeft"/>
              <w:keepNext/>
              <w:jc w:val="right"/>
              <w:rPr>
                <w:i/>
                <w:iCs/>
                <w:lang w:eastAsia="en-US"/>
              </w:rPr>
            </w:pPr>
            <w:r w:rsidRPr="001C6D19">
              <w:t>142</w:t>
            </w:r>
          </w:p>
        </w:tc>
        <w:tc>
          <w:tcPr>
            <w:tcW w:w="934" w:type="dxa"/>
            <w:tcBorders>
              <w:top w:val="single" w:sz="4" w:space="0" w:color="auto"/>
              <w:left w:val="single" w:sz="4" w:space="0" w:color="auto"/>
              <w:bottom w:val="nil"/>
              <w:right w:val="nil"/>
            </w:tcBorders>
          </w:tcPr>
          <w:p w14:paraId="694981E0" w14:textId="2437D53C" w:rsidR="00B7349D" w:rsidRDefault="00AC7676" w:rsidP="00D94F85">
            <w:pPr>
              <w:pStyle w:val="TableTextLeft"/>
              <w:keepNext/>
              <w:jc w:val="right"/>
              <w:rPr>
                <w:i/>
                <w:iCs/>
                <w:lang w:eastAsia="en-US"/>
              </w:rPr>
            </w:pPr>
            <w:r w:rsidRPr="001C6D19">
              <w:t>127</w:t>
            </w:r>
          </w:p>
        </w:tc>
      </w:tr>
      <w:tr w:rsidR="00B7349D" w14:paraId="579767D0" w14:textId="77777777" w:rsidTr="00E01AE5">
        <w:trPr>
          <w:trHeight w:val="63"/>
        </w:trPr>
        <w:tc>
          <w:tcPr>
            <w:tcW w:w="0" w:type="dxa"/>
            <w:tcBorders>
              <w:top w:val="nil"/>
              <w:left w:val="nil"/>
              <w:bottom w:val="nil"/>
              <w:right w:val="nil"/>
            </w:tcBorders>
            <w:hideMark/>
          </w:tcPr>
          <w:p w14:paraId="11F45C09" w14:textId="77777777" w:rsidR="00B7349D" w:rsidRDefault="00B7349D" w:rsidP="00D94F85">
            <w:pPr>
              <w:pStyle w:val="Tabletextleftindent"/>
              <w:keepNext/>
              <w:rPr>
                <w:color w:val="002C47" w:themeColor="accent1"/>
                <w:lang w:eastAsia="en-US"/>
              </w:rPr>
            </w:pPr>
            <w:r>
              <w:rPr>
                <w:color w:val="002C47" w:themeColor="accent1"/>
                <w:lang w:eastAsia="en-US"/>
              </w:rPr>
              <w:t>Births</w:t>
            </w:r>
          </w:p>
        </w:tc>
        <w:tc>
          <w:tcPr>
            <w:tcW w:w="0" w:type="dxa"/>
            <w:tcBorders>
              <w:top w:val="nil"/>
              <w:left w:val="nil"/>
              <w:bottom w:val="nil"/>
              <w:right w:val="nil"/>
            </w:tcBorders>
          </w:tcPr>
          <w:p w14:paraId="667B8AA7" w14:textId="0CFC1D24" w:rsidR="00B7349D" w:rsidRDefault="00B7349D" w:rsidP="00D94F85">
            <w:pPr>
              <w:pStyle w:val="TableTextLeft"/>
              <w:keepNext/>
              <w:jc w:val="right"/>
              <w:rPr>
                <w:i/>
                <w:iCs/>
                <w:lang w:eastAsia="en-US"/>
              </w:rPr>
            </w:pPr>
            <w:r w:rsidRPr="00BD5424">
              <w:rPr>
                <w:i/>
              </w:rPr>
              <w:t>309</w:t>
            </w:r>
          </w:p>
        </w:tc>
        <w:tc>
          <w:tcPr>
            <w:tcW w:w="0" w:type="dxa"/>
            <w:tcBorders>
              <w:top w:val="nil"/>
              <w:left w:val="nil"/>
              <w:bottom w:val="nil"/>
              <w:right w:val="nil"/>
            </w:tcBorders>
            <w:shd w:val="clear" w:color="auto" w:fill="D2EDFF" w:themeFill="accent1" w:themeFillTint="1A"/>
          </w:tcPr>
          <w:p w14:paraId="2C830A27" w14:textId="3EF6A65A" w:rsidR="00B7349D" w:rsidRDefault="00B7349D" w:rsidP="00D94F85">
            <w:pPr>
              <w:pStyle w:val="TableTextLeft"/>
              <w:keepNext/>
              <w:jc w:val="right"/>
              <w:rPr>
                <w:i/>
                <w:iCs/>
                <w:lang w:eastAsia="en-US"/>
              </w:rPr>
            </w:pPr>
            <w:r w:rsidRPr="00BD5424">
              <w:rPr>
                <w:i/>
              </w:rPr>
              <w:t>310</w:t>
            </w:r>
          </w:p>
        </w:tc>
        <w:tc>
          <w:tcPr>
            <w:tcW w:w="0" w:type="dxa"/>
            <w:tcBorders>
              <w:top w:val="nil"/>
              <w:left w:val="nil"/>
              <w:bottom w:val="nil"/>
              <w:right w:val="nil"/>
            </w:tcBorders>
          </w:tcPr>
          <w:p w14:paraId="3A2939B5" w14:textId="17588DFC" w:rsidR="00B7349D" w:rsidRDefault="00B7349D" w:rsidP="00D94F85">
            <w:pPr>
              <w:pStyle w:val="TableTextLeft"/>
              <w:keepNext/>
              <w:jc w:val="right"/>
              <w:rPr>
                <w:i/>
                <w:iCs/>
                <w:lang w:eastAsia="en-US"/>
              </w:rPr>
            </w:pPr>
            <w:r w:rsidRPr="00BD5424">
              <w:rPr>
                <w:i/>
              </w:rPr>
              <w:t>318</w:t>
            </w:r>
          </w:p>
        </w:tc>
        <w:tc>
          <w:tcPr>
            <w:tcW w:w="0" w:type="dxa"/>
            <w:tcBorders>
              <w:top w:val="nil"/>
              <w:left w:val="nil"/>
              <w:bottom w:val="nil"/>
              <w:right w:val="nil"/>
            </w:tcBorders>
          </w:tcPr>
          <w:p w14:paraId="5A97AFCA" w14:textId="3B4BB45E" w:rsidR="00B7349D" w:rsidRDefault="00AC7676" w:rsidP="00D94F85">
            <w:pPr>
              <w:pStyle w:val="TableTextLeft"/>
              <w:keepNext/>
              <w:jc w:val="right"/>
              <w:rPr>
                <w:i/>
                <w:iCs/>
                <w:lang w:eastAsia="en-US"/>
              </w:rPr>
            </w:pPr>
            <w:r w:rsidRPr="00FE069A">
              <w:rPr>
                <w:i/>
                <w:iCs/>
              </w:rPr>
              <w:t>322</w:t>
            </w:r>
          </w:p>
        </w:tc>
        <w:tc>
          <w:tcPr>
            <w:tcW w:w="0" w:type="dxa"/>
            <w:tcBorders>
              <w:top w:val="nil"/>
              <w:left w:val="nil"/>
              <w:bottom w:val="nil"/>
              <w:right w:val="single" w:sz="4" w:space="0" w:color="auto"/>
            </w:tcBorders>
          </w:tcPr>
          <w:p w14:paraId="083FCCD3" w14:textId="62536059" w:rsidR="00B7349D" w:rsidRDefault="00AC7676" w:rsidP="00D94F85">
            <w:pPr>
              <w:pStyle w:val="TableTextLeft"/>
              <w:keepNext/>
              <w:jc w:val="right"/>
              <w:rPr>
                <w:i/>
                <w:iCs/>
                <w:lang w:eastAsia="en-US"/>
              </w:rPr>
            </w:pPr>
            <w:r w:rsidRPr="00FE069A">
              <w:rPr>
                <w:i/>
                <w:iCs/>
              </w:rPr>
              <w:t>325</w:t>
            </w:r>
          </w:p>
        </w:tc>
        <w:tc>
          <w:tcPr>
            <w:tcW w:w="0" w:type="dxa"/>
            <w:tcBorders>
              <w:top w:val="nil"/>
              <w:left w:val="single" w:sz="4" w:space="0" w:color="auto"/>
              <w:bottom w:val="nil"/>
              <w:right w:val="nil"/>
            </w:tcBorders>
          </w:tcPr>
          <w:p w14:paraId="12A17879" w14:textId="33A42D3F" w:rsidR="00B7349D" w:rsidRDefault="00AC7676" w:rsidP="00D94F85">
            <w:pPr>
              <w:pStyle w:val="TableTextLeft"/>
              <w:keepNext/>
              <w:jc w:val="right"/>
              <w:rPr>
                <w:i/>
                <w:iCs/>
                <w:lang w:eastAsia="en-US"/>
              </w:rPr>
            </w:pPr>
            <w:r w:rsidRPr="00FE069A">
              <w:rPr>
                <w:i/>
                <w:iCs/>
              </w:rPr>
              <w:t>345</w:t>
            </w:r>
          </w:p>
        </w:tc>
      </w:tr>
      <w:tr w:rsidR="00B7349D" w14:paraId="1042564B" w14:textId="77777777">
        <w:tc>
          <w:tcPr>
            <w:tcW w:w="3468" w:type="dxa"/>
            <w:tcBorders>
              <w:top w:val="nil"/>
              <w:left w:val="nil"/>
              <w:bottom w:val="nil"/>
              <w:right w:val="nil"/>
            </w:tcBorders>
            <w:hideMark/>
          </w:tcPr>
          <w:p w14:paraId="667676B2" w14:textId="77777777" w:rsidR="00B7349D" w:rsidRDefault="00B7349D" w:rsidP="00D94F85">
            <w:pPr>
              <w:pStyle w:val="Tabletextleftindent"/>
              <w:keepNext/>
              <w:rPr>
                <w:color w:val="002C47" w:themeColor="accent1"/>
                <w:lang w:eastAsia="en-US"/>
              </w:rPr>
            </w:pPr>
            <w:r>
              <w:rPr>
                <w:color w:val="002C47" w:themeColor="accent1"/>
                <w:lang w:eastAsia="en-US"/>
              </w:rPr>
              <w:t xml:space="preserve">Deaths </w:t>
            </w:r>
          </w:p>
        </w:tc>
        <w:tc>
          <w:tcPr>
            <w:tcW w:w="934" w:type="dxa"/>
            <w:tcBorders>
              <w:top w:val="nil"/>
              <w:left w:val="nil"/>
              <w:bottom w:val="nil"/>
              <w:right w:val="nil"/>
            </w:tcBorders>
          </w:tcPr>
          <w:p w14:paraId="69B46639" w14:textId="3C68877A" w:rsidR="00B7349D" w:rsidRDefault="00B7349D" w:rsidP="00D94F85">
            <w:pPr>
              <w:pStyle w:val="TableTextLeft"/>
              <w:keepNext/>
              <w:jc w:val="right"/>
              <w:rPr>
                <w:i/>
                <w:iCs/>
                <w:lang w:eastAsia="en-US"/>
              </w:rPr>
            </w:pPr>
            <w:r w:rsidRPr="00BD5424">
              <w:rPr>
                <w:i/>
              </w:rPr>
              <w:t>183</w:t>
            </w:r>
          </w:p>
        </w:tc>
        <w:tc>
          <w:tcPr>
            <w:tcW w:w="934" w:type="dxa"/>
            <w:tcBorders>
              <w:top w:val="nil"/>
              <w:left w:val="nil"/>
              <w:bottom w:val="nil"/>
              <w:right w:val="nil"/>
            </w:tcBorders>
            <w:shd w:val="clear" w:color="auto" w:fill="D2EDFF" w:themeFill="accent1" w:themeFillTint="1A"/>
          </w:tcPr>
          <w:p w14:paraId="48C2978F" w14:textId="11223900" w:rsidR="00B7349D" w:rsidRDefault="00B7349D" w:rsidP="00D94F85">
            <w:pPr>
              <w:pStyle w:val="TableTextLeft"/>
              <w:keepNext/>
              <w:jc w:val="right"/>
              <w:rPr>
                <w:i/>
                <w:iCs/>
                <w:lang w:eastAsia="en-US"/>
              </w:rPr>
            </w:pPr>
            <w:r w:rsidRPr="00BD5424">
              <w:rPr>
                <w:i/>
              </w:rPr>
              <w:t>189</w:t>
            </w:r>
          </w:p>
        </w:tc>
        <w:tc>
          <w:tcPr>
            <w:tcW w:w="934" w:type="dxa"/>
            <w:tcBorders>
              <w:top w:val="nil"/>
              <w:left w:val="nil"/>
              <w:bottom w:val="nil"/>
              <w:right w:val="nil"/>
            </w:tcBorders>
          </w:tcPr>
          <w:p w14:paraId="6C3D36A4" w14:textId="68F17B21" w:rsidR="00B7349D" w:rsidRDefault="00AC7676" w:rsidP="00D94F85">
            <w:pPr>
              <w:pStyle w:val="TableTextLeft"/>
              <w:keepNext/>
              <w:jc w:val="right"/>
              <w:rPr>
                <w:i/>
                <w:iCs/>
                <w:lang w:eastAsia="en-US"/>
              </w:rPr>
            </w:pPr>
            <w:r w:rsidRPr="00FE069A">
              <w:rPr>
                <w:i/>
                <w:iCs/>
              </w:rPr>
              <w:t>184</w:t>
            </w:r>
          </w:p>
        </w:tc>
        <w:tc>
          <w:tcPr>
            <w:tcW w:w="934" w:type="dxa"/>
            <w:tcBorders>
              <w:top w:val="nil"/>
              <w:left w:val="nil"/>
              <w:bottom w:val="nil"/>
              <w:right w:val="nil"/>
            </w:tcBorders>
          </w:tcPr>
          <w:p w14:paraId="03662ECA" w14:textId="130DA1CB" w:rsidR="00B7349D" w:rsidRDefault="00B7349D" w:rsidP="00D94F85">
            <w:pPr>
              <w:pStyle w:val="TableTextLeft"/>
              <w:keepNext/>
              <w:jc w:val="right"/>
              <w:rPr>
                <w:i/>
                <w:iCs/>
                <w:lang w:eastAsia="en-US"/>
              </w:rPr>
            </w:pPr>
            <w:r w:rsidRPr="00BD5424">
              <w:rPr>
                <w:i/>
              </w:rPr>
              <w:t>182</w:t>
            </w:r>
          </w:p>
        </w:tc>
        <w:tc>
          <w:tcPr>
            <w:tcW w:w="934" w:type="dxa"/>
            <w:tcBorders>
              <w:top w:val="nil"/>
              <w:left w:val="nil"/>
              <w:bottom w:val="nil"/>
              <w:right w:val="single" w:sz="4" w:space="0" w:color="auto"/>
            </w:tcBorders>
          </w:tcPr>
          <w:p w14:paraId="021D9C95" w14:textId="0D04A571" w:rsidR="00B7349D" w:rsidRDefault="00AC7676" w:rsidP="00D94F85">
            <w:pPr>
              <w:pStyle w:val="TableTextLeft"/>
              <w:keepNext/>
              <w:jc w:val="right"/>
              <w:rPr>
                <w:i/>
                <w:iCs/>
                <w:lang w:eastAsia="en-US"/>
              </w:rPr>
            </w:pPr>
            <w:r w:rsidRPr="00FE069A">
              <w:rPr>
                <w:i/>
                <w:iCs/>
              </w:rPr>
              <w:t>182</w:t>
            </w:r>
          </w:p>
        </w:tc>
        <w:tc>
          <w:tcPr>
            <w:tcW w:w="934" w:type="dxa"/>
            <w:tcBorders>
              <w:top w:val="nil"/>
              <w:left w:val="single" w:sz="4" w:space="0" w:color="auto"/>
              <w:bottom w:val="nil"/>
              <w:right w:val="nil"/>
            </w:tcBorders>
          </w:tcPr>
          <w:p w14:paraId="450C9F26" w14:textId="064B987A" w:rsidR="00B7349D" w:rsidRDefault="00B7349D" w:rsidP="00D94F85">
            <w:pPr>
              <w:pStyle w:val="TableTextLeft"/>
              <w:keepNext/>
              <w:jc w:val="right"/>
              <w:rPr>
                <w:i/>
                <w:iCs/>
                <w:lang w:eastAsia="en-US"/>
              </w:rPr>
            </w:pPr>
            <w:r w:rsidRPr="00BD5424">
              <w:rPr>
                <w:i/>
              </w:rPr>
              <w:t>218</w:t>
            </w:r>
          </w:p>
        </w:tc>
      </w:tr>
      <w:tr w:rsidR="0037432B" w14:paraId="254660F8" w14:textId="77777777" w:rsidTr="00F17DBC">
        <w:tc>
          <w:tcPr>
            <w:tcW w:w="0" w:type="dxa"/>
            <w:tcBorders>
              <w:top w:val="nil"/>
              <w:left w:val="nil"/>
              <w:bottom w:val="nil"/>
              <w:right w:val="nil"/>
            </w:tcBorders>
            <w:hideMark/>
          </w:tcPr>
          <w:p w14:paraId="5BF52B6C" w14:textId="77777777" w:rsidR="00B7349D" w:rsidRDefault="00B7349D" w:rsidP="00D94F85">
            <w:pPr>
              <w:pStyle w:val="TableTextLeft"/>
              <w:keepNext/>
              <w:rPr>
                <w:color w:val="002C47" w:themeColor="accent1"/>
                <w:lang w:eastAsia="en-US"/>
              </w:rPr>
            </w:pPr>
            <w:r>
              <w:rPr>
                <w:color w:val="002C47" w:themeColor="accent1"/>
                <w:lang w:eastAsia="en-US"/>
              </w:rPr>
              <w:t>Net overseas migration (thousands)</w:t>
            </w:r>
          </w:p>
        </w:tc>
        <w:tc>
          <w:tcPr>
            <w:tcW w:w="0" w:type="dxa"/>
            <w:tcBorders>
              <w:top w:val="nil"/>
              <w:left w:val="nil"/>
              <w:bottom w:val="nil"/>
              <w:right w:val="nil"/>
            </w:tcBorders>
          </w:tcPr>
          <w:p w14:paraId="678FC691" w14:textId="1D252B2F" w:rsidR="00B7349D" w:rsidRDefault="00B7349D" w:rsidP="00D94F85">
            <w:pPr>
              <w:pStyle w:val="TableTextLeft"/>
              <w:keepNext/>
              <w:jc w:val="right"/>
              <w:rPr>
                <w:lang w:eastAsia="en-US"/>
              </w:rPr>
            </w:pPr>
            <w:r w:rsidRPr="00CD508E">
              <w:t>202</w:t>
            </w:r>
          </w:p>
        </w:tc>
        <w:tc>
          <w:tcPr>
            <w:tcW w:w="0" w:type="dxa"/>
            <w:tcBorders>
              <w:top w:val="nil"/>
              <w:left w:val="nil"/>
              <w:bottom w:val="nil"/>
              <w:right w:val="nil"/>
            </w:tcBorders>
            <w:shd w:val="clear" w:color="auto" w:fill="D2EDFF" w:themeFill="accent1" w:themeFillTint="1A"/>
            <w:vAlign w:val="bottom"/>
          </w:tcPr>
          <w:p w14:paraId="11C19DF1" w14:textId="0B6BA84C" w:rsidR="00B7349D" w:rsidRPr="008F052A" w:rsidRDefault="000B4665" w:rsidP="00D94F85">
            <w:pPr>
              <w:pStyle w:val="TableTextLeft"/>
              <w:keepNext/>
              <w:jc w:val="right"/>
            </w:pPr>
            <w:r w:rsidRPr="008F052A">
              <w:t>510</w:t>
            </w:r>
          </w:p>
        </w:tc>
        <w:tc>
          <w:tcPr>
            <w:tcW w:w="0" w:type="dxa"/>
            <w:tcBorders>
              <w:top w:val="nil"/>
              <w:left w:val="nil"/>
              <w:bottom w:val="nil"/>
              <w:right w:val="nil"/>
            </w:tcBorders>
            <w:vAlign w:val="bottom"/>
          </w:tcPr>
          <w:p w14:paraId="4BD4E44B" w14:textId="3C241199" w:rsidR="00B7349D" w:rsidRPr="008F052A" w:rsidRDefault="000B4665" w:rsidP="00D94F85">
            <w:pPr>
              <w:pStyle w:val="TableTextLeft"/>
              <w:keepNext/>
              <w:jc w:val="right"/>
            </w:pPr>
            <w:r w:rsidRPr="008F052A">
              <w:t>375</w:t>
            </w:r>
          </w:p>
        </w:tc>
        <w:tc>
          <w:tcPr>
            <w:tcW w:w="0" w:type="dxa"/>
            <w:tcBorders>
              <w:top w:val="nil"/>
              <w:left w:val="nil"/>
              <w:bottom w:val="nil"/>
              <w:right w:val="nil"/>
            </w:tcBorders>
            <w:vAlign w:val="bottom"/>
          </w:tcPr>
          <w:p w14:paraId="4146DE7F" w14:textId="4EC3F7F1" w:rsidR="00B7349D" w:rsidRPr="008F052A" w:rsidRDefault="000B4665" w:rsidP="00D94F85">
            <w:pPr>
              <w:pStyle w:val="TableTextLeft"/>
              <w:keepNext/>
              <w:jc w:val="right"/>
            </w:pPr>
            <w:r w:rsidRPr="008F052A">
              <w:t>250</w:t>
            </w:r>
          </w:p>
        </w:tc>
        <w:tc>
          <w:tcPr>
            <w:tcW w:w="0" w:type="dxa"/>
            <w:tcBorders>
              <w:top w:val="nil"/>
              <w:left w:val="nil"/>
              <w:bottom w:val="nil"/>
              <w:right w:val="single" w:sz="4" w:space="0" w:color="auto"/>
            </w:tcBorders>
            <w:vAlign w:val="bottom"/>
          </w:tcPr>
          <w:p w14:paraId="56D29264" w14:textId="4F0BBED4" w:rsidR="00B7349D" w:rsidRPr="008F052A" w:rsidRDefault="000B4665" w:rsidP="00D94F85">
            <w:pPr>
              <w:pStyle w:val="TableTextLeft"/>
              <w:keepNext/>
              <w:jc w:val="right"/>
            </w:pPr>
            <w:r w:rsidRPr="008F052A">
              <w:t>255</w:t>
            </w:r>
          </w:p>
        </w:tc>
        <w:tc>
          <w:tcPr>
            <w:tcW w:w="0" w:type="dxa"/>
            <w:tcBorders>
              <w:top w:val="nil"/>
              <w:left w:val="single" w:sz="4" w:space="0" w:color="auto"/>
              <w:bottom w:val="nil"/>
              <w:right w:val="nil"/>
            </w:tcBorders>
            <w:vAlign w:val="bottom"/>
          </w:tcPr>
          <w:p w14:paraId="6746E184" w14:textId="10A4A289" w:rsidR="00B7349D" w:rsidRPr="008F052A" w:rsidRDefault="000B4665" w:rsidP="00D94F85">
            <w:pPr>
              <w:pStyle w:val="TableTextLeft"/>
              <w:keepNext/>
              <w:jc w:val="right"/>
            </w:pPr>
            <w:r w:rsidRPr="008F052A" w:rsidDel="00395520">
              <w:t>235</w:t>
            </w:r>
          </w:p>
        </w:tc>
      </w:tr>
      <w:tr w:rsidR="0037432B" w14:paraId="0B60B24F" w14:textId="77777777" w:rsidTr="00F17DBC">
        <w:tc>
          <w:tcPr>
            <w:tcW w:w="0" w:type="dxa"/>
            <w:tcBorders>
              <w:top w:val="nil"/>
              <w:left w:val="nil"/>
              <w:bottom w:val="nil"/>
              <w:right w:val="nil"/>
            </w:tcBorders>
            <w:hideMark/>
          </w:tcPr>
          <w:p w14:paraId="1802BFAC" w14:textId="2C81AF82" w:rsidR="007B5C69" w:rsidRDefault="007B5C69" w:rsidP="007B5C69">
            <w:pPr>
              <w:pStyle w:val="Tabletextleftindent"/>
              <w:keepNext/>
              <w:rPr>
                <w:color w:val="002C47" w:themeColor="accent1"/>
                <w:lang w:eastAsia="en-US"/>
              </w:rPr>
            </w:pPr>
            <w:r>
              <w:rPr>
                <w:color w:val="002C47" w:themeColor="accent1"/>
                <w:lang w:eastAsia="en-US"/>
              </w:rPr>
              <w:t xml:space="preserve">Overseas </w:t>
            </w:r>
            <w:r w:rsidR="00C909CD">
              <w:rPr>
                <w:color w:val="002C47" w:themeColor="accent1"/>
                <w:lang w:eastAsia="en-US"/>
              </w:rPr>
              <w:t xml:space="preserve">arrivals </w:t>
            </w:r>
          </w:p>
        </w:tc>
        <w:tc>
          <w:tcPr>
            <w:tcW w:w="0" w:type="dxa"/>
            <w:tcBorders>
              <w:top w:val="nil"/>
              <w:left w:val="nil"/>
              <w:bottom w:val="nil"/>
              <w:right w:val="nil"/>
            </w:tcBorders>
          </w:tcPr>
          <w:p w14:paraId="3C7FD817" w14:textId="0A0E342D" w:rsidR="007B5C69" w:rsidRPr="00E1678E" w:rsidRDefault="007B5C69" w:rsidP="007B5C69">
            <w:pPr>
              <w:pStyle w:val="TableTextLeft"/>
              <w:keepNext/>
              <w:jc w:val="right"/>
              <w:rPr>
                <w:i/>
                <w:iCs/>
                <w:lang w:eastAsia="en-US"/>
              </w:rPr>
            </w:pPr>
            <w:r w:rsidRPr="00A65A08">
              <w:rPr>
                <w:i/>
              </w:rPr>
              <w:t>426</w:t>
            </w:r>
          </w:p>
        </w:tc>
        <w:tc>
          <w:tcPr>
            <w:tcW w:w="0" w:type="dxa"/>
            <w:tcBorders>
              <w:top w:val="nil"/>
              <w:left w:val="nil"/>
              <w:bottom w:val="nil"/>
              <w:right w:val="nil"/>
            </w:tcBorders>
            <w:shd w:val="clear" w:color="auto" w:fill="D2EDFF" w:themeFill="accent1" w:themeFillTint="1A"/>
            <w:vAlign w:val="bottom"/>
          </w:tcPr>
          <w:p w14:paraId="0F91C373" w14:textId="3878EE0D" w:rsidR="007B5C69" w:rsidRPr="00382C0B" w:rsidRDefault="007B5C69" w:rsidP="007B5C69">
            <w:pPr>
              <w:pStyle w:val="TableTextLeft"/>
              <w:keepNext/>
              <w:jc w:val="right"/>
              <w:rPr>
                <w:i/>
              </w:rPr>
            </w:pPr>
            <w:r w:rsidRPr="00382C0B">
              <w:rPr>
                <w:i/>
              </w:rPr>
              <w:t>725</w:t>
            </w:r>
          </w:p>
        </w:tc>
        <w:tc>
          <w:tcPr>
            <w:tcW w:w="0" w:type="dxa"/>
            <w:tcBorders>
              <w:top w:val="nil"/>
              <w:left w:val="nil"/>
              <w:bottom w:val="nil"/>
              <w:right w:val="nil"/>
            </w:tcBorders>
            <w:vAlign w:val="bottom"/>
          </w:tcPr>
          <w:p w14:paraId="6603C521" w14:textId="12514DA7" w:rsidR="007B5C69" w:rsidRDefault="00F319DD" w:rsidP="007B5C69">
            <w:pPr>
              <w:pStyle w:val="TableTextLeft"/>
              <w:keepNext/>
              <w:jc w:val="right"/>
              <w:rPr>
                <w:i/>
                <w:iCs/>
                <w:lang w:eastAsia="en-US"/>
              </w:rPr>
            </w:pPr>
            <w:r w:rsidRPr="00382C0B">
              <w:rPr>
                <w:i/>
              </w:rPr>
              <w:t>660</w:t>
            </w:r>
          </w:p>
        </w:tc>
        <w:tc>
          <w:tcPr>
            <w:tcW w:w="0" w:type="dxa"/>
            <w:tcBorders>
              <w:top w:val="nil"/>
              <w:left w:val="nil"/>
              <w:bottom w:val="nil"/>
              <w:right w:val="nil"/>
            </w:tcBorders>
            <w:vAlign w:val="bottom"/>
          </w:tcPr>
          <w:p w14:paraId="39AE5F3A" w14:textId="541CCCD8" w:rsidR="007B5C69" w:rsidRDefault="00F319DD" w:rsidP="007B5C69">
            <w:pPr>
              <w:pStyle w:val="TableTextLeft"/>
              <w:keepNext/>
              <w:jc w:val="right"/>
              <w:rPr>
                <w:i/>
                <w:iCs/>
                <w:lang w:eastAsia="en-US"/>
              </w:rPr>
            </w:pPr>
            <w:r w:rsidRPr="00382C0B">
              <w:rPr>
                <w:i/>
              </w:rPr>
              <w:t>580</w:t>
            </w:r>
          </w:p>
        </w:tc>
        <w:tc>
          <w:tcPr>
            <w:tcW w:w="0" w:type="dxa"/>
            <w:tcBorders>
              <w:top w:val="nil"/>
              <w:left w:val="nil"/>
              <w:bottom w:val="nil"/>
              <w:right w:val="single" w:sz="4" w:space="0" w:color="auto"/>
            </w:tcBorders>
            <w:vAlign w:val="bottom"/>
          </w:tcPr>
          <w:p w14:paraId="7187FE8C" w14:textId="6FEB57C0" w:rsidR="007B5C69" w:rsidRDefault="00F319DD" w:rsidP="007B5C69">
            <w:pPr>
              <w:pStyle w:val="TableTextLeft"/>
              <w:keepNext/>
              <w:jc w:val="right"/>
              <w:rPr>
                <w:i/>
                <w:iCs/>
                <w:lang w:eastAsia="en-US"/>
              </w:rPr>
            </w:pPr>
            <w:r w:rsidRPr="00382C0B">
              <w:rPr>
                <w:i/>
              </w:rPr>
              <w:t>590</w:t>
            </w:r>
          </w:p>
        </w:tc>
        <w:tc>
          <w:tcPr>
            <w:tcW w:w="0" w:type="dxa"/>
            <w:tcBorders>
              <w:top w:val="nil"/>
              <w:left w:val="single" w:sz="4" w:space="0" w:color="auto"/>
              <w:bottom w:val="nil"/>
              <w:right w:val="nil"/>
            </w:tcBorders>
            <w:vAlign w:val="bottom"/>
          </w:tcPr>
          <w:p w14:paraId="093D2FD5" w14:textId="3292666C" w:rsidR="007B5C69" w:rsidRPr="00382C0B" w:rsidRDefault="00F319DD" w:rsidP="007B5C69">
            <w:pPr>
              <w:pStyle w:val="TableTextLeft"/>
              <w:keepNext/>
              <w:jc w:val="right"/>
              <w:rPr>
                <w:i/>
              </w:rPr>
            </w:pPr>
            <w:r w:rsidRPr="00382C0B">
              <w:rPr>
                <w:i/>
              </w:rPr>
              <w:t>575</w:t>
            </w:r>
          </w:p>
        </w:tc>
      </w:tr>
      <w:tr w:rsidR="00D94D1D" w14:paraId="183BC9F2" w14:textId="77777777" w:rsidTr="00F17DBC">
        <w:tc>
          <w:tcPr>
            <w:tcW w:w="0" w:type="dxa"/>
            <w:tcBorders>
              <w:top w:val="nil"/>
              <w:left w:val="nil"/>
              <w:bottom w:val="single" w:sz="4" w:space="0" w:color="auto"/>
              <w:right w:val="nil"/>
            </w:tcBorders>
            <w:hideMark/>
          </w:tcPr>
          <w:p w14:paraId="17A52F75" w14:textId="5DFE6515" w:rsidR="007B5C69" w:rsidRDefault="007B5C69" w:rsidP="007B5C69">
            <w:pPr>
              <w:pStyle w:val="TableTextLeft"/>
              <w:keepNext/>
              <w:ind w:left="283"/>
              <w:rPr>
                <w:i/>
                <w:iCs/>
                <w:color w:val="002C47" w:themeColor="accent1"/>
                <w:lang w:eastAsia="en-US"/>
              </w:rPr>
            </w:pPr>
            <w:r>
              <w:rPr>
                <w:i/>
                <w:iCs/>
                <w:color w:val="002C47" w:themeColor="accent1"/>
                <w:lang w:eastAsia="en-US"/>
              </w:rPr>
              <w:t xml:space="preserve">Overseas </w:t>
            </w:r>
            <w:r w:rsidR="00C909CD">
              <w:rPr>
                <w:i/>
                <w:iCs/>
                <w:color w:val="002C47" w:themeColor="accent1"/>
                <w:lang w:eastAsia="en-US"/>
              </w:rPr>
              <w:t xml:space="preserve">departures </w:t>
            </w:r>
          </w:p>
        </w:tc>
        <w:tc>
          <w:tcPr>
            <w:tcW w:w="0" w:type="dxa"/>
            <w:tcBorders>
              <w:top w:val="nil"/>
              <w:left w:val="nil"/>
              <w:bottom w:val="single" w:sz="4" w:space="0" w:color="auto"/>
              <w:right w:val="nil"/>
            </w:tcBorders>
          </w:tcPr>
          <w:p w14:paraId="371A5C2B" w14:textId="55812507" w:rsidR="007B5C69" w:rsidRPr="00E1678E" w:rsidRDefault="007B5C69" w:rsidP="007B5C69">
            <w:pPr>
              <w:pStyle w:val="TableTextLeft"/>
              <w:keepNext/>
              <w:jc w:val="right"/>
              <w:rPr>
                <w:i/>
                <w:iCs/>
                <w:lang w:eastAsia="en-US"/>
              </w:rPr>
            </w:pPr>
            <w:r w:rsidRPr="00A65A08">
              <w:rPr>
                <w:i/>
              </w:rPr>
              <w:t>224</w:t>
            </w:r>
          </w:p>
        </w:tc>
        <w:tc>
          <w:tcPr>
            <w:tcW w:w="0" w:type="dxa"/>
            <w:tcBorders>
              <w:top w:val="nil"/>
              <w:left w:val="nil"/>
              <w:bottom w:val="nil"/>
              <w:right w:val="nil"/>
            </w:tcBorders>
            <w:shd w:val="clear" w:color="auto" w:fill="D2EDFF" w:themeFill="accent1" w:themeFillTint="1A"/>
            <w:vAlign w:val="bottom"/>
          </w:tcPr>
          <w:p w14:paraId="094EAE19" w14:textId="2B350BD7" w:rsidR="007B5C69" w:rsidRPr="00382C0B" w:rsidRDefault="00F319DD" w:rsidP="007B5C69">
            <w:pPr>
              <w:pStyle w:val="TableTextLeft"/>
              <w:keepNext/>
              <w:jc w:val="right"/>
              <w:rPr>
                <w:i/>
              </w:rPr>
            </w:pPr>
            <w:r w:rsidRPr="00382C0B">
              <w:rPr>
                <w:i/>
              </w:rPr>
              <w:t>215</w:t>
            </w:r>
          </w:p>
        </w:tc>
        <w:tc>
          <w:tcPr>
            <w:tcW w:w="0" w:type="dxa"/>
            <w:tcBorders>
              <w:top w:val="nil"/>
              <w:left w:val="nil"/>
              <w:bottom w:val="nil"/>
              <w:right w:val="nil"/>
            </w:tcBorders>
            <w:vAlign w:val="bottom"/>
          </w:tcPr>
          <w:p w14:paraId="2A79ABB5" w14:textId="2D13FB11" w:rsidR="007B5C69" w:rsidRDefault="00F319DD" w:rsidP="007B5C69">
            <w:pPr>
              <w:pStyle w:val="TableTextLeft"/>
              <w:keepNext/>
              <w:jc w:val="right"/>
              <w:rPr>
                <w:i/>
                <w:iCs/>
                <w:lang w:eastAsia="en-US"/>
              </w:rPr>
            </w:pPr>
            <w:r w:rsidRPr="00382C0B">
              <w:rPr>
                <w:i/>
              </w:rPr>
              <w:t>285</w:t>
            </w:r>
          </w:p>
        </w:tc>
        <w:tc>
          <w:tcPr>
            <w:tcW w:w="0" w:type="dxa"/>
            <w:tcBorders>
              <w:top w:val="nil"/>
              <w:left w:val="nil"/>
              <w:bottom w:val="nil"/>
              <w:right w:val="nil"/>
            </w:tcBorders>
            <w:vAlign w:val="bottom"/>
          </w:tcPr>
          <w:p w14:paraId="18BD0231" w14:textId="72938B59" w:rsidR="007B5C69" w:rsidRDefault="00F319DD" w:rsidP="007B5C69">
            <w:pPr>
              <w:pStyle w:val="TableTextLeft"/>
              <w:keepNext/>
              <w:jc w:val="right"/>
              <w:rPr>
                <w:i/>
                <w:iCs/>
                <w:lang w:eastAsia="en-US"/>
              </w:rPr>
            </w:pPr>
            <w:r w:rsidRPr="00382C0B">
              <w:rPr>
                <w:i/>
              </w:rPr>
              <w:t>335</w:t>
            </w:r>
          </w:p>
        </w:tc>
        <w:tc>
          <w:tcPr>
            <w:tcW w:w="0" w:type="dxa"/>
            <w:tcBorders>
              <w:top w:val="nil"/>
              <w:left w:val="nil"/>
              <w:bottom w:val="single" w:sz="4" w:space="0" w:color="auto"/>
              <w:right w:val="single" w:sz="4" w:space="0" w:color="auto"/>
            </w:tcBorders>
            <w:vAlign w:val="bottom"/>
          </w:tcPr>
          <w:p w14:paraId="2609D790" w14:textId="2155BCCF" w:rsidR="007B5C69" w:rsidRDefault="00F319DD" w:rsidP="007B5C69">
            <w:pPr>
              <w:pStyle w:val="TableTextLeft"/>
              <w:keepNext/>
              <w:jc w:val="right"/>
              <w:rPr>
                <w:i/>
                <w:iCs/>
                <w:lang w:eastAsia="en-US"/>
              </w:rPr>
            </w:pPr>
            <w:r w:rsidRPr="00382C0B">
              <w:rPr>
                <w:i/>
              </w:rPr>
              <w:t>330</w:t>
            </w:r>
          </w:p>
        </w:tc>
        <w:tc>
          <w:tcPr>
            <w:tcW w:w="0" w:type="dxa"/>
            <w:tcBorders>
              <w:top w:val="nil"/>
              <w:left w:val="single" w:sz="4" w:space="0" w:color="auto"/>
              <w:bottom w:val="nil"/>
              <w:right w:val="nil"/>
            </w:tcBorders>
            <w:vAlign w:val="bottom"/>
          </w:tcPr>
          <w:p w14:paraId="629F66E8" w14:textId="3854BA65" w:rsidR="007B5C69" w:rsidRPr="00382C0B" w:rsidRDefault="00F319DD" w:rsidP="007B5C69">
            <w:pPr>
              <w:pStyle w:val="TableTextLeft"/>
              <w:keepNext/>
              <w:jc w:val="right"/>
              <w:rPr>
                <w:i/>
              </w:rPr>
            </w:pPr>
            <w:r w:rsidRPr="00382C0B">
              <w:rPr>
                <w:i/>
              </w:rPr>
              <w:t>340</w:t>
            </w:r>
          </w:p>
        </w:tc>
      </w:tr>
      <w:tr w:rsidR="00B7349D" w14:paraId="7D006F9A" w14:textId="77777777" w:rsidTr="00AC7676">
        <w:tc>
          <w:tcPr>
            <w:tcW w:w="3468" w:type="dxa"/>
            <w:tcBorders>
              <w:top w:val="single" w:sz="4" w:space="0" w:color="auto"/>
              <w:left w:val="nil"/>
              <w:bottom w:val="single" w:sz="4" w:space="0" w:color="auto"/>
              <w:right w:val="nil"/>
            </w:tcBorders>
            <w:hideMark/>
          </w:tcPr>
          <w:p w14:paraId="48BEFF76" w14:textId="513A76A0" w:rsidR="00B7349D" w:rsidRDefault="00B7349D">
            <w:pPr>
              <w:pStyle w:val="TableTextLeft"/>
              <w:rPr>
                <w:color w:val="002C47" w:themeColor="accent1"/>
                <w:lang w:eastAsia="en-US"/>
              </w:rPr>
            </w:pPr>
            <w:r>
              <w:rPr>
                <w:color w:val="002C47" w:themeColor="accent1"/>
                <w:lang w:eastAsia="en-US"/>
              </w:rPr>
              <w:t>Median age (years)</w:t>
            </w:r>
          </w:p>
        </w:tc>
        <w:tc>
          <w:tcPr>
            <w:tcW w:w="934" w:type="dxa"/>
            <w:tcBorders>
              <w:top w:val="single" w:sz="4" w:space="0" w:color="auto"/>
              <w:left w:val="nil"/>
              <w:bottom w:val="single" w:sz="4" w:space="0" w:color="auto"/>
              <w:right w:val="nil"/>
            </w:tcBorders>
          </w:tcPr>
          <w:p w14:paraId="625B34B2" w14:textId="77777777" w:rsidR="00B7349D" w:rsidRDefault="00B7349D">
            <w:pPr>
              <w:pStyle w:val="TableTextLeft"/>
              <w:jc w:val="right"/>
              <w:rPr>
                <w:lang w:eastAsia="en-US"/>
              </w:rPr>
            </w:pPr>
            <w:r>
              <w:rPr>
                <w:lang w:eastAsia="en-US"/>
              </w:rPr>
              <w:t>38.5</w:t>
            </w:r>
          </w:p>
        </w:tc>
        <w:tc>
          <w:tcPr>
            <w:tcW w:w="934" w:type="dxa"/>
            <w:tcBorders>
              <w:top w:val="single" w:sz="4" w:space="0" w:color="auto"/>
              <w:left w:val="nil"/>
              <w:bottom w:val="single" w:sz="4" w:space="0" w:color="auto"/>
              <w:right w:val="nil"/>
            </w:tcBorders>
            <w:shd w:val="clear" w:color="auto" w:fill="D2EDFF" w:themeFill="accent1" w:themeFillTint="1A"/>
          </w:tcPr>
          <w:p w14:paraId="600180E8" w14:textId="77777777" w:rsidR="00B7349D" w:rsidRPr="008F052A" w:rsidRDefault="00B7349D" w:rsidP="00382C0B">
            <w:pPr>
              <w:pStyle w:val="TableTextLeft"/>
              <w:keepNext/>
              <w:jc w:val="right"/>
            </w:pPr>
            <w:r w:rsidRPr="008F052A">
              <w:t>38.4</w:t>
            </w:r>
          </w:p>
        </w:tc>
        <w:tc>
          <w:tcPr>
            <w:tcW w:w="934" w:type="dxa"/>
            <w:tcBorders>
              <w:top w:val="single" w:sz="4" w:space="0" w:color="auto"/>
              <w:left w:val="nil"/>
              <w:bottom w:val="single" w:sz="4" w:space="0" w:color="auto"/>
              <w:right w:val="nil"/>
            </w:tcBorders>
          </w:tcPr>
          <w:p w14:paraId="34BB21DE" w14:textId="77777777" w:rsidR="00B7349D" w:rsidRDefault="00B7349D">
            <w:pPr>
              <w:pStyle w:val="TableTextLeft"/>
              <w:jc w:val="right"/>
              <w:rPr>
                <w:lang w:eastAsia="en-US"/>
              </w:rPr>
            </w:pPr>
            <w:r>
              <w:rPr>
                <w:lang w:eastAsia="en-US"/>
              </w:rPr>
              <w:t>38.4</w:t>
            </w:r>
          </w:p>
        </w:tc>
        <w:tc>
          <w:tcPr>
            <w:tcW w:w="934" w:type="dxa"/>
            <w:tcBorders>
              <w:top w:val="single" w:sz="4" w:space="0" w:color="auto"/>
              <w:left w:val="nil"/>
              <w:bottom w:val="single" w:sz="4" w:space="0" w:color="auto"/>
              <w:right w:val="nil"/>
            </w:tcBorders>
          </w:tcPr>
          <w:p w14:paraId="0A0F1679" w14:textId="4F0A4452" w:rsidR="00B7349D" w:rsidRDefault="00B7349D">
            <w:pPr>
              <w:pStyle w:val="TableTextLeft"/>
              <w:jc w:val="right"/>
              <w:rPr>
                <w:lang w:eastAsia="en-US"/>
              </w:rPr>
            </w:pPr>
            <w:r>
              <w:rPr>
                <w:lang w:eastAsia="en-US"/>
              </w:rPr>
              <w:t>38.</w:t>
            </w:r>
            <w:r w:rsidR="006E1E92">
              <w:rPr>
                <w:lang w:eastAsia="en-US"/>
              </w:rPr>
              <w:t>6</w:t>
            </w:r>
          </w:p>
        </w:tc>
        <w:tc>
          <w:tcPr>
            <w:tcW w:w="934" w:type="dxa"/>
            <w:tcBorders>
              <w:top w:val="single" w:sz="4" w:space="0" w:color="auto"/>
              <w:left w:val="nil"/>
              <w:bottom w:val="single" w:sz="4" w:space="0" w:color="auto"/>
              <w:right w:val="single" w:sz="4" w:space="0" w:color="auto"/>
            </w:tcBorders>
          </w:tcPr>
          <w:p w14:paraId="7FDDC4BE" w14:textId="57EBE20B" w:rsidR="00B7349D" w:rsidRDefault="00B7349D">
            <w:pPr>
              <w:pStyle w:val="TableTextLeft"/>
              <w:jc w:val="right"/>
              <w:rPr>
                <w:lang w:eastAsia="en-US"/>
              </w:rPr>
            </w:pPr>
            <w:r>
              <w:rPr>
                <w:lang w:eastAsia="en-US"/>
              </w:rPr>
              <w:t>38.</w:t>
            </w:r>
            <w:r w:rsidR="006E1E92">
              <w:rPr>
                <w:lang w:eastAsia="en-US"/>
              </w:rPr>
              <w:t>7</w:t>
            </w:r>
          </w:p>
        </w:tc>
        <w:tc>
          <w:tcPr>
            <w:tcW w:w="934" w:type="dxa"/>
            <w:tcBorders>
              <w:top w:val="single" w:sz="4" w:space="0" w:color="auto"/>
              <w:left w:val="single" w:sz="4" w:space="0" w:color="auto"/>
              <w:bottom w:val="single" w:sz="4" w:space="0" w:color="auto"/>
              <w:right w:val="nil"/>
            </w:tcBorders>
          </w:tcPr>
          <w:p w14:paraId="79D1B457" w14:textId="0F4B9B30" w:rsidR="00B7349D" w:rsidRDefault="00B7349D">
            <w:pPr>
              <w:pStyle w:val="TableTextLeft"/>
              <w:jc w:val="right"/>
              <w:rPr>
                <w:lang w:eastAsia="en-US"/>
              </w:rPr>
            </w:pPr>
            <w:r>
              <w:rPr>
                <w:lang w:eastAsia="en-US"/>
              </w:rPr>
              <w:t>39.</w:t>
            </w:r>
            <w:r w:rsidR="00B82484">
              <w:rPr>
                <w:lang w:eastAsia="en-US"/>
              </w:rPr>
              <w:t>8</w:t>
            </w:r>
          </w:p>
        </w:tc>
      </w:tr>
    </w:tbl>
    <w:p w14:paraId="024D05F8" w14:textId="39AEE04A" w:rsidR="00B7349D" w:rsidRDefault="00B7349D" w:rsidP="00252F42">
      <w:pPr>
        <w:pStyle w:val="Source"/>
      </w:pPr>
      <w:bookmarkStart w:id="40" w:name="_Hlk149832557"/>
      <w:r w:rsidRPr="00252F42">
        <w:t xml:space="preserve">Source: </w:t>
      </w:r>
      <w:r w:rsidR="005658B4" w:rsidRPr="00252F42">
        <w:tab/>
      </w:r>
      <w:r w:rsidR="009E5FB5" w:rsidRPr="00252F42">
        <w:t>ABS</w:t>
      </w:r>
      <w:r w:rsidRPr="00252F42">
        <w:t>, National, state and territory population, March 2023</w:t>
      </w:r>
      <w:r w:rsidR="006E3278" w:rsidRPr="00252F42">
        <w:t xml:space="preserve"> and</w:t>
      </w:r>
      <w:r w:rsidRPr="00252F42">
        <w:t xml:space="preserve"> Centre for Population projections</w:t>
      </w:r>
      <w:r w:rsidR="00BE6360" w:rsidRPr="00252F42">
        <w:t>.</w:t>
      </w:r>
    </w:p>
    <w:p w14:paraId="3CDDD672" w14:textId="77777777" w:rsidR="00DB4A76" w:rsidRPr="00DB4A76" w:rsidRDefault="00DB4A76" w:rsidP="00DB4A76">
      <w:pPr>
        <w:pStyle w:val="SingleParagraph"/>
      </w:pPr>
    </w:p>
    <w:p w14:paraId="0F89A124" w14:textId="2BD0DD41" w:rsidR="00B7349D" w:rsidRPr="00BD2A0A" w:rsidRDefault="003F6DB8" w:rsidP="002375F0">
      <w:pPr>
        <w:pStyle w:val="ChartMainHeading"/>
      </w:pPr>
      <w:bookmarkStart w:id="41" w:name="_Ref149841239"/>
      <w:bookmarkEnd w:id="40"/>
      <w:r w:rsidRPr="00BD2A0A">
        <w:t>population growth and components, Australia</w:t>
      </w:r>
      <w:bookmarkEnd w:id="41"/>
    </w:p>
    <w:p w14:paraId="589B17C8" w14:textId="36E8F48D" w:rsidR="003D2D22" w:rsidRPr="00D061F1" w:rsidRDefault="006E4BA1" w:rsidP="002375F0">
      <w:pPr>
        <w:pStyle w:val="ChartGraphic"/>
      </w:pPr>
      <w:r w:rsidRPr="006E4BA1">
        <w:rPr>
          <w:noProof/>
        </w:rPr>
        <w:drawing>
          <wp:inline distT="0" distB="0" distL="0" distR="0" wp14:anchorId="3984BE30" wp14:editId="5AB196A7">
            <wp:extent cx="5580000" cy="2868491"/>
            <wp:effectExtent l="0" t="0" r="0" b="8255"/>
            <wp:docPr id="69" name="Picture 69" descr="This chart shows Australia's total population growth disaggregated into its components: natural increase and net overseas migration. The intercensal difference is also shown. Population growth is projected to peak in 2023-24 at 2.4 per cent and then slowly decline to 1.2 per cent by 2033-34. Net overseas migration accounts for the majority of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chart shows Australia's total population growth disaggregated into its components: natural increase and net overseas migration. The intercensal difference is also shown. Population growth is projected to peak in 2023-24 at 2.4 per cent and then slowly decline to 1.2 per cent by 2033-34. Net overseas migration accounts for the majority of population growth over the projection perio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000" cy="2868491"/>
                    </a:xfrm>
                    <a:prstGeom prst="rect">
                      <a:avLst/>
                    </a:prstGeom>
                    <a:noFill/>
                    <a:ln>
                      <a:noFill/>
                    </a:ln>
                  </pic:spPr>
                </pic:pic>
              </a:graphicData>
            </a:graphic>
          </wp:inline>
        </w:drawing>
      </w:r>
    </w:p>
    <w:p w14:paraId="79CFF1F5" w14:textId="43612302" w:rsidR="00373A19" w:rsidRPr="00966DDA" w:rsidRDefault="00373A19" w:rsidP="006F48FB">
      <w:pPr>
        <w:pStyle w:val="ChartorTableNote"/>
      </w:pPr>
      <w:r w:rsidRPr="00966DDA">
        <w:t xml:space="preserve">Note: </w:t>
      </w:r>
      <w:r w:rsidR="001328AC" w:rsidRPr="00966DDA">
        <w:tab/>
      </w:r>
      <w:r w:rsidRPr="00966DDA">
        <w:t>Intercensal difference refers to the difference between the estimated resident population after incorporating the results of the 2021 Census and previously published estimates.</w:t>
      </w:r>
    </w:p>
    <w:p w14:paraId="39823572" w14:textId="52CC6F71" w:rsidR="00373A19" w:rsidRPr="00966DDA" w:rsidRDefault="00373A19" w:rsidP="00966DDA">
      <w:pPr>
        <w:pStyle w:val="Source"/>
        <w:rPr>
          <w:rStyle w:val="Hyperlink"/>
          <w:color w:val="auto"/>
        </w:rPr>
      </w:pPr>
      <w:r w:rsidRPr="00966DDA">
        <w:t>Source:</w:t>
      </w:r>
      <w:r w:rsidR="00A63F4F" w:rsidRPr="00966DDA">
        <w:t xml:space="preserve"> </w:t>
      </w:r>
      <w:r w:rsidR="001328AC" w:rsidRPr="00966DDA">
        <w:tab/>
      </w:r>
      <w:r w:rsidR="009E5FB5" w:rsidRPr="00966DDA">
        <w:t>ABS</w:t>
      </w:r>
      <w:r w:rsidRPr="00966DDA">
        <w:t>, National, state and territory population, March 202</w:t>
      </w:r>
      <w:r w:rsidR="00D76A90" w:rsidRPr="00966DDA">
        <w:t>3</w:t>
      </w:r>
      <w:r w:rsidR="006E3278" w:rsidRPr="00966DDA">
        <w:t xml:space="preserve"> and</w:t>
      </w:r>
      <w:r w:rsidRPr="00966DDA">
        <w:t xml:space="preserve"> Centre for Population projections.</w:t>
      </w:r>
    </w:p>
    <w:p w14:paraId="39A85B39" w14:textId="10AF2297" w:rsidR="00F54288" w:rsidRPr="00AC22D1" w:rsidRDefault="00F54288" w:rsidP="002375F0">
      <w:pPr>
        <w:pStyle w:val="ChartMainHeading"/>
      </w:pPr>
      <w:bookmarkStart w:id="42" w:name="_Ref149121260"/>
      <w:r w:rsidRPr="00AC22D1">
        <w:lastRenderedPageBreak/>
        <w:t xml:space="preserve">Natural </w:t>
      </w:r>
      <w:r w:rsidR="008D7609" w:rsidRPr="00AC22D1">
        <w:t>i</w:t>
      </w:r>
      <w:r w:rsidRPr="00AC22D1">
        <w:t>ncrease and components, Australia</w:t>
      </w:r>
      <w:bookmarkEnd w:id="42"/>
      <w:r w:rsidRPr="00AC22D1">
        <w:t xml:space="preserve"> </w:t>
      </w:r>
    </w:p>
    <w:p w14:paraId="77F3054B" w14:textId="21FAA6DB" w:rsidR="00AA10D6" w:rsidRDefault="008D16F2" w:rsidP="002375F0">
      <w:pPr>
        <w:pStyle w:val="ChartGraphic"/>
      </w:pPr>
      <w:r w:rsidRPr="008D16F2">
        <w:rPr>
          <w:noProof/>
        </w:rPr>
        <w:drawing>
          <wp:inline distT="0" distB="0" distL="0" distR="0" wp14:anchorId="73805F5D" wp14:editId="4C70E367">
            <wp:extent cx="5580000" cy="2868491"/>
            <wp:effectExtent l="0" t="0" r="0" b="8255"/>
            <wp:docPr id="70" name="Picture 70" descr="This chart shows Australia’s natural population increase disaggregated into births and deaths. The number of births has increased slightly over time as the population has grown, as has the number of deaths. These trends will broadly continue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chart shows Australia’s natural population increase disaggregated into births and deaths. The number of births has increased slightly over time as the population has grown, as has the number of deaths. These trends will broadly continue over the projection peri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2868491"/>
                    </a:xfrm>
                    <a:prstGeom prst="rect">
                      <a:avLst/>
                    </a:prstGeom>
                    <a:noFill/>
                    <a:ln>
                      <a:noFill/>
                    </a:ln>
                  </pic:spPr>
                </pic:pic>
              </a:graphicData>
            </a:graphic>
          </wp:inline>
        </w:drawing>
      </w:r>
    </w:p>
    <w:p w14:paraId="584639DD" w14:textId="5A2B4FF8" w:rsidR="002D03A9" w:rsidRPr="002E6B6B" w:rsidRDefault="00F54288" w:rsidP="002468E3">
      <w:pPr>
        <w:pStyle w:val="Source"/>
        <w:rPr>
          <w:rStyle w:val="Hyperlink"/>
          <w:sz w:val="20"/>
        </w:rPr>
      </w:pPr>
      <w:r>
        <w:t xml:space="preserve">Source: </w:t>
      </w:r>
      <w:r w:rsidR="005658B4">
        <w:tab/>
      </w:r>
      <w:r w:rsidR="009E5FB5">
        <w:t>ABS</w:t>
      </w:r>
      <w:r>
        <w:t>, National, state and territory population, March 2023</w:t>
      </w:r>
      <w:r w:rsidR="00A80BA9">
        <w:t xml:space="preserve"> and</w:t>
      </w:r>
      <w:r w:rsidR="00A50545">
        <w:t xml:space="preserve"> </w:t>
      </w:r>
      <w:r>
        <w:t>Centre for Population projections.</w:t>
      </w:r>
    </w:p>
    <w:p w14:paraId="742A06E1" w14:textId="18515500" w:rsidR="00B46B90" w:rsidRDefault="00E47BB8" w:rsidP="00394BE5">
      <w:pPr>
        <w:pStyle w:val="Heading2Numbered"/>
      </w:pPr>
      <w:bookmarkStart w:id="43" w:name="_Toc152920080"/>
      <w:bookmarkStart w:id="44" w:name="_Toc151994718"/>
      <w:bookmarkStart w:id="45" w:name="_Toc154050207"/>
      <w:bookmarkStart w:id="46" w:name="_Toc149846499"/>
      <w:bookmarkStart w:id="47" w:name="_Toc149846540"/>
      <w:bookmarkStart w:id="48" w:name="_Toc149846638"/>
      <w:bookmarkStart w:id="49" w:name="_Toc149847581"/>
      <w:bookmarkEnd w:id="43"/>
      <w:r>
        <w:t xml:space="preserve">Net overseas </w:t>
      </w:r>
      <w:r w:rsidRPr="002F5E39">
        <w:t>migration</w:t>
      </w:r>
      <w:bookmarkEnd w:id="44"/>
      <w:bookmarkEnd w:id="45"/>
    </w:p>
    <w:p w14:paraId="4937174A" w14:textId="1B389D4C" w:rsidR="006778E9" w:rsidRDefault="006778E9" w:rsidP="004218BD">
      <w:pPr>
        <w:pStyle w:val="Heading3"/>
      </w:pPr>
      <w:bookmarkStart w:id="50" w:name="_Hlk151471296"/>
      <w:bookmarkEnd w:id="46"/>
      <w:bookmarkEnd w:id="47"/>
      <w:bookmarkEnd w:id="48"/>
      <w:bookmarkEnd w:id="49"/>
      <w:r w:rsidRPr="004218BD">
        <w:t>Overview</w:t>
      </w:r>
    </w:p>
    <w:p w14:paraId="3FE27522" w14:textId="409A2A6A" w:rsidR="00793C93" w:rsidRDefault="00793C93" w:rsidP="00793C93">
      <w:pPr>
        <w:rPr>
          <w:rFonts w:eastAsiaTheme="minorHAnsi"/>
        </w:rPr>
      </w:pPr>
      <w:bookmarkStart w:id="51" w:name="_Hlk153267511"/>
      <w:bookmarkEnd w:id="50"/>
      <w:r>
        <w:t>Net overseas migration has continued to recover from record low levels observed during the C</w:t>
      </w:r>
      <w:r w:rsidR="00320488">
        <w:t>OVID–</w:t>
      </w:r>
      <w:r>
        <w:t xml:space="preserve">19 pandemic, </w:t>
      </w:r>
      <w:r w:rsidR="00DA1013">
        <w:t xml:space="preserve">primarily </w:t>
      </w:r>
      <w:r>
        <w:t xml:space="preserve">driven by a recovery in international students and </w:t>
      </w:r>
      <w:r w:rsidR="0066245E">
        <w:t xml:space="preserve">other temporary migrants like </w:t>
      </w:r>
      <w:r>
        <w:t>working holiday makers (</w:t>
      </w:r>
      <w:r w:rsidR="002E4269">
        <w:fldChar w:fldCharType="begin"/>
      </w:r>
      <w:r w:rsidR="002E4269">
        <w:instrText xml:space="preserve"> REF _Ref152852103 \r \h </w:instrText>
      </w:r>
      <w:r w:rsidR="002E4269">
        <w:fldChar w:fldCharType="separate"/>
      </w:r>
      <w:r w:rsidR="00CE6FEA">
        <w:t>Chart 3</w:t>
      </w:r>
      <w:r w:rsidR="002E4269">
        <w:fldChar w:fldCharType="end"/>
      </w:r>
      <w:r>
        <w:t>). While net overseas migration is forecast to have reached 510,000 in 2022</w:t>
      </w:r>
      <w:r w:rsidR="00320488">
        <w:t>–</w:t>
      </w:r>
      <w:r>
        <w:t>23, it is still expected to be 185,000 lower over the period 2019</w:t>
      </w:r>
      <w:r w:rsidR="00320488">
        <w:t>–</w:t>
      </w:r>
      <w:r>
        <w:t>20 to 2022</w:t>
      </w:r>
      <w:r w:rsidR="0086544B">
        <w:t>–</w:t>
      </w:r>
      <w:r>
        <w:t>23 than was forecast in the MYEFO</w:t>
      </w:r>
      <w:r w:rsidR="00364486">
        <w:t xml:space="preserve"> </w:t>
      </w:r>
      <w:r>
        <w:t>2019</w:t>
      </w:r>
      <w:r w:rsidR="00320488">
        <w:t>–</w:t>
      </w:r>
      <w:r>
        <w:t xml:space="preserve">20. </w:t>
      </w:r>
      <w:r w:rsidR="00AD3037">
        <w:t xml:space="preserve">Much of the higher </w:t>
      </w:r>
      <w:r w:rsidR="00AD3037" w:rsidRPr="00165AAA" w:rsidDel="00F62680">
        <w:t xml:space="preserve">net </w:t>
      </w:r>
      <w:r w:rsidR="00AD3037">
        <w:t>overseas</w:t>
      </w:r>
      <w:r w:rsidR="00AD3037" w:rsidRPr="00165AAA" w:rsidDel="00F62680">
        <w:t xml:space="preserve"> migration reflects a </w:t>
      </w:r>
      <w:r w:rsidR="00AD3037">
        <w:t>catchup</w:t>
      </w:r>
      <w:r w:rsidR="00AD3037" w:rsidRPr="00165AAA" w:rsidDel="00F62680">
        <w:t xml:space="preserve"> </w:t>
      </w:r>
      <w:r w:rsidR="00AD3037">
        <w:t xml:space="preserve">of </w:t>
      </w:r>
      <w:r w:rsidR="00D935FB">
        <w:t xml:space="preserve">low, and </w:t>
      </w:r>
      <w:r w:rsidR="00A25B8A">
        <w:t xml:space="preserve">at times </w:t>
      </w:r>
      <w:r w:rsidR="00D935FB">
        <w:t>negative, migration</w:t>
      </w:r>
      <w:r w:rsidR="00AD3037" w:rsidRPr="00165AAA">
        <w:t xml:space="preserve"> </w:t>
      </w:r>
      <w:r w:rsidR="00AD3037" w:rsidRPr="00165AAA" w:rsidDel="00F62680">
        <w:t>over the pandemic</w:t>
      </w:r>
      <w:r w:rsidR="00AD3037">
        <w:t xml:space="preserve">, as well as a surge in global demand for international study and a strong domestic labour market. </w:t>
      </w:r>
      <w:r>
        <w:t>Over the 8 years from the onset of the pandemic in 2019–20 to the end of the forecasts in 2026–</w:t>
      </w:r>
      <w:r>
        <w:rPr>
          <w:caps/>
        </w:rPr>
        <w:t>27</w:t>
      </w:r>
      <w:r>
        <w:t>, net</w:t>
      </w:r>
      <w:r w:rsidR="001C79BE">
        <w:t> </w:t>
      </w:r>
      <w:r>
        <w:t xml:space="preserve">overseas migration is forecast to average 240,000 persons per year, in line with 238,000 in 2017–18 and 241,000 in 2018–19. </w:t>
      </w:r>
    </w:p>
    <w:p w14:paraId="7055B645" w14:textId="6DD00370" w:rsidR="00793C93" w:rsidRDefault="00793C93" w:rsidP="00793C93">
      <w:pPr>
        <w:rPr>
          <w:rFonts w:eastAsiaTheme="minorHAnsi"/>
        </w:rPr>
      </w:pPr>
      <w:r>
        <w:t xml:space="preserve">Net overseas migration is </w:t>
      </w:r>
      <w:r w:rsidR="001F7E39">
        <w:t>forecast</w:t>
      </w:r>
      <w:r>
        <w:t xml:space="preserve"> to return to pre</w:t>
      </w:r>
      <w:r>
        <w:noBreakHyphen/>
        <w:t>pandemic levels from 2024–25, as pandemic</w:t>
      </w:r>
      <w:r>
        <w:noBreakHyphen/>
        <w:t xml:space="preserve">related factors </w:t>
      </w:r>
      <w:r w:rsidR="00D935FB">
        <w:t>wane</w:t>
      </w:r>
      <w:r>
        <w:t xml:space="preserve"> and policy directions identified in the Migration Strategy take effect. Policy decisions taken in MYEFO 202</w:t>
      </w:r>
      <w:r w:rsidR="00F70807">
        <w:t>3</w:t>
      </w:r>
      <w:r w:rsidDel="00F62680">
        <w:t>–</w:t>
      </w:r>
      <w:r>
        <w:t>2</w:t>
      </w:r>
      <w:r w:rsidR="007156F3">
        <w:t>4, including those</w:t>
      </w:r>
      <w:r>
        <w:t xml:space="preserve"> </w:t>
      </w:r>
      <w:r w:rsidR="00446122">
        <w:t>from</w:t>
      </w:r>
      <w:r>
        <w:t xml:space="preserve"> the Migration Strategy</w:t>
      </w:r>
      <w:r w:rsidR="007156F3">
        <w:t>,</w:t>
      </w:r>
      <w:r>
        <w:t xml:space="preserve"> </w:t>
      </w:r>
      <w:r w:rsidR="004E30CD">
        <w:t>are expected to reduce</w:t>
      </w:r>
      <w:r>
        <w:t xml:space="preserve"> net overseas migration by 180,000 </w:t>
      </w:r>
      <w:r w:rsidR="000140AC">
        <w:t>over the 4</w:t>
      </w:r>
      <w:r w:rsidR="00377429">
        <w:t> year</w:t>
      </w:r>
      <w:r w:rsidR="000140AC">
        <w:t>s to</w:t>
      </w:r>
      <w:r>
        <w:t xml:space="preserve"> 2026</w:t>
      </w:r>
      <w:r w:rsidDel="00F62680">
        <w:t>–</w:t>
      </w:r>
      <w:r>
        <w:t>27</w:t>
      </w:r>
      <w:r w:rsidR="003F653C">
        <w:t xml:space="preserve"> through both fewer arrivals and more departures</w:t>
      </w:r>
      <w:r>
        <w:t>. These actions include closing COVID</w:t>
      </w:r>
      <w:r w:rsidR="0086544B">
        <w:t>–</w:t>
      </w:r>
      <w:r>
        <w:t xml:space="preserve">19 concessions such as the Pandemic Event visa, improving the integrity of the international education sector </w:t>
      </w:r>
      <w:r w:rsidR="00533F93">
        <w:t xml:space="preserve">by </w:t>
      </w:r>
      <w:r>
        <w:t xml:space="preserve">limiting onshore applications for student visas, and better targeting temporary skilled migration </w:t>
      </w:r>
      <w:r w:rsidR="008437E3">
        <w:t>by indexing the</w:t>
      </w:r>
      <w:r>
        <w:t xml:space="preserve"> Temporary Skilled Migration Income Threshold. </w:t>
      </w:r>
    </w:p>
    <w:p w14:paraId="5FA1F755" w14:textId="48913AEC" w:rsidR="00793C93" w:rsidRDefault="008B03DD" w:rsidP="008B03DD">
      <w:pPr>
        <w:spacing w:before="0" w:after="160" w:line="259" w:lineRule="auto"/>
      </w:pPr>
      <w:r>
        <w:br w:type="page"/>
      </w:r>
    </w:p>
    <w:p w14:paraId="48CEF0AD" w14:textId="77777777" w:rsidR="00AA7406" w:rsidRPr="00BC44D5" w:rsidRDefault="00AA7406" w:rsidP="00AA7406">
      <w:pPr>
        <w:pStyle w:val="TableMainHeading"/>
      </w:pPr>
      <w:bookmarkStart w:id="52" w:name="_Ref152852069"/>
      <w:bookmarkEnd w:id="51"/>
      <w:r w:rsidRPr="00BD2A0A">
        <w:lastRenderedPageBreak/>
        <w:t>Net overseas migration</w:t>
      </w:r>
      <w:r w:rsidRPr="002375F0">
        <w:t xml:space="preserve"> forecasts by visa group</w:t>
      </w:r>
      <w:bookmarkEnd w:id="52"/>
    </w:p>
    <w:tbl>
      <w:tblPr>
        <w:tblStyle w:val="CPOPTable"/>
        <w:tblW w:w="5000" w:type="pct"/>
        <w:tblLayout w:type="fixed"/>
        <w:tblLook w:val="04A0" w:firstRow="1" w:lastRow="0" w:firstColumn="1" w:lastColumn="0" w:noHBand="0" w:noVBand="1"/>
        <w:tblCaption w:val="Table"/>
      </w:tblPr>
      <w:tblGrid>
        <w:gridCol w:w="2835"/>
        <w:gridCol w:w="1039"/>
        <w:gridCol w:w="1040"/>
        <w:gridCol w:w="1039"/>
        <w:gridCol w:w="1040"/>
        <w:gridCol w:w="1039"/>
        <w:gridCol w:w="1040"/>
      </w:tblGrid>
      <w:tr w:rsidR="00AA7406" w14:paraId="53370E3F" w14:textId="77777777">
        <w:trPr>
          <w:cnfStyle w:val="100000000000" w:firstRow="1" w:lastRow="0" w:firstColumn="0" w:lastColumn="0" w:oddVBand="0" w:evenVBand="0" w:oddHBand="0" w:evenHBand="0" w:firstRowFirstColumn="0" w:firstRowLastColumn="0" w:lastRowFirstColumn="0" w:lastRowLastColumn="0"/>
        </w:trPr>
        <w:tc>
          <w:tcPr>
            <w:tcW w:w="2835" w:type="dxa"/>
            <w:tcBorders>
              <w:top w:val="single" w:sz="4" w:space="0" w:color="auto"/>
              <w:bottom w:val="single" w:sz="4" w:space="0" w:color="auto"/>
            </w:tcBorders>
          </w:tcPr>
          <w:p w14:paraId="45F3ECCC" w14:textId="77777777" w:rsidR="00AA7406" w:rsidRPr="00331025" w:rsidRDefault="00AA7406">
            <w:pPr>
              <w:pStyle w:val="TableSecondHeading"/>
            </w:pPr>
          </w:p>
        </w:tc>
        <w:tc>
          <w:tcPr>
            <w:tcW w:w="1039" w:type="dxa"/>
            <w:tcBorders>
              <w:top w:val="single" w:sz="4" w:space="0" w:color="auto"/>
              <w:bottom w:val="single" w:sz="4" w:space="0" w:color="auto"/>
            </w:tcBorders>
            <w:hideMark/>
          </w:tcPr>
          <w:p w14:paraId="39D020AE" w14:textId="77777777" w:rsidR="00AA7406" w:rsidRPr="007D395D" w:rsidRDefault="00AA7406">
            <w:pPr>
              <w:pStyle w:val="TableSecondHeading"/>
            </w:pPr>
            <w:r w:rsidRPr="007D395D">
              <w:t xml:space="preserve">2021–22 </w:t>
            </w:r>
          </w:p>
        </w:tc>
        <w:tc>
          <w:tcPr>
            <w:tcW w:w="1040" w:type="dxa"/>
            <w:tcBorders>
              <w:top w:val="single" w:sz="4" w:space="0" w:color="auto"/>
              <w:bottom w:val="single" w:sz="4" w:space="0" w:color="auto"/>
            </w:tcBorders>
            <w:shd w:val="clear" w:color="auto" w:fill="D2EDFF" w:themeFill="accent1" w:themeFillTint="1A"/>
            <w:hideMark/>
          </w:tcPr>
          <w:p w14:paraId="0082937F" w14:textId="77777777" w:rsidR="00AA7406" w:rsidRPr="007D395D" w:rsidRDefault="00AA7406">
            <w:pPr>
              <w:pStyle w:val="TableSecondHeading"/>
            </w:pPr>
            <w:r w:rsidRPr="007D395D">
              <w:t>2022–23</w:t>
            </w:r>
          </w:p>
        </w:tc>
        <w:tc>
          <w:tcPr>
            <w:tcW w:w="1039" w:type="dxa"/>
            <w:tcBorders>
              <w:top w:val="single" w:sz="4" w:space="0" w:color="auto"/>
              <w:bottom w:val="single" w:sz="4" w:space="0" w:color="auto"/>
            </w:tcBorders>
            <w:hideMark/>
          </w:tcPr>
          <w:p w14:paraId="2C613246" w14:textId="77777777" w:rsidR="00AA7406" w:rsidRPr="007D395D" w:rsidRDefault="00AA7406">
            <w:pPr>
              <w:pStyle w:val="TableSecondHeading"/>
            </w:pPr>
            <w:r w:rsidRPr="007D395D">
              <w:t>2023–24</w:t>
            </w:r>
          </w:p>
        </w:tc>
        <w:tc>
          <w:tcPr>
            <w:tcW w:w="1040" w:type="dxa"/>
            <w:tcBorders>
              <w:top w:val="single" w:sz="4" w:space="0" w:color="auto"/>
              <w:bottom w:val="single" w:sz="4" w:space="0" w:color="auto"/>
            </w:tcBorders>
            <w:hideMark/>
          </w:tcPr>
          <w:p w14:paraId="27D277AE" w14:textId="77777777" w:rsidR="00AA7406" w:rsidRPr="007D395D" w:rsidRDefault="00AA7406">
            <w:pPr>
              <w:pStyle w:val="TableSecondHeading"/>
            </w:pPr>
            <w:r w:rsidRPr="007D395D">
              <w:t>2024–25</w:t>
            </w:r>
          </w:p>
        </w:tc>
        <w:tc>
          <w:tcPr>
            <w:tcW w:w="1039" w:type="dxa"/>
            <w:tcBorders>
              <w:top w:val="single" w:sz="4" w:space="0" w:color="auto"/>
              <w:bottom w:val="single" w:sz="4" w:space="0" w:color="auto"/>
            </w:tcBorders>
            <w:hideMark/>
          </w:tcPr>
          <w:p w14:paraId="504621CB" w14:textId="77777777" w:rsidR="00AA7406" w:rsidRPr="007D395D" w:rsidRDefault="00AA7406">
            <w:pPr>
              <w:pStyle w:val="TableSecondHeading"/>
            </w:pPr>
            <w:r w:rsidRPr="007D395D">
              <w:t>2025–26</w:t>
            </w:r>
          </w:p>
        </w:tc>
        <w:tc>
          <w:tcPr>
            <w:tcW w:w="1040" w:type="dxa"/>
            <w:tcBorders>
              <w:top w:val="single" w:sz="4" w:space="0" w:color="auto"/>
              <w:bottom w:val="single" w:sz="4" w:space="0" w:color="auto"/>
            </w:tcBorders>
            <w:hideMark/>
          </w:tcPr>
          <w:p w14:paraId="2D8B4732" w14:textId="22513CBB" w:rsidR="00AA7406" w:rsidRPr="007D395D" w:rsidRDefault="00AA7406">
            <w:pPr>
              <w:pStyle w:val="TableSecondHeading"/>
            </w:pPr>
            <w:r w:rsidRPr="007D395D">
              <w:t>2026</w:t>
            </w:r>
            <w:r w:rsidR="00DD02E9" w:rsidRPr="007D395D">
              <w:t>–</w:t>
            </w:r>
            <w:r w:rsidRPr="007D395D">
              <w:t>27</w:t>
            </w:r>
          </w:p>
        </w:tc>
      </w:tr>
      <w:tr w:rsidR="00AA7406" w:rsidRPr="00D0293B" w14:paraId="29F74057" w14:textId="77777777">
        <w:trPr>
          <w:trHeight w:val="294"/>
        </w:trPr>
        <w:tc>
          <w:tcPr>
            <w:tcW w:w="2835" w:type="dxa"/>
            <w:tcBorders>
              <w:top w:val="single" w:sz="4" w:space="0" w:color="auto"/>
              <w:left w:val="nil"/>
              <w:bottom w:val="nil"/>
              <w:right w:val="nil"/>
            </w:tcBorders>
            <w:hideMark/>
          </w:tcPr>
          <w:p w14:paraId="022A72DD" w14:textId="77777777" w:rsidR="00AA7406" w:rsidRPr="00331025" w:rsidRDefault="00AA7406">
            <w:pPr>
              <w:pStyle w:val="TableColumnHeadingLeft"/>
              <w:keepNext/>
              <w:rPr>
                <w:b w:val="0"/>
              </w:rPr>
            </w:pPr>
            <w:r w:rsidRPr="00331025">
              <w:t xml:space="preserve">Australian citizens </w:t>
            </w:r>
          </w:p>
        </w:tc>
        <w:tc>
          <w:tcPr>
            <w:tcW w:w="1039" w:type="dxa"/>
            <w:tcBorders>
              <w:top w:val="single" w:sz="4" w:space="0" w:color="auto"/>
              <w:left w:val="nil"/>
              <w:bottom w:val="nil"/>
              <w:right w:val="nil"/>
            </w:tcBorders>
          </w:tcPr>
          <w:p w14:paraId="318531F2" w14:textId="77777777" w:rsidR="00AA7406" w:rsidRPr="00B13A1E" w:rsidRDefault="00AA7406">
            <w:pPr>
              <w:pStyle w:val="TableTextRight"/>
              <w:keepNext/>
              <w:rPr>
                <w:b/>
                <w:bCs/>
              </w:rPr>
            </w:pPr>
            <w:r>
              <w:noBreakHyphen/>
            </w:r>
            <w:r w:rsidRPr="00331025">
              <w:t>15,000</w:t>
            </w:r>
          </w:p>
        </w:tc>
        <w:tc>
          <w:tcPr>
            <w:tcW w:w="1040" w:type="dxa"/>
            <w:tcBorders>
              <w:top w:val="single" w:sz="4" w:space="0" w:color="auto"/>
              <w:left w:val="nil"/>
              <w:bottom w:val="nil"/>
              <w:right w:val="nil"/>
            </w:tcBorders>
            <w:shd w:val="clear" w:color="auto" w:fill="D2EDFF" w:themeFill="accent1" w:themeFillTint="1A"/>
          </w:tcPr>
          <w:p w14:paraId="5DD9EA74" w14:textId="77777777" w:rsidR="00AA7406" w:rsidRPr="00B13A1E" w:rsidRDefault="00AA7406">
            <w:pPr>
              <w:pStyle w:val="TableTextRight"/>
              <w:keepNext/>
              <w:rPr>
                <w:b/>
                <w:bCs/>
              </w:rPr>
            </w:pPr>
            <w:r>
              <w:noBreakHyphen/>
            </w:r>
            <w:r w:rsidRPr="00331025">
              <w:t>25,000</w:t>
            </w:r>
          </w:p>
        </w:tc>
        <w:tc>
          <w:tcPr>
            <w:tcW w:w="1039" w:type="dxa"/>
            <w:tcBorders>
              <w:top w:val="single" w:sz="4" w:space="0" w:color="auto"/>
              <w:left w:val="nil"/>
              <w:bottom w:val="nil"/>
              <w:right w:val="nil"/>
            </w:tcBorders>
          </w:tcPr>
          <w:p w14:paraId="0C04574F" w14:textId="77777777" w:rsidR="00AA7406" w:rsidRPr="00B13A1E" w:rsidRDefault="00AA7406">
            <w:pPr>
              <w:pStyle w:val="TableTextRight"/>
              <w:keepNext/>
              <w:rPr>
                <w:b/>
                <w:bCs/>
              </w:rPr>
            </w:pPr>
            <w:r>
              <w:noBreakHyphen/>
            </w:r>
            <w:r w:rsidRPr="00331025">
              <w:t>20,000</w:t>
            </w:r>
          </w:p>
        </w:tc>
        <w:tc>
          <w:tcPr>
            <w:tcW w:w="1040" w:type="dxa"/>
            <w:tcBorders>
              <w:top w:val="single" w:sz="4" w:space="0" w:color="auto"/>
              <w:left w:val="nil"/>
              <w:bottom w:val="nil"/>
              <w:right w:val="nil"/>
            </w:tcBorders>
          </w:tcPr>
          <w:p w14:paraId="1D962C25" w14:textId="77777777" w:rsidR="00AA7406" w:rsidRPr="00B13A1E" w:rsidRDefault="00AA7406">
            <w:pPr>
              <w:pStyle w:val="TableTextRight"/>
              <w:keepNext/>
              <w:rPr>
                <w:b/>
                <w:bCs/>
              </w:rPr>
            </w:pPr>
            <w:r>
              <w:noBreakHyphen/>
            </w:r>
            <w:r w:rsidRPr="00331025">
              <w:t>20,000</w:t>
            </w:r>
          </w:p>
        </w:tc>
        <w:tc>
          <w:tcPr>
            <w:tcW w:w="1039" w:type="dxa"/>
            <w:tcBorders>
              <w:top w:val="single" w:sz="4" w:space="0" w:color="auto"/>
              <w:left w:val="nil"/>
              <w:bottom w:val="nil"/>
              <w:right w:val="nil"/>
            </w:tcBorders>
          </w:tcPr>
          <w:p w14:paraId="252854FF" w14:textId="77777777" w:rsidR="00AA7406" w:rsidRPr="00B13A1E" w:rsidRDefault="00AA7406">
            <w:pPr>
              <w:pStyle w:val="TableTextRight"/>
              <w:keepNext/>
              <w:rPr>
                <w:b/>
                <w:bCs/>
              </w:rPr>
            </w:pPr>
            <w:r>
              <w:noBreakHyphen/>
            </w:r>
            <w:r w:rsidRPr="00331025">
              <w:t>15,000</w:t>
            </w:r>
          </w:p>
        </w:tc>
        <w:tc>
          <w:tcPr>
            <w:tcW w:w="1040" w:type="dxa"/>
            <w:tcBorders>
              <w:top w:val="single" w:sz="4" w:space="0" w:color="auto"/>
              <w:left w:val="nil"/>
              <w:bottom w:val="nil"/>
              <w:right w:val="nil"/>
            </w:tcBorders>
          </w:tcPr>
          <w:p w14:paraId="17516E0A" w14:textId="77777777" w:rsidR="00AA7406" w:rsidRPr="00CC35B1" w:rsidRDefault="00AA7406">
            <w:pPr>
              <w:pStyle w:val="TableTextRight"/>
              <w:keepNext/>
              <w:rPr>
                <w:b/>
                <w:bCs/>
              </w:rPr>
            </w:pPr>
            <w:r>
              <w:noBreakHyphen/>
            </w:r>
            <w:r w:rsidRPr="00331025">
              <w:t>15,000</w:t>
            </w:r>
          </w:p>
        </w:tc>
      </w:tr>
      <w:tr w:rsidR="00AA7406" w14:paraId="0FB1D491" w14:textId="77777777">
        <w:trPr>
          <w:trHeight w:val="224"/>
        </w:trPr>
        <w:tc>
          <w:tcPr>
            <w:tcW w:w="2835" w:type="dxa"/>
            <w:tcBorders>
              <w:top w:val="nil"/>
              <w:left w:val="nil"/>
              <w:bottom w:val="nil"/>
              <w:right w:val="nil"/>
            </w:tcBorders>
            <w:hideMark/>
          </w:tcPr>
          <w:p w14:paraId="0D6C00C2" w14:textId="77777777" w:rsidR="00AA7406" w:rsidRPr="00331025" w:rsidRDefault="00AA7406">
            <w:pPr>
              <w:pStyle w:val="TableColumnHeadingLeft"/>
              <w:keepNext/>
            </w:pPr>
            <w:r w:rsidRPr="00331025">
              <w:t>New Zealand citizens</w:t>
            </w:r>
          </w:p>
        </w:tc>
        <w:tc>
          <w:tcPr>
            <w:tcW w:w="1039" w:type="dxa"/>
            <w:tcBorders>
              <w:top w:val="nil"/>
              <w:left w:val="nil"/>
              <w:bottom w:val="nil"/>
              <w:right w:val="nil"/>
            </w:tcBorders>
          </w:tcPr>
          <w:p w14:paraId="0365B9F8" w14:textId="780EC1E7" w:rsidR="00AA7406" w:rsidRDefault="00F7272F">
            <w:pPr>
              <w:pStyle w:val="TableTextRight"/>
              <w:keepNext/>
            </w:pPr>
            <w:r>
              <w:t>9</w:t>
            </w:r>
            <w:r w:rsidR="00AA7406" w:rsidRPr="00331025">
              <w:t>,000</w:t>
            </w:r>
          </w:p>
        </w:tc>
        <w:tc>
          <w:tcPr>
            <w:tcW w:w="1040" w:type="dxa"/>
            <w:tcBorders>
              <w:top w:val="nil"/>
              <w:left w:val="nil"/>
              <w:bottom w:val="nil"/>
              <w:right w:val="nil"/>
            </w:tcBorders>
            <w:shd w:val="clear" w:color="auto" w:fill="D2EDFF" w:themeFill="accent1" w:themeFillTint="1A"/>
          </w:tcPr>
          <w:p w14:paraId="709C0801" w14:textId="77777777" w:rsidR="00AA7406" w:rsidRDefault="00AA7406">
            <w:pPr>
              <w:pStyle w:val="TableTextRight"/>
              <w:keepNext/>
            </w:pPr>
            <w:r w:rsidRPr="00331025">
              <w:t>25,000</w:t>
            </w:r>
          </w:p>
        </w:tc>
        <w:tc>
          <w:tcPr>
            <w:tcW w:w="1039" w:type="dxa"/>
            <w:tcBorders>
              <w:top w:val="nil"/>
              <w:left w:val="nil"/>
              <w:bottom w:val="nil"/>
              <w:right w:val="nil"/>
            </w:tcBorders>
          </w:tcPr>
          <w:p w14:paraId="2CEBEEF3" w14:textId="77777777" w:rsidR="00AA7406" w:rsidRDefault="00AA7406">
            <w:pPr>
              <w:pStyle w:val="TableTextRight"/>
              <w:keepNext/>
            </w:pPr>
            <w:r w:rsidRPr="00331025">
              <w:t>20,000</w:t>
            </w:r>
          </w:p>
        </w:tc>
        <w:tc>
          <w:tcPr>
            <w:tcW w:w="1040" w:type="dxa"/>
            <w:tcBorders>
              <w:top w:val="nil"/>
              <w:left w:val="nil"/>
              <w:bottom w:val="nil"/>
              <w:right w:val="nil"/>
            </w:tcBorders>
          </w:tcPr>
          <w:p w14:paraId="723A98FF" w14:textId="77777777" w:rsidR="00AA7406" w:rsidRDefault="00AA7406">
            <w:pPr>
              <w:pStyle w:val="TableTextRight"/>
              <w:keepNext/>
            </w:pPr>
            <w:r w:rsidRPr="00331025">
              <w:t>20,000</w:t>
            </w:r>
          </w:p>
        </w:tc>
        <w:tc>
          <w:tcPr>
            <w:tcW w:w="1039" w:type="dxa"/>
            <w:tcBorders>
              <w:top w:val="nil"/>
              <w:left w:val="nil"/>
              <w:bottom w:val="nil"/>
              <w:right w:val="nil"/>
            </w:tcBorders>
          </w:tcPr>
          <w:p w14:paraId="4D0C5BBB" w14:textId="77777777" w:rsidR="00AA7406" w:rsidRDefault="00AA7406">
            <w:pPr>
              <w:pStyle w:val="TableTextRight"/>
              <w:keepNext/>
            </w:pPr>
            <w:r w:rsidRPr="00331025">
              <w:t>15,000</w:t>
            </w:r>
          </w:p>
        </w:tc>
        <w:tc>
          <w:tcPr>
            <w:tcW w:w="1040" w:type="dxa"/>
            <w:tcBorders>
              <w:top w:val="nil"/>
              <w:left w:val="nil"/>
              <w:bottom w:val="nil"/>
              <w:right w:val="nil"/>
            </w:tcBorders>
          </w:tcPr>
          <w:p w14:paraId="6E2800C1" w14:textId="77777777" w:rsidR="00AA7406" w:rsidRDefault="00AA7406">
            <w:pPr>
              <w:pStyle w:val="TableTextRight"/>
              <w:keepNext/>
            </w:pPr>
            <w:r w:rsidRPr="00331025">
              <w:t>15,000</w:t>
            </w:r>
          </w:p>
        </w:tc>
      </w:tr>
      <w:tr w:rsidR="00AA7406" w14:paraId="4E94874D" w14:textId="77777777">
        <w:trPr>
          <w:trHeight w:val="286"/>
        </w:trPr>
        <w:tc>
          <w:tcPr>
            <w:tcW w:w="2835" w:type="dxa"/>
            <w:tcBorders>
              <w:top w:val="nil"/>
              <w:left w:val="nil"/>
              <w:bottom w:val="nil"/>
              <w:right w:val="nil"/>
            </w:tcBorders>
            <w:hideMark/>
          </w:tcPr>
          <w:p w14:paraId="34347A3F" w14:textId="77777777" w:rsidR="00AA7406" w:rsidRPr="00331025" w:rsidRDefault="00AA7406">
            <w:pPr>
              <w:pStyle w:val="TableColumnHeadingLeft"/>
              <w:keepNext/>
            </w:pPr>
            <w:r w:rsidRPr="00331025">
              <w:t>Permanent residents</w:t>
            </w:r>
          </w:p>
        </w:tc>
        <w:tc>
          <w:tcPr>
            <w:tcW w:w="1039" w:type="dxa"/>
            <w:tcBorders>
              <w:top w:val="nil"/>
              <w:left w:val="nil"/>
              <w:bottom w:val="nil"/>
              <w:right w:val="nil"/>
            </w:tcBorders>
          </w:tcPr>
          <w:p w14:paraId="5C4285DF" w14:textId="6931B4D3" w:rsidR="00AA7406" w:rsidRDefault="00AA7406">
            <w:pPr>
              <w:pStyle w:val="TableTextRight"/>
              <w:keepNext/>
            </w:pPr>
            <w:r w:rsidRPr="00331025">
              <w:t>4</w:t>
            </w:r>
            <w:r w:rsidR="00F7272F">
              <w:t>7</w:t>
            </w:r>
            <w:r w:rsidRPr="00331025">
              <w:t>,000</w:t>
            </w:r>
          </w:p>
        </w:tc>
        <w:tc>
          <w:tcPr>
            <w:tcW w:w="1040" w:type="dxa"/>
            <w:tcBorders>
              <w:top w:val="nil"/>
              <w:left w:val="nil"/>
              <w:bottom w:val="nil"/>
              <w:right w:val="nil"/>
            </w:tcBorders>
            <w:shd w:val="clear" w:color="auto" w:fill="D2EDFF" w:themeFill="accent1" w:themeFillTint="1A"/>
          </w:tcPr>
          <w:p w14:paraId="7F16A4AF" w14:textId="77777777" w:rsidR="00AA7406" w:rsidRDefault="00AA7406">
            <w:pPr>
              <w:pStyle w:val="TableTextRight"/>
              <w:keepNext/>
            </w:pPr>
            <w:r w:rsidRPr="00331025">
              <w:t>60,000</w:t>
            </w:r>
          </w:p>
        </w:tc>
        <w:tc>
          <w:tcPr>
            <w:tcW w:w="1039" w:type="dxa"/>
            <w:tcBorders>
              <w:top w:val="nil"/>
              <w:left w:val="nil"/>
              <w:bottom w:val="nil"/>
              <w:right w:val="nil"/>
            </w:tcBorders>
          </w:tcPr>
          <w:p w14:paraId="22B8C443" w14:textId="77777777" w:rsidR="00AA7406" w:rsidRDefault="00AA7406">
            <w:pPr>
              <w:pStyle w:val="TableTextRight"/>
              <w:keepNext/>
            </w:pPr>
            <w:r w:rsidRPr="00331025">
              <w:t>75,000</w:t>
            </w:r>
          </w:p>
        </w:tc>
        <w:tc>
          <w:tcPr>
            <w:tcW w:w="1040" w:type="dxa"/>
            <w:tcBorders>
              <w:top w:val="nil"/>
              <w:left w:val="nil"/>
              <w:bottom w:val="nil"/>
              <w:right w:val="nil"/>
            </w:tcBorders>
          </w:tcPr>
          <w:p w14:paraId="254E0D64" w14:textId="77777777" w:rsidR="00AA7406" w:rsidRDefault="00AA7406">
            <w:pPr>
              <w:pStyle w:val="TableTextRight"/>
              <w:keepNext/>
            </w:pPr>
            <w:r w:rsidRPr="00331025">
              <w:t>65,000</w:t>
            </w:r>
          </w:p>
        </w:tc>
        <w:tc>
          <w:tcPr>
            <w:tcW w:w="1039" w:type="dxa"/>
            <w:tcBorders>
              <w:top w:val="nil"/>
              <w:left w:val="nil"/>
              <w:bottom w:val="nil"/>
              <w:right w:val="nil"/>
            </w:tcBorders>
          </w:tcPr>
          <w:p w14:paraId="3E648102" w14:textId="77777777" w:rsidR="00AA7406" w:rsidRDefault="00AA7406">
            <w:pPr>
              <w:pStyle w:val="TableTextRight"/>
              <w:keepNext/>
            </w:pPr>
            <w:r w:rsidRPr="00331025">
              <w:t>65,000</w:t>
            </w:r>
          </w:p>
        </w:tc>
        <w:tc>
          <w:tcPr>
            <w:tcW w:w="1040" w:type="dxa"/>
            <w:tcBorders>
              <w:top w:val="nil"/>
              <w:left w:val="nil"/>
              <w:bottom w:val="nil"/>
              <w:right w:val="nil"/>
            </w:tcBorders>
          </w:tcPr>
          <w:p w14:paraId="30B5EEBD" w14:textId="77777777" w:rsidR="00AA7406" w:rsidRDefault="00AA7406">
            <w:pPr>
              <w:pStyle w:val="TableTextRight"/>
              <w:keepNext/>
            </w:pPr>
            <w:r w:rsidRPr="00331025">
              <w:t>65,000</w:t>
            </w:r>
          </w:p>
        </w:tc>
      </w:tr>
      <w:tr w:rsidR="00AA7406" w14:paraId="35671E51" w14:textId="77777777">
        <w:trPr>
          <w:trHeight w:val="324"/>
        </w:trPr>
        <w:tc>
          <w:tcPr>
            <w:tcW w:w="2835" w:type="dxa"/>
            <w:tcBorders>
              <w:top w:val="nil"/>
              <w:left w:val="nil"/>
              <w:bottom w:val="nil"/>
              <w:right w:val="nil"/>
            </w:tcBorders>
            <w:hideMark/>
          </w:tcPr>
          <w:p w14:paraId="3317691E" w14:textId="77777777" w:rsidR="00AA7406" w:rsidRPr="00331025" w:rsidRDefault="00AA7406">
            <w:pPr>
              <w:pStyle w:val="TableColumnHeadingLeft"/>
              <w:keepNext/>
              <w:rPr>
                <w:i/>
              </w:rPr>
            </w:pPr>
            <w:r>
              <w:t>International s</w:t>
            </w:r>
            <w:r w:rsidRPr="00331025">
              <w:t>tudents</w:t>
            </w:r>
          </w:p>
        </w:tc>
        <w:tc>
          <w:tcPr>
            <w:tcW w:w="1039" w:type="dxa"/>
            <w:tcBorders>
              <w:top w:val="nil"/>
              <w:left w:val="nil"/>
              <w:bottom w:val="nil"/>
              <w:right w:val="nil"/>
            </w:tcBorders>
          </w:tcPr>
          <w:p w14:paraId="24287D11" w14:textId="77777777" w:rsidR="00AA7406" w:rsidRDefault="00AA7406">
            <w:pPr>
              <w:pStyle w:val="TableTextRight"/>
              <w:keepNext/>
              <w:rPr>
                <w:i/>
                <w:iCs/>
              </w:rPr>
            </w:pPr>
            <w:r w:rsidRPr="00331025">
              <w:t>115,000</w:t>
            </w:r>
          </w:p>
        </w:tc>
        <w:tc>
          <w:tcPr>
            <w:tcW w:w="1040" w:type="dxa"/>
            <w:tcBorders>
              <w:top w:val="nil"/>
              <w:left w:val="nil"/>
              <w:bottom w:val="nil"/>
              <w:right w:val="nil"/>
            </w:tcBorders>
            <w:shd w:val="clear" w:color="auto" w:fill="D2EDFF" w:themeFill="accent1" w:themeFillTint="1A"/>
          </w:tcPr>
          <w:p w14:paraId="4052AE7F" w14:textId="77777777" w:rsidR="00AA7406" w:rsidRDefault="00AA7406">
            <w:pPr>
              <w:pStyle w:val="TableTextRight"/>
              <w:keepNext/>
              <w:rPr>
                <w:i/>
                <w:iCs/>
              </w:rPr>
            </w:pPr>
            <w:r w:rsidRPr="00331025">
              <w:t>270,000</w:t>
            </w:r>
          </w:p>
        </w:tc>
        <w:tc>
          <w:tcPr>
            <w:tcW w:w="1039" w:type="dxa"/>
            <w:tcBorders>
              <w:top w:val="nil"/>
              <w:left w:val="nil"/>
              <w:bottom w:val="nil"/>
              <w:right w:val="nil"/>
            </w:tcBorders>
          </w:tcPr>
          <w:p w14:paraId="3EFD1641" w14:textId="77777777" w:rsidR="00AA7406" w:rsidRDefault="00AA7406">
            <w:pPr>
              <w:pStyle w:val="TableTextRight"/>
              <w:keepNext/>
              <w:rPr>
                <w:i/>
                <w:iCs/>
              </w:rPr>
            </w:pPr>
            <w:r w:rsidRPr="00331025">
              <w:t>190,000</w:t>
            </w:r>
          </w:p>
        </w:tc>
        <w:tc>
          <w:tcPr>
            <w:tcW w:w="1040" w:type="dxa"/>
            <w:tcBorders>
              <w:top w:val="nil"/>
              <w:left w:val="nil"/>
              <w:bottom w:val="nil"/>
              <w:right w:val="nil"/>
            </w:tcBorders>
          </w:tcPr>
          <w:p w14:paraId="0E4B8678" w14:textId="77777777" w:rsidR="00AA7406" w:rsidRDefault="00AA7406">
            <w:pPr>
              <w:pStyle w:val="TableTextRight"/>
              <w:keepNext/>
              <w:rPr>
                <w:i/>
                <w:iCs/>
              </w:rPr>
            </w:pPr>
            <w:r w:rsidRPr="00331025">
              <w:t>130,000</w:t>
            </w:r>
          </w:p>
        </w:tc>
        <w:tc>
          <w:tcPr>
            <w:tcW w:w="1039" w:type="dxa"/>
            <w:tcBorders>
              <w:top w:val="nil"/>
              <w:left w:val="nil"/>
              <w:bottom w:val="nil"/>
              <w:right w:val="nil"/>
            </w:tcBorders>
          </w:tcPr>
          <w:p w14:paraId="02726EAF" w14:textId="77777777" w:rsidR="00AA7406" w:rsidRDefault="00AA7406">
            <w:pPr>
              <w:pStyle w:val="TableTextRight"/>
              <w:keepNext/>
              <w:rPr>
                <w:i/>
                <w:iCs/>
              </w:rPr>
            </w:pPr>
            <w:r w:rsidRPr="00331025">
              <w:t>120,000</w:t>
            </w:r>
          </w:p>
        </w:tc>
        <w:tc>
          <w:tcPr>
            <w:tcW w:w="1040" w:type="dxa"/>
            <w:tcBorders>
              <w:top w:val="nil"/>
              <w:left w:val="nil"/>
              <w:bottom w:val="nil"/>
              <w:right w:val="nil"/>
            </w:tcBorders>
          </w:tcPr>
          <w:p w14:paraId="7B0CCED1" w14:textId="77777777" w:rsidR="00AA7406" w:rsidRDefault="00AA7406">
            <w:pPr>
              <w:pStyle w:val="TableTextRight"/>
              <w:keepNext/>
              <w:rPr>
                <w:i/>
                <w:iCs/>
              </w:rPr>
            </w:pPr>
            <w:r w:rsidRPr="00331025">
              <w:t>100,000</w:t>
            </w:r>
          </w:p>
        </w:tc>
      </w:tr>
      <w:tr w:rsidR="00AA7406" w14:paraId="45D8B805" w14:textId="77777777">
        <w:trPr>
          <w:trHeight w:val="324"/>
        </w:trPr>
        <w:tc>
          <w:tcPr>
            <w:tcW w:w="2835" w:type="dxa"/>
            <w:tcBorders>
              <w:top w:val="nil"/>
              <w:left w:val="nil"/>
              <w:bottom w:val="nil"/>
              <w:right w:val="nil"/>
            </w:tcBorders>
          </w:tcPr>
          <w:p w14:paraId="5002D3AE" w14:textId="77777777" w:rsidR="00AA7406" w:rsidRPr="00331025" w:rsidRDefault="00AA7406">
            <w:pPr>
              <w:pStyle w:val="TableColumnHeadingLeft"/>
              <w:keepNext/>
            </w:pPr>
            <w:r w:rsidRPr="00331025">
              <w:t>All other temporary migrants</w:t>
            </w:r>
          </w:p>
        </w:tc>
        <w:tc>
          <w:tcPr>
            <w:tcW w:w="1039" w:type="dxa"/>
            <w:tcBorders>
              <w:top w:val="nil"/>
              <w:left w:val="nil"/>
              <w:bottom w:val="nil"/>
              <w:right w:val="nil"/>
            </w:tcBorders>
          </w:tcPr>
          <w:p w14:paraId="177F9447" w14:textId="32F2F0DF" w:rsidR="00AA7406" w:rsidRPr="00331025" w:rsidRDefault="00AA7406">
            <w:pPr>
              <w:pStyle w:val="TableTextRight"/>
              <w:keepNext/>
            </w:pPr>
            <w:r w:rsidRPr="00331025">
              <w:t>4</w:t>
            </w:r>
            <w:r w:rsidR="00F7272F">
              <w:t>7</w:t>
            </w:r>
            <w:r w:rsidRPr="00331025">
              <w:t>,000</w:t>
            </w:r>
          </w:p>
        </w:tc>
        <w:tc>
          <w:tcPr>
            <w:tcW w:w="1040" w:type="dxa"/>
            <w:tcBorders>
              <w:top w:val="nil"/>
              <w:left w:val="nil"/>
              <w:bottom w:val="nil"/>
              <w:right w:val="nil"/>
            </w:tcBorders>
            <w:shd w:val="clear" w:color="auto" w:fill="D2EDFF" w:themeFill="accent1" w:themeFillTint="1A"/>
          </w:tcPr>
          <w:p w14:paraId="14682802" w14:textId="77777777" w:rsidR="00AA7406" w:rsidRPr="00331025" w:rsidRDefault="00AA7406">
            <w:pPr>
              <w:pStyle w:val="TableTextRight"/>
              <w:keepNext/>
            </w:pPr>
            <w:r w:rsidRPr="00331025">
              <w:t>180,000</w:t>
            </w:r>
          </w:p>
        </w:tc>
        <w:tc>
          <w:tcPr>
            <w:tcW w:w="1039" w:type="dxa"/>
            <w:tcBorders>
              <w:top w:val="nil"/>
              <w:left w:val="nil"/>
              <w:bottom w:val="nil"/>
              <w:right w:val="nil"/>
            </w:tcBorders>
          </w:tcPr>
          <w:p w14:paraId="7AD3A1C0" w14:textId="77777777" w:rsidR="00AA7406" w:rsidRPr="00331025" w:rsidRDefault="00AA7406">
            <w:pPr>
              <w:pStyle w:val="TableTextRight"/>
              <w:keepNext/>
            </w:pPr>
            <w:r w:rsidRPr="00331025">
              <w:t>115,000</w:t>
            </w:r>
          </w:p>
        </w:tc>
        <w:tc>
          <w:tcPr>
            <w:tcW w:w="1040" w:type="dxa"/>
            <w:tcBorders>
              <w:top w:val="nil"/>
              <w:left w:val="nil"/>
              <w:bottom w:val="nil"/>
              <w:right w:val="nil"/>
            </w:tcBorders>
          </w:tcPr>
          <w:p w14:paraId="23F13877" w14:textId="77777777" w:rsidR="00AA7406" w:rsidRPr="00331025" w:rsidRDefault="00AA7406">
            <w:pPr>
              <w:pStyle w:val="TableTextRight"/>
              <w:keepNext/>
            </w:pPr>
            <w:r w:rsidRPr="00331025">
              <w:t>50,000</w:t>
            </w:r>
          </w:p>
        </w:tc>
        <w:tc>
          <w:tcPr>
            <w:tcW w:w="1039" w:type="dxa"/>
            <w:tcBorders>
              <w:top w:val="nil"/>
              <w:left w:val="nil"/>
              <w:bottom w:val="nil"/>
              <w:right w:val="nil"/>
            </w:tcBorders>
          </w:tcPr>
          <w:p w14:paraId="780FEE7D" w14:textId="77777777" w:rsidR="00AA7406" w:rsidRPr="00331025" w:rsidRDefault="00AA7406">
            <w:pPr>
              <w:pStyle w:val="TableTextRight"/>
              <w:keepNext/>
            </w:pPr>
            <w:r w:rsidRPr="00331025">
              <w:t>70,000</w:t>
            </w:r>
          </w:p>
        </w:tc>
        <w:tc>
          <w:tcPr>
            <w:tcW w:w="1040" w:type="dxa"/>
            <w:tcBorders>
              <w:top w:val="nil"/>
              <w:left w:val="nil"/>
              <w:bottom w:val="nil"/>
              <w:right w:val="nil"/>
            </w:tcBorders>
          </w:tcPr>
          <w:p w14:paraId="163D39A2" w14:textId="77777777" w:rsidR="00AA7406" w:rsidRPr="00331025" w:rsidRDefault="00AA7406">
            <w:pPr>
              <w:pStyle w:val="TableTextRight"/>
              <w:keepNext/>
            </w:pPr>
            <w:r w:rsidRPr="00331025">
              <w:t>65,000</w:t>
            </w:r>
          </w:p>
        </w:tc>
      </w:tr>
      <w:tr w:rsidR="00AA7406" w14:paraId="5CDE18BE" w14:textId="77777777">
        <w:trPr>
          <w:trHeight w:val="268"/>
        </w:trPr>
        <w:tc>
          <w:tcPr>
            <w:tcW w:w="2835" w:type="dxa"/>
            <w:tcBorders>
              <w:top w:val="nil"/>
              <w:left w:val="nil"/>
              <w:bottom w:val="single" w:sz="4" w:space="0" w:color="auto"/>
              <w:right w:val="nil"/>
            </w:tcBorders>
          </w:tcPr>
          <w:p w14:paraId="26186C30" w14:textId="77777777" w:rsidR="00AA7406" w:rsidRPr="00331025" w:rsidRDefault="00AA7406">
            <w:pPr>
              <w:pStyle w:val="TableColumnHeadingLeft"/>
              <w:keepNext/>
              <w:rPr>
                <w:b w:val="0"/>
              </w:rPr>
            </w:pPr>
            <w:r w:rsidRPr="00331025">
              <w:t>Total</w:t>
            </w:r>
          </w:p>
        </w:tc>
        <w:tc>
          <w:tcPr>
            <w:tcW w:w="1039" w:type="dxa"/>
            <w:tcBorders>
              <w:top w:val="nil"/>
              <w:left w:val="nil"/>
              <w:bottom w:val="single" w:sz="4" w:space="0" w:color="auto"/>
              <w:right w:val="nil"/>
            </w:tcBorders>
          </w:tcPr>
          <w:p w14:paraId="11FB3526" w14:textId="2D0F7C45" w:rsidR="00AA7406" w:rsidRPr="00331025" w:rsidRDefault="00AA7406">
            <w:pPr>
              <w:pStyle w:val="TableTextRight"/>
              <w:keepNext/>
              <w:rPr>
                <w:b/>
              </w:rPr>
            </w:pPr>
            <w:r w:rsidRPr="00331025">
              <w:rPr>
                <w:b/>
              </w:rPr>
              <w:t>20</w:t>
            </w:r>
            <w:r w:rsidR="00F7272F">
              <w:rPr>
                <w:b/>
              </w:rPr>
              <w:t>2</w:t>
            </w:r>
            <w:r w:rsidRPr="00331025">
              <w:rPr>
                <w:b/>
              </w:rPr>
              <w:t>,000</w:t>
            </w:r>
          </w:p>
        </w:tc>
        <w:tc>
          <w:tcPr>
            <w:tcW w:w="1040" w:type="dxa"/>
            <w:tcBorders>
              <w:top w:val="nil"/>
              <w:left w:val="nil"/>
              <w:bottom w:val="single" w:sz="4" w:space="0" w:color="auto"/>
              <w:right w:val="nil"/>
            </w:tcBorders>
            <w:shd w:val="clear" w:color="auto" w:fill="D2EDFF" w:themeFill="accent1" w:themeFillTint="1A"/>
          </w:tcPr>
          <w:p w14:paraId="6D329FC2" w14:textId="77777777" w:rsidR="00AA7406" w:rsidRPr="00331025" w:rsidRDefault="00AA7406">
            <w:pPr>
              <w:pStyle w:val="TableTextRight"/>
              <w:keepNext/>
              <w:rPr>
                <w:b/>
              </w:rPr>
            </w:pPr>
            <w:r w:rsidRPr="00331025">
              <w:rPr>
                <w:b/>
              </w:rPr>
              <w:t>510,000</w:t>
            </w:r>
          </w:p>
        </w:tc>
        <w:tc>
          <w:tcPr>
            <w:tcW w:w="1039" w:type="dxa"/>
            <w:tcBorders>
              <w:top w:val="nil"/>
              <w:left w:val="nil"/>
              <w:bottom w:val="single" w:sz="4" w:space="0" w:color="auto"/>
              <w:right w:val="nil"/>
            </w:tcBorders>
          </w:tcPr>
          <w:p w14:paraId="4A27D514" w14:textId="77777777" w:rsidR="00AA7406" w:rsidRPr="00331025" w:rsidRDefault="00AA7406">
            <w:pPr>
              <w:pStyle w:val="TableTextRight"/>
              <w:keepNext/>
              <w:rPr>
                <w:b/>
              </w:rPr>
            </w:pPr>
            <w:r w:rsidRPr="00331025">
              <w:rPr>
                <w:b/>
              </w:rPr>
              <w:t>375,000</w:t>
            </w:r>
          </w:p>
        </w:tc>
        <w:tc>
          <w:tcPr>
            <w:tcW w:w="1040" w:type="dxa"/>
            <w:tcBorders>
              <w:top w:val="nil"/>
              <w:left w:val="nil"/>
              <w:bottom w:val="single" w:sz="4" w:space="0" w:color="auto"/>
              <w:right w:val="nil"/>
            </w:tcBorders>
          </w:tcPr>
          <w:p w14:paraId="752646FD" w14:textId="77777777" w:rsidR="00AA7406" w:rsidRPr="00331025" w:rsidRDefault="00AA7406">
            <w:pPr>
              <w:pStyle w:val="TableTextRight"/>
              <w:keepNext/>
              <w:rPr>
                <w:b/>
              </w:rPr>
            </w:pPr>
            <w:r w:rsidRPr="00331025">
              <w:rPr>
                <w:b/>
              </w:rPr>
              <w:t>250,000</w:t>
            </w:r>
          </w:p>
        </w:tc>
        <w:tc>
          <w:tcPr>
            <w:tcW w:w="1039" w:type="dxa"/>
            <w:tcBorders>
              <w:top w:val="nil"/>
              <w:left w:val="nil"/>
              <w:bottom w:val="single" w:sz="4" w:space="0" w:color="auto"/>
              <w:right w:val="nil"/>
            </w:tcBorders>
          </w:tcPr>
          <w:p w14:paraId="587E593C" w14:textId="77777777" w:rsidR="00AA7406" w:rsidRPr="00331025" w:rsidRDefault="00AA7406">
            <w:pPr>
              <w:pStyle w:val="TableTextRight"/>
              <w:keepNext/>
              <w:rPr>
                <w:b/>
              </w:rPr>
            </w:pPr>
            <w:r w:rsidRPr="00331025">
              <w:rPr>
                <w:b/>
              </w:rPr>
              <w:t>255,000</w:t>
            </w:r>
          </w:p>
        </w:tc>
        <w:tc>
          <w:tcPr>
            <w:tcW w:w="1040" w:type="dxa"/>
            <w:tcBorders>
              <w:top w:val="nil"/>
              <w:left w:val="nil"/>
              <w:bottom w:val="single" w:sz="4" w:space="0" w:color="auto"/>
              <w:right w:val="nil"/>
            </w:tcBorders>
          </w:tcPr>
          <w:p w14:paraId="0232406C" w14:textId="77777777" w:rsidR="00AA7406" w:rsidRPr="00331025" w:rsidRDefault="00AA7406">
            <w:pPr>
              <w:pStyle w:val="TableTextRight"/>
              <w:keepNext/>
              <w:rPr>
                <w:b/>
              </w:rPr>
            </w:pPr>
            <w:r w:rsidRPr="00331025">
              <w:rPr>
                <w:b/>
              </w:rPr>
              <w:t>235,000</w:t>
            </w:r>
          </w:p>
        </w:tc>
      </w:tr>
    </w:tbl>
    <w:p w14:paraId="762870A7" w14:textId="7AFC47BB" w:rsidR="006F48FB" w:rsidRDefault="00AA7406" w:rsidP="00E32BE7">
      <w:pPr>
        <w:pStyle w:val="Source"/>
        <w:rPr>
          <w:rStyle w:val="Hyperlink"/>
        </w:rPr>
      </w:pPr>
      <w:r w:rsidRPr="00562D4D">
        <w:t xml:space="preserve">Source: </w:t>
      </w:r>
      <w:r>
        <w:tab/>
      </w:r>
      <w:r w:rsidRPr="00562D4D">
        <w:t>ABS</w:t>
      </w:r>
      <w:r w:rsidRPr="004218BD">
        <w:t xml:space="preserve">, </w:t>
      </w:r>
      <w:r w:rsidR="008E4C70">
        <w:t>customised data</w:t>
      </w:r>
      <w:r w:rsidR="00A648B8">
        <w:t xml:space="preserve"> consultancy</w:t>
      </w:r>
      <w:r w:rsidR="00A80BA9">
        <w:t xml:space="preserve"> and</w:t>
      </w:r>
      <w:r w:rsidRPr="004218BD">
        <w:t xml:space="preserve"> Centre for Population projections</w:t>
      </w:r>
      <w:r w:rsidR="00CE0ABB">
        <w:t>.</w:t>
      </w:r>
    </w:p>
    <w:p w14:paraId="22355803" w14:textId="65053E6E" w:rsidR="006F48FB" w:rsidRPr="006F48FB" w:rsidRDefault="006F48FB" w:rsidP="006F48FB">
      <w:pPr>
        <w:pStyle w:val="SingleParagraph"/>
      </w:pPr>
    </w:p>
    <w:p w14:paraId="4470D285" w14:textId="4AF51F29" w:rsidR="00165AAA" w:rsidRPr="002375F0" w:rsidRDefault="00165AAA" w:rsidP="00165AAA">
      <w:pPr>
        <w:pStyle w:val="ChartMainHeading"/>
      </w:pPr>
      <w:bookmarkStart w:id="53" w:name="_Ref152852103"/>
      <w:r w:rsidRPr="00666E22">
        <w:t>Net overseas migration forecasts by visa group</w:t>
      </w:r>
      <w:bookmarkEnd w:id="53"/>
    </w:p>
    <w:p w14:paraId="3748FF80" w14:textId="3C970352" w:rsidR="00165AAA" w:rsidRPr="00FC3B5A" w:rsidRDefault="00165AAA" w:rsidP="006F48FB">
      <w:pPr>
        <w:pStyle w:val="ChartGraphic"/>
      </w:pPr>
      <w:r w:rsidRPr="00110C42">
        <w:rPr>
          <w:noProof/>
        </w:rPr>
        <w:t xml:space="preserve"> </w:t>
      </w:r>
      <w:r w:rsidR="006C2CD7" w:rsidRPr="006C2CD7">
        <w:rPr>
          <w:noProof/>
        </w:rPr>
        <w:drawing>
          <wp:inline distT="0" distB="0" distL="0" distR="0" wp14:anchorId="77BFF622" wp14:editId="010999A5">
            <wp:extent cx="5581650" cy="2886075"/>
            <wp:effectExtent l="0" t="0" r="0" b="0"/>
            <wp:docPr id="32" name="Picture 32" descr="This chart shows annual net overseas migration by visa type, by financial year. An outflow of temporary migrants during the pandemic caused a drop in net overseas migration to record lows. Net overseas migration is forecast to quickly rise to around 510,000 in 2022-23, drop to around 250,000 in 2024-25 and continuing thereafter. The largest contributors to net overseas migration over the forecasted period are international students, followed by all other temporary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chart shows annual net overseas migration by visa type, by financial year. An outflow of temporary migrants during the pandemic caused a drop in net overseas migration to record lows. Net overseas migration is forecast to quickly rise to around 510,000 in 2022-23, drop to around 250,000 in 2024-25 and continuing thereafter. The largest contributors to net overseas migration over the forecasted period are international students, followed by all other temporary visa hold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F33C996" w14:textId="38A8C400" w:rsidR="00CA32BC" w:rsidRDefault="00165AAA" w:rsidP="00EE2632">
      <w:pPr>
        <w:pStyle w:val="Source"/>
      </w:pPr>
      <w:r>
        <w:t xml:space="preserve">Source: </w:t>
      </w:r>
      <w:r>
        <w:tab/>
        <w:t>A</w:t>
      </w:r>
      <w:r w:rsidR="008237A9">
        <w:t>BS</w:t>
      </w:r>
      <w:r>
        <w:t>,</w:t>
      </w:r>
      <w:r w:rsidR="008237A9">
        <w:t xml:space="preserve"> customised data consultancy</w:t>
      </w:r>
      <w:r w:rsidR="00A80BA9">
        <w:t xml:space="preserve"> and</w:t>
      </w:r>
      <w:r>
        <w:t xml:space="preserve"> Centre for Population projections.</w:t>
      </w:r>
    </w:p>
    <w:p w14:paraId="4ECB8B86" w14:textId="386973F0" w:rsidR="00330EDC" w:rsidRPr="00EF084E" w:rsidRDefault="00F26CD2" w:rsidP="00330EDC">
      <w:pPr>
        <w:rPr>
          <w:rFonts w:ascii="Calibri" w:eastAsia="SimSun" w:hAnsi="Calibri" w:cs="Times New Roman"/>
        </w:rPr>
      </w:pPr>
      <w:bookmarkStart w:id="54" w:name="_Hlk153267519"/>
      <w:r w:rsidRPr="00EF084E">
        <w:rPr>
          <w:rFonts w:ascii="Calibri" w:eastAsia="SimSun" w:hAnsi="Calibri" w:cs="Times New Roman"/>
        </w:rPr>
        <w:t xml:space="preserve">The migration rebound following the pandemic has not been unique to Australia. </w:t>
      </w:r>
      <w:r w:rsidR="009F7C0C">
        <w:rPr>
          <w:rFonts w:ascii="Calibri" w:eastAsia="SimSun" w:hAnsi="Calibri" w:cs="Times New Roman"/>
        </w:rPr>
        <w:t xml:space="preserve">For </w:t>
      </w:r>
      <w:r w:rsidRPr="00EF084E">
        <w:rPr>
          <w:rFonts w:ascii="Calibri" w:eastAsia="SimSun" w:hAnsi="Calibri" w:cs="Times New Roman"/>
        </w:rPr>
        <w:t>the United Kingdom and Canada</w:t>
      </w:r>
      <w:r w:rsidR="009F7C0C">
        <w:rPr>
          <w:rFonts w:ascii="Calibri" w:eastAsia="SimSun" w:hAnsi="Calibri" w:cs="Times New Roman"/>
        </w:rPr>
        <w:t>, n</w:t>
      </w:r>
      <w:r w:rsidR="009F7C0C" w:rsidRPr="00EF084E">
        <w:rPr>
          <w:rFonts w:ascii="Calibri" w:eastAsia="SimSun" w:hAnsi="Calibri" w:cs="Times New Roman"/>
        </w:rPr>
        <w:t xml:space="preserve">et international migration </w:t>
      </w:r>
      <w:r w:rsidR="007D14CE">
        <w:rPr>
          <w:rFonts w:ascii="Calibri" w:eastAsia="SimSun" w:hAnsi="Calibri" w:cs="Times New Roman"/>
        </w:rPr>
        <w:t>is</w:t>
      </w:r>
      <w:r w:rsidR="00BC3626" w:rsidDel="00E35381">
        <w:rPr>
          <w:rFonts w:ascii="Calibri" w:eastAsia="SimSun" w:hAnsi="Calibri" w:cs="Times New Roman"/>
        </w:rPr>
        <w:t xml:space="preserve"> </w:t>
      </w:r>
      <w:r w:rsidRPr="00EF084E" w:rsidDel="00E35381">
        <w:rPr>
          <w:rFonts w:ascii="Calibri" w:eastAsia="SimSun" w:hAnsi="Calibri" w:cs="Times New Roman"/>
        </w:rPr>
        <w:t>more than double</w:t>
      </w:r>
      <w:r w:rsidRPr="00EF084E">
        <w:rPr>
          <w:rFonts w:ascii="Calibri" w:eastAsia="SimSun" w:hAnsi="Calibri" w:cs="Times New Roman"/>
        </w:rPr>
        <w:t xml:space="preserve"> </w:t>
      </w:r>
      <w:r w:rsidR="00BE7D18" w:rsidRPr="00EF084E">
        <w:rPr>
          <w:rFonts w:ascii="Calibri" w:eastAsia="SimSun" w:hAnsi="Calibri" w:cs="Times New Roman"/>
        </w:rPr>
        <w:t xml:space="preserve">2019 </w:t>
      </w:r>
      <w:r w:rsidRPr="00EF084E">
        <w:rPr>
          <w:rFonts w:ascii="Calibri" w:eastAsia="SimSun" w:hAnsi="Calibri" w:cs="Times New Roman"/>
        </w:rPr>
        <w:t>levels (</w:t>
      </w:r>
      <w:r w:rsidRPr="00EF084E">
        <w:rPr>
          <w:rFonts w:ascii="Calibri" w:eastAsia="SimSun" w:hAnsi="Calibri" w:cs="Times New Roman"/>
        </w:rPr>
        <w:fldChar w:fldCharType="begin"/>
      </w:r>
      <w:r w:rsidRPr="00EF084E">
        <w:rPr>
          <w:rFonts w:ascii="Calibri" w:eastAsia="SimSun" w:hAnsi="Calibri" w:cs="Times New Roman"/>
        </w:rPr>
        <w:instrText xml:space="preserve"> REF _Ref152623145 \r \h </w:instrText>
      </w:r>
      <w:r w:rsidRPr="00EF084E">
        <w:rPr>
          <w:rFonts w:ascii="Calibri" w:eastAsia="SimSun" w:hAnsi="Calibri" w:cs="Times New Roman"/>
        </w:rPr>
      </w:r>
      <w:r w:rsidRPr="00EF084E">
        <w:rPr>
          <w:rFonts w:ascii="Calibri" w:eastAsia="SimSun" w:hAnsi="Calibri" w:cs="Times New Roman"/>
        </w:rPr>
        <w:fldChar w:fldCharType="separate"/>
      </w:r>
      <w:r w:rsidR="00CE6FEA">
        <w:rPr>
          <w:rFonts w:ascii="Calibri" w:eastAsia="SimSun" w:hAnsi="Calibri" w:cs="Times New Roman"/>
        </w:rPr>
        <w:t>Chart 4</w:t>
      </w:r>
      <w:r w:rsidRPr="00EF084E">
        <w:rPr>
          <w:rFonts w:ascii="Calibri" w:eastAsia="SimSun" w:hAnsi="Calibri" w:cs="Times New Roman"/>
        </w:rPr>
        <w:fldChar w:fldCharType="end"/>
      </w:r>
      <w:r w:rsidRPr="00EF084E">
        <w:rPr>
          <w:rFonts w:ascii="Calibri" w:eastAsia="SimSun" w:hAnsi="Calibri" w:cs="Times New Roman"/>
        </w:rPr>
        <w:t>). Like Australia, these increases were primarily driven by non</w:t>
      </w:r>
      <w:r w:rsidRPr="00EF084E">
        <w:rPr>
          <w:rFonts w:ascii="Calibri" w:eastAsia="SimSun" w:hAnsi="Calibri" w:cs="Times New Roman"/>
        </w:rPr>
        <w:noBreakHyphen/>
        <w:t>permanent residents</w:t>
      </w:r>
      <w:r w:rsidR="00B06760">
        <w:rPr>
          <w:rFonts w:ascii="Calibri" w:eastAsia="SimSun" w:hAnsi="Calibri" w:cs="Times New Roman"/>
        </w:rPr>
        <w:t>,</w:t>
      </w:r>
      <w:r w:rsidRPr="00EF084E">
        <w:rPr>
          <w:rFonts w:ascii="Calibri" w:eastAsia="SimSun" w:hAnsi="Calibri" w:cs="Times New Roman"/>
        </w:rPr>
        <w:t xml:space="preserve"> especially international students and temporary workers. Unlike Australia, the United Kingdom has also experienced a significant increase in</w:t>
      </w:r>
      <w:r w:rsidR="00330EDC">
        <w:rPr>
          <w:rFonts w:ascii="Calibri" w:eastAsia="SimSun" w:hAnsi="Calibri" w:cs="Times New Roman"/>
        </w:rPr>
        <w:t xml:space="preserve"> </w:t>
      </w:r>
      <w:r w:rsidR="00330EDC" w:rsidRPr="00EF084E">
        <w:rPr>
          <w:rFonts w:ascii="Calibri" w:eastAsia="SimSun" w:hAnsi="Calibri" w:cs="Times New Roman"/>
        </w:rPr>
        <w:t xml:space="preserve">humanitarian migrants, especially from Ukraine, while policy changes in Canada have </w:t>
      </w:r>
      <w:r w:rsidR="00F84455">
        <w:rPr>
          <w:rFonts w:ascii="Calibri" w:eastAsia="SimSun" w:hAnsi="Calibri" w:cs="Times New Roman"/>
        </w:rPr>
        <w:t xml:space="preserve">contributed </w:t>
      </w:r>
      <w:r w:rsidR="00330EDC" w:rsidRPr="00EF084E">
        <w:rPr>
          <w:rFonts w:ascii="Calibri" w:eastAsia="SimSun" w:hAnsi="Calibri" w:cs="Times New Roman"/>
        </w:rPr>
        <w:t xml:space="preserve">to a significant increase in permanent visa holders. </w:t>
      </w:r>
    </w:p>
    <w:p w14:paraId="71B4705D" w14:textId="11C1A5CA" w:rsidR="00330EDC" w:rsidRPr="00B844CC" w:rsidRDefault="00330EDC" w:rsidP="00EE2632">
      <w:pPr>
        <w:pStyle w:val="ChartMainHeading"/>
      </w:pPr>
      <w:bookmarkStart w:id="55" w:name="_Ref152623145"/>
      <w:bookmarkEnd w:id="54"/>
      <w:r w:rsidRPr="00EE2632">
        <w:lastRenderedPageBreak/>
        <w:t>Net international migration, year</w:t>
      </w:r>
      <w:r w:rsidRPr="00EE2632">
        <w:noBreakHyphen/>
        <w:t>ending, selected countries</w:t>
      </w:r>
      <w:bookmarkEnd w:id="55"/>
    </w:p>
    <w:p w14:paraId="32479413" w14:textId="77777777" w:rsidR="00330EDC" w:rsidRPr="00EF084E" w:rsidRDefault="00330EDC" w:rsidP="006F48FB">
      <w:pPr>
        <w:pStyle w:val="ChartGraphic"/>
      </w:pPr>
      <w:r w:rsidRPr="00EF084E">
        <w:rPr>
          <w:noProof/>
        </w:rPr>
        <w:drawing>
          <wp:inline distT="0" distB="0" distL="0" distR="0" wp14:anchorId="73B23373" wp14:editId="55E1EB66">
            <wp:extent cx="5581650" cy="2886075"/>
            <wp:effectExtent l="0" t="0" r="0" b="9525"/>
            <wp:docPr id="14" name="Graphic 14" descr="This chart shows net international migration in the United Kingdom, Canada and Australia. Net migration fell during 2019-20 in all countries and increased in 2021-22. In Canada and Australia there was a further increase in 2022-23 but in the United Kingdom there was a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his chart shows net international migration in the United Kingdom, Canada and Australia. Net migration fell during 2019-20 in all countries and increased in 2021-22. In Canada and Australia there was a further increase in 2022-23 but in the United Kingdom there was a decrease. "/>
                    <pic:cNvPicPr/>
                  </pic:nvPicPr>
                  <pic:blipFill>
                    <a:blip r:embed="rId30">
                      <a:extLst>
                        <a:ext uri="{96DAC541-7B7A-43D3-8B79-37D633B846F1}">
                          <asvg:svgBlip xmlns:asvg="http://schemas.microsoft.com/office/drawing/2016/SVG/main" r:embed="rId31"/>
                        </a:ext>
                      </a:extLst>
                    </a:blip>
                    <a:stretch>
                      <a:fillRect/>
                    </a:stretch>
                  </pic:blipFill>
                  <pic:spPr>
                    <a:xfrm>
                      <a:off x="0" y="0"/>
                      <a:ext cx="5581650" cy="2886075"/>
                    </a:xfrm>
                    <a:prstGeom prst="rect">
                      <a:avLst/>
                    </a:prstGeom>
                  </pic:spPr>
                </pic:pic>
              </a:graphicData>
            </a:graphic>
          </wp:inline>
        </w:drawing>
      </w:r>
    </w:p>
    <w:p w14:paraId="7F087324" w14:textId="7BBACC79" w:rsidR="00330EDC" w:rsidRPr="00EF084E" w:rsidRDefault="00330EDC" w:rsidP="00252F42">
      <w:pPr>
        <w:pStyle w:val="Source"/>
        <w:rPr>
          <w:rFonts w:ascii="Calibri" w:eastAsia="SimSun" w:hAnsi="Calibri" w:cs="Times New Roman"/>
        </w:rPr>
      </w:pPr>
      <w:r w:rsidRPr="00EF084E">
        <w:rPr>
          <w:rFonts w:ascii="Calibri" w:eastAsia="SimSun" w:hAnsi="Calibri" w:cs="Times New Roman"/>
        </w:rPr>
        <w:t xml:space="preserve">Source: </w:t>
      </w:r>
      <w:r w:rsidRPr="00EF084E">
        <w:rPr>
          <w:rFonts w:ascii="Calibri" w:eastAsia="SimSun" w:hAnsi="Calibri" w:cs="Times New Roman"/>
        </w:rPr>
        <w:tab/>
        <w:t>ABS, United Kingdom Office for National Statistics and Statistics Canada</w:t>
      </w:r>
      <w:r w:rsidR="00CE0ABB">
        <w:rPr>
          <w:rFonts w:ascii="Calibri" w:eastAsia="SimSun" w:hAnsi="Calibri" w:cs="Times New Roman"/>
        </w:rPr>
        <w:t>.</w:t>
      </w:r>
    </w:p>
    <w:p w14:paraId="490AE4DE" w14:textId="41A6C028" w:rsidR="00323A16" w:rsidRPr="00961E06" w:rsidRDefault="00323A16" w:rsidP="00961E06">
      <w:pPr>
        <w:pStyle w:val="Heading3"/>
      </w:pPr>
      <w:bookmarkStart w:id="56" w:name="_Hlk153286040"/>
      <w:r w:rsidRPr="00961E06">
        <w:t xml:space="preserve">Temporary </w:t>
      </w:r>
      <w:r w:rsidR="00731BA2">
        <w:t>m</w:t>
      </w:r>
      <w:r w:rsidR="00731BA2" w:rsidRPr="00961E06">
        <w:t xml:space="preserve">igrants </w:t>
      </w:r>
    </w:p>
    <w:p w14:paraId="654165A8" w14:textId="02B14A9E" w:rsidR="00BA3891" w:rsidRDefault="00CA55A9" w:rsidP="007007D0">
      <w:pPr>
        <w:spacing w:after="160"/>
      </w:pPr>
      <w:bookmarkStart w:id="57" w:name="_Hlk153267525"/>
      <w:bookmarkEnd w:id="56"/>
      <w:r>
        <w:t xml:space="preserve">The most significant increase in </w:t>
      </w:r>
      <w:r w:rsidRPr="00A46E59">
        <w:t>temporary migration</w:t>
      </w:r>
      <w:r>
        <w:t xml:space="preserve"> </w:t>
      </w:r>
      <w:r w:rsidR="006530A9">
        <w:t>since late 2021</w:t>
      </w:r>
      <w:r>
        <w:t xml:space="preserve"> has been in international students.</w:t>
      </w:r>
      <w:r w:rsidR="007F56AF">
        <w:rPr>
          <w:rStyle w:val="FootnoteReference"/>
        </w:rPr>
        <w:footnoteReference w:id="5"/>
      </w:r>
      <w:r>
        <w:t xml:space="preserve"> International students comprise around 30</w:t>
      </w:r>
      <w:r w:rsidR="001F3B6F">
        <w:t> per cent</w:t>
      </w:r>
      <w:r>
        <w:t xml:space="preserve"> of temporary visa holders in Australia, the second largest component behind New Zealand citizens. In addition to being one the largest categories, international students were</w:t>
      </w:r>
      <w:r w:rsidR="00F052AF">
        <w:t>,</w:t>
      </w:r>
      <w:r>
        <w:t xml:space="preserve"> </w:t>
      </w:r>
      <w:r w:rsidR="00F052AF">
        <w:t>proportionally,</w:t>
      </w:r>
      <w:r>
        <w:t xml:space="preserve"> the second</w:t>
      </w:r>
      <w:r w:rsidR="006556C8">
        <w:t>-</w:t>
      </w:r>
      <w:r>
        <w:t>most affected by the pandemic behind working holiday makers. The number of international students in Australia fell from a peak of 634,000 on 30 September 2019 to a low of 316,000 on 3</w:t>
      </w:r>
      <w:r w:rsidR="00F37733">
        <w:t>1</w:t>
      </w:r>
      <w:r>
        <w:t> December 2021 (</w:t>
      </w:r>
      <w:r w:rsidR="00074822">
        <w:fldChar w:fldCharType="begin"/>
      </w:r>
      <w:r w:rsidR="00074822">
        <w:instrText xml:space="preserve"> REF _Ref152852342 \r \h </w:instrText>
      </w:r>
      <w:r w:rsidR="00074822">
        <w:fldChar w:fldCharType="separate"/>
      </w:r>
      <w:r w:rsidR="00CE6FEA">
        <w:t>Chart 5</w:t>
      </w:r>
      <w:r w:rsidR="00074822">
        <w:fldChar w:fldCharType="end"/>
      </w:r>
      <w:r>
        <w:t>). Not all these students left Australia, however, as many were granted bridging visas during the pandemic</w:t>
      </w:r>
      <w:r w:rsidR="00E71EBB">
        <w:t xml:space="preserve">, resulting in them </w:t>
      </w:r>
      <w:r w:rsidR="00023F3A">
        <w:t xml:space="preserve">instead </w:t>
      </w:r>
      <w:r w:rsidR="00E71EBB">
        <w:t xml:space="preserve">being counted as </w:t>
      </w:r>
      <w:r w:rsidR="00BC7C03">
        <w:t>part of th</w:t>
      </w:r>
      <w:r w:rsidR="001E087B">
        <w:t xml:space="preserve">at </w:t>
      </w:r>
      <w:r w:rsidR="00F052AF">
        <w:t>visa group</w:t>
      </w:r>
      <w:r>
        <w:t>.</w:t>
      </w:r>
      <w:r w:rsidR="00BA3891">
        <w:t xml:space="preserve"> </w:t>
      </w:r>
      <w:r w:rsidR="00026809">
        <w:t xml:space="preserve">Net </w:t>
      </w:r>
      <w:r w:rsidR="00DD5032">
        <w:t>overseas</w:t>
      </w:r>
      <w:r w:rsidR="00026809">
        <w:t xml:space="preserve"> migration by </w:t>
      </w:r>
      <w:r w:rsidR="00026809" w:rsidRPr="009962FE">
        <w:t>students fell from a peak of 107,000</w:t>
      </w:r>
      <w:r w:rsidR="00026809">
        <w:t xml:space="preserve"> </w:t>
      </w:r>
      <w:r w:rsidR="009D56C0">
        <w:t>over the</w:t>
      </w:r>
      <w:r w:rsidR="00377429">
        <w:t> year</w:t>
      </w:r>
      <w:r w:rsidR="009D56C0">
        <w:t xml:space="preserve"> to </w:t>
      </w:r>
      <w:r w:rsidR="00E760B4">
        <w:t xml:space="preserve">March 2019 </w:t>
      </w:r>
      <w:r w:rsidR="00026809">
        <w:t xml:space="preserve">to a </w:t>
      </w:r>
      <w:r w:rsidR="00BA24FE">
        <w:t xml:space="preserve">net outflow of </w:t>
      </w:r>
      <w:r w:rsidR="00026809">
        <w:t>62,000 over the</w:t>
      </w:r>
      <w:r w:rsidR="00377429">
        <w:t> year</w:t>
      </w:r>
      <w:r w:rsidR="00026809">
        <w:t xml:space="preserve"> to March 2021.</w:t>
      </w:r>
    </w:p>
    <w:p w14:paraId="72CC14D0" w14:textId="3BF08A1F" w:rsidR="008C1DEE" w:rsidRPr="006F0E23" w:rsidRDefault="008C1DEE" w:rsidP="008C1DEE">
      <w:pPr>
        <w:pStyle w:val="ChartMainHeading"/>
      </w:pPr>
      <w:bookmarkStart w:id="58" w:name="_Ref152852342"/>
      <w:bookmarkEnd w:id="57"/>
      <w:r>
        <w:lastRenderedPageBreak/>
        <w:t>Number of t</w:t>
      </w:r>
      <w:r w:rsidRPr="00435810">
        <w:t>emporary visa holders</w:t>
      </w:r>
      <w:r>
        <w:t xml:space="preserve"> in Australia</w:t>
      </w:r>
      <w:r w:rsidRPr="00435810">
        <w:t>, by category</w:t>
      </w:r>
      <w:bookmarkEnd w:id="58"/>
    </w:p>
    <w:p w14:paraId="1A475804" w14:textId="15EFA8F9" w:rsidR="008C1DEE" w:rsidRDefault="008C1DEE" w:rsidP="00252F42">
      <w:pPr>
        <w:pStyle w:val="ChartGraphic"/>
        <w:rPr>
          <w:noProof/>
        </w:rPr>
      </w:pPr>
      <w:r w:rsidRPr="7EDDCBEB">
        <w:rPr>
          <w:noProof/>
        </w:rPr>
        <w:t xml:space="preserve"> </w:t>
      </w:r>
      <w:r>
        <w:rPr>
          <w:noProof/>
        </w:rPr>
        <w:drawing>
          <wp:inline distT="0" distB="0" distL="0" distR="0" wp14:anchorId="43E3040E" wp14:editId="27DC5394">
            <wp:extent cx="5581648" cy="2886075"/>
            <wp:effectExtent l="0" t="0" r="0" b="0"/>
            <wp:docPr id="24" name="Graphic 24" descr="This chart shows the number of temporary visa holders present in Australia by visa category including New Zealand citizens, international students, bridging visas and all other temporary visa holders. The number of bridging visa holders has reduced in recent months, while student and other temporary visa holders have both increased and have reached similar levels to that of New Zealand citizen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his chart shows the number of temporary visa holders present in Australia by visa category including New Zealand citizens, international students, bridging visas and all other temporary visa holders. The number of bridging visa holders has reduced in recent months, while student and other temporary visa holders have both increased and have reached similar levels to that of New Zealand citizens in September 2023."/>
                    <pic:cNvPicPr/>
                  </pic:nvPicPr>
                  <pic:blipFill>
                    <a:blip r:embed="rId32">
                      <a:extLst>
                        <a:ext uri="{96DAC541-7B7A-43D3-8B79-37D633B846F1}">
                          <asvg:svgBlip xmlns:asvg="http://schemas.microsoft.com/office/drawing/2016/SVG/main" r:embed="rId33"/>
                        </a:ext>
                      </a:extLst>
                    </a:blip>
                    <a:stretch>
                      <a:fillRect/>
                    </a:stretch>
                  </pic:blipFill>
                  <pic:spPr>
                    <a:xfrm>
                      <a:off x="0" y="0"/>
                      <a:ext cx="5581648" cy="2886075"/>
                    </a:xfrm>
                    <a:prstGeom prst="rect">
                      <a:avLst/>
                    </a:prstGeom>
                  </pic:spPr>
                </pic:pic>
              </a:graphicData>
            </a:graphic>
          </wp:inline>
        </w:drawing>
      </w:r>
    </w:p>
    <w:p w14:paraId="62088D51" w14:textId="25605450" w:rsidR="00961E06" w:rsidRDefault="00961E06" w:rsidP="00DB4A76">
      <w:pPr>
        <w:pStyle w:val="ChartorTableNote"/>
      </w:pPr>
      <w:r>
        <w:t>Note:</w:t>
      </w:r>
      <w:r>
        <w:tab/>
        <w:t>Excludes people on Visitor, Crew and Transit visas.</w:t>
      </w:r>
    </w:p>
    <w:p w14:paraId="1B505C51" w14:textId="722FC436" w:rsidR="008C1DEE" w:rsidRDefault="008C1DEE" w:rsidP="00B844CC">
      <w:pPr>
        <w:pStyle w:val="Source"/>
        <w:rPr>
          <w:rStyle w:val="Hyperlink"/>
          <w:rFonts w:ascii="Calibri" w:hAnsi="Calibri" w:cs="Times New Roman"/>
          <w:bdr w:val="none" w:sz="0" w:space="0" w:color="auto"/>
          <w:lang w:eastAsia="en-AU"/>
        </w:rPr>
      </w:pPr>
      <w:r>
        <w:t>Source:</w:t>
      </w:r>
      <w:r>
        <w:tab/>
        <w:t>Department of Home Affairs, Temporary visa holders in Australia</w:t>
      </w:r>
      <w:r w:rsidR="00B02151">
        <w:t xml:space="preserve">, </w:t>
      </w:r>
      <w:r w:rsidRPr="00813848">
        <w:t>September</w:t>
      </w:r>
      <w:r>
        <w:t xml:space="preserve"> </w:t>
      </w:r>
      <w:r w:rsidRPr="00813848">
        <w:t>2023</w:t>
      </w:r>
      <w:r w:rsidR="00A80BA9">
        <w:t>.</w:t>
      </w:r>
    </w:p>
    <w:p w14:paraId="6C84D225" w14:textId="7DAAD97D" w:rsidR="00970220" w:rsidRDefault="00BA3891" w:rsidP="00E25C63">
      <w:bookmarkStart w:id="59" w:name="_Hlk153267536"/>
      <w:r>
        <w:t xml:space="preserve">An easing of border restrictions in </w:t>
      </w:r>
      <w:r w:rsidR="007A1633">
        <w:t>late</w:t>
      </w:r>
      <w:r>
        <w:t xml:space="preserve"> 2021, which coincided with the </w:t>
      </w:r>
      <w:r w:rsidR="00F468C0">
        <w:t>peak time</w:t>
      </w:r>
      <w:r w:rsidR="007E7B85">
        <w:t xml:space="preserve"> of</w:t>
      </w:r>
      <w:r w:rsidR="00377429">
        <w:t> year</w:t>
      </w:r>
      <w:r w:rsidR="007E7B85">
        <w:t xml:space="preserve"> for student arrivals</w:t>
      </w:r>
      <w:r>
        <w:t xml:space="preserve">, saw new student </w:t>
      </w:r>
      <w:r w:rsidR="00FD6E95">
        <w:t>migrant</w:t>
      </w:r>
      <w:r>
        <w:t xml:space="preserve"> arrivals to Australia </w:t>
      </w:r>
      <w:r w:rsidR="003D5801">
        <w:t>rise steeply</w:t>
      </w:r>
      <w:r>
        <w:t xml:space="preserve">. </w:t>
      </w:r>
      <w:r w:rsidR="00E33766">
        <w:t>The inc</w:t>
      </w:r>
      <w:r w:rsidR="00E41743">
        <w:t xml:space="preserve">rease was compounded by </w:t>
      </w:r>
      <w:r w:rsidR="007E446D">
        <w:t>arrivals of</w:t>
      </w:r>
      <w:r w:rsidR="00E41743">
        <w:t xml:space="preserve"> existing students </w:t>
      </w:r>
      <w:r w:rsidR="0090153A">
        <w:t xml:space="preserve">who had </w:t>
      </w:r>
      <w:r w:rsidR="00974FB0">
        <w:t xml:space="preserve">previously </w:t>
      </w:r>
      <w:r w:rsidR="0090153A">
        <w:t xml:space="preserve">been granted a student visa but </w:t>
      </w:r>
      <w:r w:rsidR="00577E84">
        <w:t xml:space="preserve">had been </w:t>
      </w:r>
      <w:r w:rsidR="0090153A">
        <w:t>unable to enter Australia</w:t>
      </w:r>
      <w:r w:rsidR="003D5801">
        <w:t xml:space="preserve"> </w:t>
      </w:r>
      <w:r w:rsidR="001064D7" w:rsidRPr="00B844CC">
        <w:t>while border restrictions were in place</w:t>
      </w:r>
      <w:r w:rsidR="00A84511">
        <w:t>.</w:t>
      </w:r>
      <w:r w:rsidR="00503BEE" w:rsidRPr="00311F92">
        <w:t xml:space="preserve"> </w:t>
      </w:r>
      <w:r w:rsidR="00A84511">
        <w:t>T</w:t>
      </w:r>
      <w:r w:rsidR="00F23D66" w:rsidRPr="00311F92">
        <w:t>his process looks to have been largely completed by the end of the M</w:t>
      </w:r>
      <w:r w:rsidR="00F23D66">
        <w:t xml:space="preserve">arch 2023 </w:t>
      </w:r>
      <w:r w:rsidR="00D574EE">
        <w:t xml:space="preserve">quarter, </w:t>
      </w:r>
      <w:r w:rsidR="00F87C85">
        <w:t>as</w:t>
      </w:r>
      <w:r w:rsidR="00503BEE">
        <w:t xml:space="preserve"> students from China </w:t>
      </w:r>
      <w:r w:rsidR="00F87C85">
        <w:t>arrived in Australia</w:t>
      </w:r>
      <w:r w:rsidR="008B4869">
        <w:t xml:space="preserve"> </w:t>
      </w:r>
      <w:r w:rsidR="0059162F">
        <w:t xml:space="preserve">after being informed </w:t>
      </w:r>
      <w:r w:rsidR="0081511C">
        <w:t xml:space="preserve">their </w:t>
      </w:r>
      <w:r w:rsidR="00CF32DB">
        <w:t>course accreditation</w:t>
      </w:r>
      <w:r w:rsidR="00D574EE">
        <w:t xml:space="preserve"> </w:t>
      </w:r>
      <w:r w:rsidR="00F87C85">
        <w:t>would no longer be recognised</w:t>
      </w:r>
      <w:r w:rsidR="00CF32DB">
        <w:t xml:space="preserve"> if gained through </w:t>
      </w:r>
      <w:r w:rsidR="0081511C">
        <w:t>online study</w:t>
      </w:r>
      <w:r w:rsidR="00F87C85">
        <w:t>.</w:t>
      </w:r>
    </w:p>
    <w:p w14:paraId="5C885918" w14:textId="3898EDCE" w:rsidR="00E25C63" w:rsidRDefault="00332B51" w:rsidP="00E25C63">
      <w:r>
        <w:t xml:space="preserve">With more student arrivals and fewer student departures, </w:t>
      </w:r>
      <w:r w:rsidR="00F42547">
        <w:t>net overseas migration</w:t>
      </w:r>
      <w:r>
        <w:t xml:space="preserve"> from students </w:t>
      </w:r>
      <w:r w:rsidR="00832C0E">
        <w:t xml:space="preserve">rose </w:t>
      </w:r>
      <w:r>
        <w:t xml:space="preserve">to </w:t>
      </w:r>
      <w:r w:rsidR="00F44F1C">
        <w:t>2</w:t>
      </w:r>
      <w:r w:rsidR="00AF79A3">
        <w:t>49</w:t>
      </w:r>
      <w:r w:rsidR="00F44F1C">
        <w:t xml:space="preserve">,000 </w:t>
      </w:r>
      <w:r w:rsidR="001E32EE">
        <w:t>o</w:t>
      </w:r>
      <w:r>
        <w:t>ver the year to March 2023</w:t>
      </w:r>
      <w:r w:rsidR="001E32EE">
        <w:t>.</w:t>
      </w:r>
      <w:r w:rsidR="00BA3891">
        <w:t xml:space="preserve"> Over </w:t>
      </w:r>
      <w:r w:rsidR="00A50E7F">
        <w:t>2022–23</w:t>
      </w:r>
      <w:r w:rsidR="00BA3891">
        <w:t xml:space="preserve">, </w:t>
      </w:r>
      <w:r w:rsidR="00F30F8C">
        <w:t>370</w:t>
      </w:r>
      <w:r w:rsidR="00BA3891">
        <w:t>,000 student visas were granted to individuals outside Australia, recovering from a low of just 6</w:t>
      </w:r>
      <w:r w:rsidR="00EA4276">
        <w:t>7</w:t>
      </w:r>
      <w:r w:rsidR="00BA3891">
        <w:t xml:space="preserve">,000 over the year to February 2021 and </w:t>
      </w:r>
      <w:r w:rsidR="00844459">
        <w:t>48</w:t>
      </w:r>
      <w:r w:rsidR="001F3B6F">
        <w:t> per cent</w:t>
      </w:r>
      <w:r w:rsidR="00BA3891">
        <w:t xml:space="preserve"> above the pre</w:t>
      </w:r>
      <w:r w:rsidR="00BA3891">
        <w:noBreakHyphen/>
        <w:t>pandemic peak of 24</w:t>
      </w:r>
      <w:r w:rsidR="00796474">
        <w:t>9</w:t>
      </w:r>
      <w:r w:rsidR="00BA3891">
        <w:t>,000 over the year to April 2019</w:t>
      </w:r>
      <w:r w:rsidR="0039111D">
        <w:t>.</w:t>
      </w:r>
    </w:p>
    <w:p w14:paraId="43956AED" w14:textId="017B5C5F" w:rsidR="00371BA0" w:rsidRDefault="00E14E26" w:rsidP="00371BA0">
      <w:bookmarkStart w:id="60" w:name="_Hlk153267555"/>
      <w:bookmarkEnd w:id="59"/>
      <w:r>
        <w:t>Net overseas m</w:t>
      </w:r>
      <w:r w:rsidR="00371BA0">
        <w:t xml:space="preserve">igration by </w:t>
      </w:r>
      <w:r w:rsidR="00371BA0" w:rsidRPr="009962FE">
        <w:t>all other temporary visa holders</w:t>
      </w:r>
      <w:r w:rsidR="00371BA0">
        <w:t xml:space="preserve"> </w:t>
      </w:r>
      <w:r w:rsidR="0088520F">
        <w:t xml:space="preserve">(that is, excluding students) </w:t>
      </w:r>
      <w:r w:rsidR="00371BA0">
        <w:t xml:space="preserve">fell significantly from </w:t>
      </w:r>
      <w:r w:rsidR="009B7B13">
        <w:t>79</w:t>
      </w:r>
      <w:r w:rsidR="00371BA0">
        <w:t>,000 pre</w:t>
      </w:r>
      <w:r w:rsidR="00E27301">
        <w:t>-</w:t>
      </w:r>
      <w:r w:rsidR="00371BA0">
        <w:t xml:space="preserve">pandemic (over the year to June 2019) to </w:t>
      </w:r>
      <w:r w:rsidR="00BA1B0A">
        <w:rPr>
          <w:rFonts w:cstheme="minorHAnsi"/>
        </w:rPr>
        <w:t>−</w:t>
      </w:r>
      <w:r w:rsidR="00371BA0">
        <w:t xml:space="preserve">59,000 </w:t>
      </w:r>
      <w:r w:rsidR="00BE3ABC">
        <w:t>during the pandemic (</w:t>
      </w:r>
      <w:r w:rsidR="00371BA0" w:rsidRPr="002659C7">
        <w:t>over the year to June</w:t>
      </w:r>
      <w:r w:rsidR="0018257B">
        <w:t> </w:t>
      </w:r>
      <w:r w:rsidR="00371BA0" w:rsidRPr="002659C7">
        <w:t>2021</w:t>
      </w:r>
      <w:r w:rsidR="00BE3ABC">
        <w:t>)</w:t>
      </w:r>
      <w:r w:rsidR="00371BA0">
        <w:t>.</w:t>
      </w:r>
      <w:r w:rsidR="00952074" w:rsidRPr="009962FE">
        <w:rPr>
          <w:rStyle w:val="FootnoteReference"/>
        </w:rPr>
        <w:footnoteReference w:id="6"/>
      </w:r>
      <w:r w:rsidR="00371BA0">
        <w:t xml:space="preserve"> </w:t>
      </w:r>
      <w:r w:rsidR="008E18C2">
        <w:t>All o</w:t>
      </w:r>
      <w:r w:rsidR="00371BA0">
        <w:t>ther temporary migration</w:t>
      </w:r>
      <w:r w:rsidR="0004252C">
        <w:t xml:space="preserve"> has</w:t>
      </w:r>
      <w:r w:rsidR="00371BA0">
        <w:t xml:space="preserve"> recovered beyond pre</w:t>
      </w:r>
      <w:r w:rsidR="00E27301">
        <w:t>-</w:t>
      </w:r>
      <w:r w:rsidR="00371BA0">
        <w:t xml:space="preserve">pandemic levels </w:t>
      </w:r>
      <w:r w:rsidR="00466308">
        <w:t>reaching</w:t>
      </w:r>
      <w:r w:rsidR="00371BA0">
        <w:t xml:space="preserve"> 1</w:t>
      </w:r>
      <w:r w:rsidR="00E96354">
        <w:t>63</w:t>
      </w:r>
      <w:r w:rsidR="00371BA0">
        <w:t xml:space="preserve">,000 over the year to March 2023. </w:t>
      </w:r>
      <w:r w:rsidR="0088520F">
        <w:t>T</w:t>
      </w:r>
      <w:r w:rsidR="00371BA0">
        <w:t xml:space="preserve">he strong recovery has been most pronounced in </w:t>
      </w:r>
      <w:r w:rsidR="00A8630E">
        <w:t xml:space="preserve">working holiday makers, </w:t>
      </w:r>
      <w:r w:rsidR="00371BA0">
        <w:t xml:space="preserve">visitors, and skilled temporary migrants. </w:t>
      </w:r>
    </w:p>
    <w:p w14:paraId="3E36BB8B" w14:textId="61567C3E" w:rsidR="00CC6DB0" w:rsidRDefault="00CC6DB0" w:rsidP="007908E0">
      <w:pPr>
        <w:pStyle w:val="Heading3"/>
      </w:pPr>
      <w:r>
        <w:t xml:space="preserve">Permanent </w:t>
      </w:r>
      <w:r w:rsidR="00CB4367">
        <w:t>migrants</w:t>
      </w:r>
      <w:r w:rsidR="00010B1C">
        <w:t>, New Zealand</w:t>
      </w:r>
      <w:r>
        <w:t xml:space="preserve"> </w:t>
      </w:r>
      <w:r w:rsidR="00534357">
        <w:t>and Austra</w:t>
      </w:r>
      <w:r w:rsidR="009D7DFB">
        <w:t>lian citizens</w:t>
      </w:r>
      <w:r>
        <w:t xml:space="preserve"> </w:t>
      </w:r>
    </w:p>
    <w:p w14:paraId="35DB77EC" w14:textId="1AA4415C" w:rsidR="0000679D" w:rsidRDefault="00FC73B7" w:rsidP="00371BA0">
      <w:r>
        <w:t xml:space="preserve">Permanent migration is </w:t>
      </w:r>
      <w:r w:rsidR="00751E5B">
        <w:t>expected to remain broadly stable (</w:t>
      </w:r>
      <w:r w:rsidR="00A41F9E">
        <w:fldChar w:fldCharType="begin"/>
      </w:r>
      <w:r w:rsidR="00A41F9E">
        <w:instrText xml:space="preserve"> REF _Ref152852069 \r \h </w:instrText>
      </w:r>
      <w:r w:rsidR="00A41F9E">
        <w:fldChar w:fldCharType="separate"/>
      </w:r>
      <w:r w:rsidR="00CE6FEA">
        <w:t>Table 2</w:t>
      </w:r>
      <w:r w:rsidR="00A41F9E">
        <w:fldChar w:fldCharType="end"/>
      </w:r>
      <w:r w:rsidR="00751E5B">
        <w:t>). Typically</w:t>
      </w:r>
      <w:r w:rsidR="000F3D01">
        <w:t xml:space="preserve">, </w:t>
      </w:r>
      <w:r w:rsidR="00D3572F">
        <w:t>permanent</w:t>
      </w:r>
      <w:r w:rsidR="000F3D01">
        <w:t xml:space="preserve"> </w:t>
      </w:r>
      <w:r w:rsidR="00D3572F">
        <w:t xml:space="preserve">visas are granted to </w:t>
      </w:r>
      <w:r w:rsidR="00717A23">
        <w:t>temporary visa holders already onshore</w:t>
      </w:r>
      <w:r w:rsidR="00FC683F">
        <w:t xml:space="preserve">, who have </w:t>
      </w:r>
      <w:r w:rsidR="00A75AC5">
        <w:t xml:space="preserve">previously </w:t>
      </w:r>
      <w:r w:rsidR="00717A23">
        <w:t>been counted as a migrant.</w:t>
      </w:r>
      <w:r w:rsidR="00A206CB">
        <w:t xml:space="preserve"> </w:t>
      </w:r>
    </w:p>
    <w:p w14:paraId="32286B93" w14:textId="4F42498D" w:rsidR="00904324" w:rsidRDefault="009D113C" w:rsidP="00371BA0">
      <w:r>
        <w:t>Net m</w:t>
      </w:r>
      <w:r w:rsidR="00BE5C64">
        <w:t xml:space="preserve">igration by New Zealand citizens fell from 8,000 over the year to June 2019 to </w:t>
      </w:r>
      <w:r w:rsidR="00BA1B0A">
        <w:rPr>
          <w:rFonts w:cstheme="minorHAnsi"/>
        </w:rPr>
        <w:t>−</w:t>
      </w:r>
      <w:r w:rsidR="00BE5C64">
        <w:t>2,000 over the year to June 2021. As with other categories of migration, net overseas migration from New Zealand citizens is recovering and is forecast to peak in 2022–23 at 25,000 persons, before falling over the forward estimates. Net</w:t>
      </w:r>
      <w:r w:rsidR="00C85406">
        <w:t> </w:t>
      </w:r>
      <w:r w:rsidR="00BE5C64">
        <w:t xml:space="preserve">overseas migration </w:t>
      </w:r>
      <w:r w:rsidR="00380A76">
        <w:t>by</w:t>
      </w:r>
      <w:r w:rsidR="00BE5C64">
        <w:t xml:space="preserve"> New Zealand citizens is also expected to be supported by the new direct pathway to </w:t>
      </w:r>
      <w:r w:rsidR="00BE5C64">
        <w:lastRenderedPageBreak/>
        <w:t xml:space="preserve">Australian citizenship for New Zealand citizens. </w:t>
      </w:r>
      <w:r w:rsidR="00434B3A">
        <w:t xml:space="preserve">Net migration by </w:t>
      </w:r>
      <w:r w:rsidR="006106E2">
        <w:t xml:space="preserve">Australian citizens </w:t>
      </w:r>
      <w:r w:rsidR="00434B3A">
        <w:t>is</w:t>
      </w:r>
      <w:r w:rsidR="006106E2">
        <w:t xml:space="preserve"> returning to long</w:t>
      </w:r>
      <w:r w:rsidR="00E95961">
        <w:t xml:space="preserve"> </w:t>
      </w:r>
      <w:r w:rsidR="006106E2">
        <w:t xml:space="preserve">term trends after the easing of border restrictions. </w:t>
      </w:r>
      <w:r w:rsidR="00F25567">
        <w:t xml:space="preserve">Typically, more </w:t>
      </w:r>
      <w:r w:rsidR="001B0389">
        <w:t>Australian citizen</w:t>
      </w:r>
      <w:r w:rsidR="00F25567">
        <w:t>s emigrate than immigrate</w:t>
      </w:r>
      <w:r w:rsidR="00AE3A59">
        <w:t>:</w:t>
      </w:r>
      <w:r w:rsidR="001B0389">
        <w:t xml:space="preserve"> </w:t>
      </w:r>
      <w:r w:rsidR="00AE3A59">
        <w:t>o</w:t>
      </w:r>
      <w:r w:rsidR="001B0389">
        <w:t>ver a long enough time, arrivals will naturally be lower than departures because some departing Australian citizens never return</w:t>
      </w:r>
      <w:r w:rsidR="00ED34BC">
        <w:t xml:space="preserve">. </w:t>
      </w:r>
      <w:r w:rsidR="00455A8F">
        <w:t xml:space="preserve">This </w:t>
      </w:r>
      <w:r w:rsidR="00263363">
        <w:t>temporarily</w:t>
      </w:r>
      <w:r w:rsidR="00455A8F">
        <w:t xml:space="preserve"> reversed during the pandemic, with </w:t>
      </w:r>
      <w:r w:rsidR="0001134E">
        <w:t xml:space="preserve">more arrivals than departures of </w:t>
      </w:r>
      <w:r w:rsidR="00455A8F">
        <w:t>Australian citizens. With the relaxation of border restrictions from late 2021, this has begun to unwind, in a process analogous to the catch</w:t>
      </w:r>
      <w:r w:rsidR="00455A8F">
        <w:noBreakHyphen/>
        <w:t xml:space="preserve">up in temporary migration, but in reverse. Reflecting the continuation of this process, migration by Australian citizens is forecast to be lower than average over the next few years before </w:t>
      </w:r>
      <w:r w:rsidR="001B41CD">
        <w:t xml:space="preserve">returning </w:t>
      </w:r>
      <w:r w:rsidR="00455A8F">
        <w:t>to pre</w:t>
      </w:r>
      <w:r w:rsidR="00455A8F">
        <w:noBreakHyphen/>
        <w:t>pandemic trends.</w:t>
      </w:r>
    </w:p>
    <w:p w14:paraId="3B6BDFC7" w14:textId="707062D3" w:rsidR="00CF3346" w:rsidRPr="00C306BF" w:rsidRDefault="00A12DDC" w:rsidP="00E753B6">
      <w:pPr>
        <w:pStyle w:val="Heading2Numbered"/>
      </w:pPr>
      <w:bookmarkStart w:id="61" w:name="_Toc149846502"/>
      <w:bookmarkStart w:id="62" w:name="_Toc149846543"/>
      <w:bookmarkStart w:id="63" w:name="_Toc149846641"/>
      <w:bookmarkStart w:id="64" w:name="_Toc149847584"/>
      <w:bookmarkStart w:id="65" w:name="_Toc151994719"/>
      <w:bookmarkStart w:id="66" w:name="_Toc154050208"/>
      <w:bookmarkEnd w:id="60"/>
      <w:r w:rsidRPr="00C306BF">
        <w:t>Births</w:t>
      </w:r>
      <w:bookmarkEnd w:id="61"/>
      <w:bookmarkEnd w:id="62"/>
      <w:bookmarkEnd w:id="63"/>
      <w:bookmarkEnd w:id="64"/>
      <w:bookmarkEnd w:id="65"/>
      <w:bookmarkEnd w:id="66"/>
    </w:p>
    <w:p w14:paraId="507F76CE" w14:textId="4BACF1FF" w:rsidR="003A0FC6" w:rsidRDefault="00E60D16" w:rsidP="00E51EE1">
      <w:bookmarkStart w:id="67" w:name="_Hlk153269474"/>
      <w:r w:rsidRPr="00B344C9">
        <w:t>In 202</w:t>
      </w:r>
      <w:r>
        <w:t>1</w:t>
      </w:r>
      <w:r w:rsidRPr="00B344C9">
        <w:t>–2</w:t>
      </w:r>
      <w:r>
        <w:t>2</w:t>
      </w:r>
      <w:r w:rsidRPr="00B344C9">
        <w:t>, the total fertility rate was 1.6</w:t>
      </w:r>
      <w:r>
        <w:t>9</w:t>
      </w:r>
      <w:r w:rsidRPr="00B344C9">
        <w:t xml:space="preserve"> babies per woman, </w:t>
      </w:r>
      <w:r w:rsidRPr="00B344C9" w:rsidDel="000553F7">
        <w:t>s</w:t>
      </w:r>
      <w:r>
        <w:t>lightly higher</w:t>
      </w:r>
      <w:r w:rsidRPr="00B344C9" w:rsidDel="000553F7">
        <w:t xml:space="preserve"> t</w:t>
      </w:r>
      <w:r>
        <w:t>han</w:t>
      </w:r>
      <w:r w:rsidRPr="00B344C9" w:rsidDel="000553F7">
        <w:t xml:space="preserve"> </w:t>
      </w:r>
      <w:r w:rsidRPr="00B344C9">
        <w:t xml:space="preserve">the rate recorded in </w:t>
      </w:r>
      <w:r w:rsidR="00DB4A76">
        <w:br/>
      </w:r>
      <w:r w:rsidRPr="00B344C9" w:rsidDel="000553F7">
        <w:t>20</w:t>
      </w:r>
      <w:r>
        <w:t>20</w:t>
      </w:r>
      <w:r w:rsidRPr="00B344C9">
        <w:t>–</w:t>
      </w:r>
      <w:r>
        <w:t>21</w:t>
      </w:r>
      <w:r w:rsidR="00663AFE">
        <w:t> </w:t>
      </w:r>
      <w:r>
        <w:t>(1.66)</w:t>
      </w:r>
      <w:r w:rsidRPr="00B344C9">
        <w:t>.</w:t>
      </w:r>
      <w:r>
        <w:t xml:space="preserve"> </w:t>
      </w:r>
      <w:r w:rsidR="00EA4079">
        <w:t>Australia</w:t>
      </w:r>
      <w:r w:rsidR="004B14AB">
        <w:t>’</w:t>
      </w:r>
      <w:r w:rsidR="00EA4079">
        <w:t>s total fertility rate is expected to gradually decline from 1.66 babies per woman in 2022</w:t>
      </w:r>
      <w:r w:rsidR="008C0B3E">
        <w:t>–</w:t>
      </w:r>
      <w:r w:rsidR="00EA4079">
        <w:t>23 to 1.62</w:t>
      </w:r>
      <w:r w:rsidR="001E36F9">
        <w:t> </w:t>
      </w:r>
      <w:r w:rsidR="00EA4079">
        <w:t>babies per woman by 2030</w:t>
      </w:r>
      <w:r w:rsidR="008C0B3E">
        <w:t>–</w:t>
      </w:r>
      <w:r w:rsidR="00EA4079">
        <w:t xml:space="preserve">31, </w:t>
      </w:r>
      <w:r w:rsidR="0003015B">
        <w:t>before</w:t>
      </w:r>
      <w:r w:rsidR="00EA4079">
        <w:t xml:space="preserve"> stabilis</w:t>
      </w:r>
      <w:r w:rsidR="0003015B">
        <w:t>ing</w:t>
      </w:r>
      <w:r w:rsidR="00206CE5">
        <w:t xml:space="preserve"> (</w:t>
      </w:r>
      <w:r w:rsidR="00206CE5">
        <w:fldChar w:fldCharType="begin"/>
      </w:r>
      <w:r w:rsidR="00206CE5">
        <w:instrText xml:space="preserve"> REF _Ref149130778 \r \h </w:instrText>
      </w:r>
      <w:r w:rsidR="00206CE5">
        <w:fldChar w:fldCharType="separate"/>
      </w:r>
      <w:r w:rsidR="00CE6FEA">
        <w:t>Chart 6</w:t>
      </w:r>
      <w:r w:rsidR="00206CE5">
        <w:fldChar w:fldCharType="end"/>
      </w:r>
      <w:r w:rsidR="00206CE5">
        <w:t>)</w:t>
      </w:r>
      <w:r w:rsidR="00EA4079">
        <w:t>. This reflects a long running trend of Australian women having children later in life and having fewer children</w:t>
      </w:r>
      <w:r w:rsidR="000C0B62">
        <w:t xml:space="preserve"> (Box </w:t>
      </w:r>
      <w:r w:rsidR="006F3758">
        <w:t>1</w:t>
      </w:r>
      <w:r w:rsidR="000C0B62">
        <w:t xml:space="preserve"> </w:t>
      </w:r>
      <w:r w:rsidR="001F2FBE">
        <w:t>provides</w:t>
      </w:r>
      <w:r w:rsidR="000C0B62">
        <w:t xml:space="preserve"> further information)</w:t>
      </w:r>
      <w:r w:rsidR="00EA4079">
        <w:t>.</w:t>
      </w:r>
      <w:r w:rsidR="00E51EE1" w:rsidRPr="00E51EE1">
        <w:t xml:space="preserve"> </w:t>
      </w:r>
      <w:r w:rsidR="00EA222C">
        <w:t>Despite this, b</w:t>
      </w:r>
      <w:r w:rsidR="00EA222C" w:rsidRPr="00ED019A">
        <w:t>irths are forecast to increase from 310,000 in 2022–23 to 3</w:t>
      </w:r>
      <w:r w:rsidR="008236A7">
        <w:t>27</w:t>
      </w:r>
      <w:r w:rsidR="00EA222C" w:rsidRPr="00ED019A">
        <w:t>,000 in 2026–27, and again to 3</w:t>
      </w:r>
      <w:r w:rsidR="008236A7">
        <w:t>45</w:t>
      </w:r>
      <w:r w:rsidR="00EA222C" w:rsidRPr="00ED019A">
        <w:t xml:space="preserve">,000 by 2033–34 due to </w:t>
      </w:r>
      <w:r w:rsidR="009E181A">
        <w:t>there being more</w:t>
      </w:r>
      <w:r w:rsidR="001B157B" w:rsidRPr="00ED019A">
        <w:t xml:space="preserve"> potential parents</w:t>
      </w:r>
      <w:r w:rsidR="005726DF">
        <w:t xml:space="preserve"> as the population increases</w:t>
      </w:r>
      <w:r w:rsidR="00EA222C" w:rsidRPr="00ED019A">
        <w:t>.</w:t>
      </w:r>
    </w:p>
    <w:p w14:paraId="6C379749" w14:textId="3A760449" w:rsidR="004F1EB4" w:rsidRPr="00645008" w:rsidRDefault="004F1EB4" w:rsidP="00A57596">
      <w:pPr>
        <w:pStyle w:val="ChartMainHeading"/>
      </w:pPr>
      <w:bookmarkStart w:id="68" w:name="_Ref149130778"/>
      <w:r w:rsidRPr="00645008">
        <w:t>Total fertility rate</w:t>
      </w:r>
      <w:bookmarkEnd w:id="68"/>
      <w:r w:rsidRPr="00645008">
        <w:t xml:space="preserve"> </w:t>
      </w:r>
    </w:p>
    <w:p w14:paraId="45928CEE" w14:textId="39926B15" w:rsidR="0076269D" w:rsidRPr="0046534B" w:rsidRDefault="00030472" w:rsidP="00A57596">
      <w:pPr>
        <w:pStyle w:val="ChartGraphic"/>
      </w:pPr>
      <w:r w:rsidRPr="00030472">
        <w:rPr>
          <w:noProof/>
        </w:rPr>
        <w:drawing>
          <wp:inline distT="0" distB="0" distL="0" distR="0" wp14:anchorId="32170F00" wp14:editId="11997093">
            <wp:extent cx="5580000" cy="2918769"/>
            <wp:effectExtent l="0" t="0" r="0" b="0"/>
            <wp:docPr id="71" name="Picture 71" descr="This chart shows total fertility rates expressed as babies per woman from 1983-84 to 2033-34. Fertility rates have decreased since 2007-08 and will continue to decline from 2022-23 over the projections period. There was a small increase in fertility from 2019-20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chart shows total fertility rates expressed as babies per woman from 1983-84 to 2033-34. Fertility rates have decreased since 2007-08 and will continue to decline from 2022-23 over the projections period. There was a small increase in fertility from 2019-20 to 202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000" cy="2918769"/>
                    </a:xfrm>
                    <a:prstGeom prst="rect">
                      <a:avLst/>
                    </a:prstGeom>
                    <a:noFill/>
                    <a:ln>
                      <a:noFill/>
                    </a:ln>
                  </pic:spPr>
                </pic:pic>
              </a:graphicData>
            </a:graphic>
          </wp:inline>
        </w:drawing>
      </w:r>
    </w:p>
    <w:p w14:paraId="2BB3CF65" w14:textId="4C90ABB6" w:rsidR="004F1EB4" w:rsidRDefault="004F1EB4" w:rsidP="005306CC">
      <w:pPr>
        <w:pStyle w:val="Source"/>
      </w:pPr>
      <w:r w:rsidRPr="0080067E">
        <w:t xml:space="preserve">Source: </w:t>
      </w:r>
      <w:r w:rsidR="00645008">
        <w:tab/>
      </w:r>
      <w:r w:rsidR="009E5FB5">
        <w:t>ABS</w:t>
      </w:r>
      <w:r w:rsidRPr="0080067E">
        <w:t>, National, state and territory population, March 202</w:t>
      </w:r>
      <w:r>
        <w:t>3</w:t>
      </w:r>
      <w:r w:rsidRPr="0080067E">
        <w:t xml:space="preserve"> </w:t>
      </w:r>
      <w:r w:rsidR="00467F7D">
        <w:t xml:space="preserve">and </w:t>
      </w:r>
      <w:r w:rsidRPr="0080067E">
        <w:t>Centre for Population projections.</w:t>
      </w:r>
    </w:p>
    <w:p w14:paraId="0A7FF333" w14:textId="7774B1FE" w:rsidR="003A0FC6" w:rsidRDefault="00EA4079" w:rsidP="003A0FC6">
      <w:r>
        <w:t xml:space="preserve">The impact of the pandemic on </w:t>
      </w:r>
      <w:r w:rsidR="00607908">
        <w:t>Australia</w:t>
      </w:r>
      <w:r w:rsidR="004B14AB">
        <w:t>’</w:t>
      </w:r>
      <w:r w:rsidR="00607908">
        <w:t xml:space="preserve">s </w:t>
      </w:r>
      <w:r>
        <w:t>fertility appears to have been relatively short</w:t>
      </w:r>
      <w:r w:rsidR="004B14AB">
        <w:noBreakHyphen/>
      </w:r>
      <w:r>
        <w:t>lived</w:t>
      </w:r>
      <w:r w:rsidR="00A02BBA">
        <w:t>. There was</w:t>
      </w:r>
      <w:r w:rsidR="00CF4021">
        <w:t xml:space="preserve"> a small drop</w:t>
      </w:r>
      <w:r w:rsidR="00691FAC">
        <w:t xml:space="preserve"> in 2020 </w:t>
      </w:r>
      <w:r w:rsidR="00CF4021">
        <w:t>and subsequent rebound</w:t>
      </w:r>
      <w:r w:rsidR="00B66CCB">
        <w:t xml:space="preserve"> in </w:t>
      </w:r>
      <w:r w:rsidR="00CF4021">
        <w:t>births</w:t>
      </w:r>
      <w:r>
        <w:t xml:space="preserve"> in 2021</w:t>
      </w:r>
      <w:r w:rsidR="00A02BBA">
        <w:t xml:space="preserve"> </w:t>
      </w:r>
      <w:r w:rsidR="00A02BBA">
        <w:rPr>
          <w:rFonts w:ascii="Calibri" w:hAnsi="Calibri" w:cs="Calibri"/>
          <w:szCs w:val="24"/>
        </w:rPr>
        <w:t xml:space="preserve">as </w:t>
      </w:r>
      <w:r w:rsidR="00A02BBA">
        <w:t>people quickly caught up on delayed</w:t>
      </w:r>
      <w:r w:rsidR="009100A6">
        <w:t xml:space="preserve"> </w:t>
      </w:r>
      <w:r w:rsidR="00A02BBA">
        <w:t>childbearing plans,</w:t>
      </w:r>
      <w:r w:rsidR="00347D2A">
        <w:t xml:space="preserve"> before</w:t>
      </w:r>
      <w:r w:rsidR="00347D2A" w:rsidRPr="00347D2A">
        <w:rPr>
          <w:rFonts w:ascii="Calibri" w:hAnsi="Calibri" w:cs="Calibri"/>
          <w:szCs w:val="24"/>
        </w:rPr>
        <w:t xml:space="preserve"> </w:t>
      </w:r>
      <w:r w:rsidR="001C016D">
        <w:rPr>
          <w:rFonts w:ascii="Calibri" w:hAnsi="Calibri" w:cs="Calibri"/>
          <w:szCs w:val="24"/>
        </w:rPr>
        <w:t xml:space="preserve">fertility </w:t>
      </w:r>
      <w:r w:rsidR="00716A86">
        <w:rPr>
          <w:rFonts w:ascii="Calibri" w:hAnsi="Calibri" w:cs="Calibri"/>
          <w:szCs w:val="24"/>
        </w:rPr>
        <w:t xml:space="preserve">returned </w:t>
      </w:r>
      <w:r w:rsidR="00347D2A">
        <w:rPr>
          <w:rFonts w:ascii="Calibri" w:hAnsi="Calibri" w:cs="Calibri"/>
          <w:szCs w:val="24"/>
        </w:rPr>
        <w:t>to the pre</w:t>
      </w:r>
      <w:r w:rsidR="004B14AB">
        <w:rPr>
          <w:rFonts w:ascii="Calibri" w:hAnsi="Calibri" w:cs="Calibri"/>
          <w:szCs w:val="24"/>
        </w:rPr>
        <w:noBreakHyphen/>
      </w:r>
      <w:r w:rsidR="00347D2A" w:rsidRPr="00BA415B">
        <w:rPr>
          <w:rFonts w:ascii="Calibri" w:hAnsi="Calibri" w:cs="Calibri"/>
          <w:szCs w:val="24"/>
        </w:rPr>
        <w:t>pandemic</w:t>
      </w:r>
      <w:r w:rsidR="00347D2A">
        <w:rPr>
          <w:rFonts w:ascii="Calibri" w:hAnsi="Calibri" w:cs="Calibri"/>
          <w:szCs w:val="24"/>
        </w:rPr>
        <w:t xml:space="preserve"> trend</w:t>
      </w:r>
      <w:r>
        <w:t xml:space="preserve">. </w:t>
      </w:r>
      <w:r w:rsidR="006E6E6E">
        <w:t>C</w:t>
      </w:r>
      <w:r w:rsidR="003A0FC6">
        <w:t>omparable high</w:t>
      </w:r>
      <w:r w:rsidR="004B14AB">
        <w:noBreakHyphen/>
      </w:r>
      <w:r w:rsidR="003A0FC6">
        <w:t>income countries, such as Canada and the United States, also experienced short</w:t>
      </w:r>
      <w:r w:rsidR="00310A93">
        <w:t xml:space="preserve"> </w:t>
      </w:r>
      <w:r w:rsidR="003A0FC6">
        <w:t xml:space="preserve">term fluctuations in fertility rates </w:t>
      </w:r>
      <w:r w:rsidR="00705E88">
        <w:t>before</w:t>
      </w:r>
      <w:r w:rsidR="003A0FC6">
        <w:t xml:space="preserve"> returning to long</w:t>
      </w:r>
      <w:r w:rsidR="00310A93">
        <w:t xml:space="preserve"> </w:t>
      </w:r>
      <w:r w:rsidR="003A0FC6">
        <w:t xml:space="preserve">term </w:t>
      </w:r>
      <w:r w:rsidR="0025030E">
        <w:t>downward</w:t>
      </w:r>
      <w:r w:rsidR="003A0FC6">
        <w:t xml:space="preserve"> trends</w:t>
      </w:r>
      <w:r w:rsidR="00311DD0">
        <w:t xml:space="preserve"> </w:t>
      </w:r>
      <w:r w:rsidR="00311DD0" w:rsidRPr="00A57596">
        <w:t>(</w:t>
      </w:r>
      <w:r w:rsidR="00311DD0">
        <w:fldChar w:fldCharType="begin"/>
      </w:r>
      <w:r w:rsidR="00311DD0">
        <w:instrText xml:space="preserve"> REF _Ref149841584 \r \h </w:instrText>
      </w:r>
      <w:r w:rsidR="00311DD0">
        <w:fldChar w:fldCharType="separate"/>
      </w:r>
      <w:r w:rsidR="00CE6FEA">
        <w:t>Chart 7</w:t>
      </w:r>
      <w:r w:rsidR="00311DD0">
        <w:fldChar w:fldCharType="end"/>
      </w:r>
      <w:r w:rsidR="00311DD0">
        <w:t>)</w:t>
      </w:r>
      <w:r w:rsidR="003A0FC6">
        <w:t>.</w:t>
      </w:r>
    </w:p>
    <w:p w14:paraId="174E4CAB" w14:textId="41807185" w:rsidR="008B03DD" w:rsidRDefault="008B03DD" w:rsidP="008B03DD">
      <w:pPr>
        <w:spacing w:before="0" w:after="160" w:line="259" w:lineRule="auto"/>
      </w:pPr>
      <w:r>
        <w:br w:type="page"/>
      </w:r>
    </w:p>
    <w:p w14:paraId="69A19DE0" w14:textId="31AE37D8" w:rsidR="003A0FC6" w:rsidRPr="008A0174" w:rsidRDefault="003A0FC6" w:rsidP="00A57596">
      <w:pPr>
        <w:pStyle w:val="ChartMainHeading"/>
      </w:pPr>
      <w:bookmarkStart w:id="69" w:name="_Ref149841584"/>
      <w:r w:rsidRPr="008A0174">
        <w:lastRenderedPageBreak/>
        <w:t>Total fertility rates, Selected Countries</w:t>
      </w:r>
      <w:bookmarkEnd w:id="69"/>
      <w:r w:rsidRPr="008A0174">
        <w:t xml:space="preserve"> </w:t>
      </w:r>
    </w:p>
    <w:p w14:paraId="3706BF9C" w14:textId="00E02300" w:rsidR="00EE5B30" w:rsidRPr="00EE5B30" w:rsidRDefault="006C65E0" w:rsidP="00A57596">
      <w:pPr>
        <w:pStyle w:val="ChartGraphic"/>
      </w:pPr>
      <w:r w:rsidRPr="006C65E0">
        <w:rPr>
          <w:noProof/>
        </w:rPr>
        <w:drawing>
          <wp:inline distT="0" distB="0" distL="0" distR="0" wp14:anchorId="0FA0169B" wp14:editId="5900DC62">
            <wp:extent cx="5580000" cy="2861270"/>
            <wp:effectExtent l="0" t="0" r="0" b="0"/>
            <wp:docPr id="72" name="Picture 72" descr="This chart shows total fertility rates expressed as babies per woman from 2012 to 2022 for selected countries including Australia, USA, UK, Canada, Japan, Italy and South Korea. Most countries fertility rates have declined over time. In 2022, South Korea had the lowest (0.79) and USA highes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chart shows total fertility rates expressed as babies per woman from 2012 to 2022 for selected countries including Australia, USA, UK, Canada, Japan, Italy and South Korea. Most countries fertility rates have declined over time. In 2022, South Korea had the lowest (0.79) and USA highest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000" cy="2861270"/>
                    </a:xfrm>
                    <a:prstGeom prst="rect">
                      <a:avLst/>
                    </a:prstGeom>
                    <a:noFill/>
                    <a:ln>
                      <a:noFill/>
                    </a:ln>
                  </pic:spPr>
                </pic:pic>
              </a:graphicData>
            </a:graphic>
          </wp:inline>
        </w:drawing>
      </w:r>
    </w:p>
    <w:p w14:paraId="6FFE7DE5" w14:textId="01E7D570" w:rsidR="00645008" w:rsidRDefault="003A0FC6" w:rsidP="00075B32">
      <w:pPr>
        <w:pStyle w:val="ChartorTableNote"/>
      </w:pPr>
      <w:r w:rsidRPr="00645008">
        <w:t xml:space="preserve">Note: </w:t>
      </w:r>
      <w:r w:rsidR="00645008">
        <w:tab/>
      </w:r>
      <w:r w:rsidRPr="00645008">
        <w:t>Total fertility rates in this chart are presented on a calendar year basis</w:t>
      </w:r>
      <w:r w:rsidR="00BF136C" w:rsidRPr="00645008">
        <w:t xml:space="preserve"> </w:t>
      </w:r>
      <w:r w:rsidR="005F5E66" w:rsidRPr="00645008">
        <w:t>and</w:t>
      </w:r>
      <w:r w:rsidR="00ED1E0E" w:rsidRPr="00645008">
        <w:t xml:space="preserve"> differ from the Centre</w:t>
      </w:r>
      <w:r w:rsidR="004B14AB">
        <w:t>’</w:t>
      </w:r>
      <w:r w:rsidR="00ED1E0E" w:rsidRPr="00645008">
        <w:t>s projections which are on a financial year basis</w:t>
      </w:r>
      <w:r w:rsidRPr="00645008">
        <w:t>.</w:t>
      </w:r>
    </w:p>
    <w:p w14:paraId="12E86BBB" w14:textId="5531E278" w:rsidR="003A0FC6" w:rsidRPr="00075B32" w:rsidRDefault="003A0FC6" w:rsidP="00075B32">
      <w:pPr>
        <w:pStyle w:val="Source"/>
        <w:rPr>
          <w:rStyle w:val="Hyperlink"/>
          <w:color w:val="auto"/>
        </w:rPr>
      </w:pPr>
      <w:r w:rsidRPr="00075B32">
        <w:t xml:space="preserve">Source: </w:t>
      </w:r>
      <w:r w:rsidR="00645008" w:rsidRPr="00075B32">
        <w:tab/>
      </w:r>
      <w:r w:rsidRPr="00075B32">
        <w:t>Human Fertility Database, Short Term Fertility Fluctuations 2023</w:t>
      </w:r>
      <w:r w:rsidR="00E045D0" w:rsidRPr="00075B32">
        <w:t xml:space="preserve"> </w:t>
      </w:r>
      <w:r w:rsidR="006E1A1D" w:rsidRPr="00075B32">
        <w:t>and</w:t>
      </w:r>
      <w:r w:rsidR="00E045D0" w:rsidRPr="00075B32">
        <w:t xml:space="preserve"> </w:t>
      </w:r>
      <w:r w:rsidR="009E5FB5" w:rsidRPr="00075B32">
        <w:t>ABS</w:t>
      </w:r>
      <w:r w:rsidR="00530153" w:rsidRPr="00075B32">
        <w:t>,</w:t>
      </w:r>
      <w:r w:rsidR="00E045D0" w:rsidRPr="00075B32">
        <w:t xml:space="preserve"> Births, Australia 2022</w:t>
      </w:r>
      <w:r w:rsidR="008D5953" w:rsidRPr="00075B32">
        <w:t>.</w:t>
      </w:r>
    </w:p>
    <w:p w14:paraId="57D15968" w14:textId="44330BF4" w:rsidR="00EC4CBC" w:rsidRPr="00890F47" w:rsidRDefault="003A0FC6" w:rsidP="00A57596">
      <w:pPr>
        <w:rPr>
          <w:rFonts w:eastAsiaTheme="minorHAnsi"/>
          <w:color w:val="000000"/>
        </w:rPr>
      </w:pPr>
      <w:r>
        <w:t xml:space="preserve">Fertility varies </w:t>
      </w:r>
      <w:r w:rsidR="002B4983">
        <w:t>depending on people</w:t>
      </w:r>
      <w:r w:rsidR="004B14AB">
        <w:t>’</w:t>
      </w:r>
      <w:r w:rsidR="002B4983">
        <w:t xml:space="preserve">s </w:t>
      </w:r>
      <w:r w:rsidR="007C60F9">
        <w:t>background</w:t>
      </w:r>
      <w:r w:rsidR="008D12DC">
        <w:t xml:space="preserve">. </w:t>
      </w:r>
      <w:r w:rsidR="00E30953">
        <w:t xml:space="preserve">Between </w:t>
      </w:r>
      <w:r w:rsidR="007B3611">
        <w:t xml:space="preserve">2020 </w:t>
      </w:r>
      <w:r w:rsidR="008E227D">
        <w:t xml:space="preserve">and </w:t>
      </w:r>
      <w:r w:rsidR="007B3611">
        <w:t>2022</w:t>
      </w:r>
      <w:r w:rsidR="008E227D">
        <w:t>,</w:t>
      </w:r>
      <w:r w:rsidR="007B3611">
        <w:t xml:space="preserve"> o</w:t>
      </w:r>
      <w:r>
        <w:t>verseas</w:t>
      </w:r>
      <w:r w:rsidR="004B14AB">
        <w:noBreakHyphen/>
      </w:r>
      <w:r>
        <w:t xml:space="preserve">born women </w:t>
      </w:r>
      <w:r w:rsidR="007B3611">
        <w:t xml:space="preserve">had </w:t>
      </w:r>
      <w:r>
        <w:t>lower fertility rates than Australian</w:t>
      </w:r>
      <w:r w:rsidR="004B14AB">
        <w:noBreakHyphen/>
      </w:r>
      <w:r>
        <w:t>born women</w:t>
      </w:r>
      <w:r w:rsidR="00487C07">
        <w:t xml:space="preserve"> </w:t>
      </w:r>
      <w:r w:rsidR="001F174F">
        <w:t>(</w:t>
      </w:r>
      <w:r w:rsidR="00396744">
        <w:t>1.51</w:t>
      </w:r>
      <w:r>
        <w:t xml:space="preserve"> babies per wom</w:t>
      </w:r>
      <w:r w:rsidR="00292E4C">
        <w:t>a</w:t>
      </w:r>
      <w:r>
        <w:t xml:space="preserve">n compared to </w:t>
      </w:r>
      <w:r w:rsidR="00E172DE">
        <w:t>1.70</w:t>
      </w:r>
      <w:r w:rsidR="001F174F">
        <w:t>)</w:t>
      </w:r>
      <w:r w:rsidR="00FC766A">
        <w:t>.</w:t>
      </w:r>
      <w:r w:rsidR="002423D5">
        <w:rPr>
          <w:rStyle w:val="FootnoteReference"/>
        </w:rPr>
        <w:footnoteReference w:id="7"/>
      </w:r>
      <w:r w:rsidR="00EC4CBC">
        <w:t xml:space="preserve"> </w:t>
      </w:r>
      <w:r w:rsidR="00897ADA">
        <w:rPr>
          <w:color w:val="000000"/>
        </w:rPr>
        <w:t xml:space="preserve">However, this varies by </w:t>
      </w:r>
      <w:r w:rsidR="008E227D">
        <w:rPr>
          <w:color w:val="000000"/>
        </w:rPr>
        <w:t>the mother</w:t>
      </w:r>
      <w:r w:rsidR="004B14AB">
        <w:rPr>
          <w:color w:val="000000"/>
        </w:rPr>
        <w:t>’</w:t>
      </w:r>
      <w:r w:rsidR="008E227D">
        <w:rPr>
          <w:color w:val="000000"/>
        </w:rPr>
        <w:t>s</w:t>
      </w:r>
      <w:r w:rsidR="00981A4F">
        <w:rPr>
          <w:color w:val="000000"/>
        </w:rPr>
        <w:t> </w:t>
      </w:r>
      <w:r w:rsidR="008E227D">
        <w:rPr>
          <w:color w:val="000000"/>
        </w:rPr>
        <w:t>age</w:t>
      </w:r>
      <w:r w:rsidR="00897ADA">
        <w:rPr>
          <w:color w:val="000000"/>
        </w:rPr>
        <w:t xml:space="preserve">. Under </w:t>
      </w:r>
      <w:r w:rsidR="00742F8D">
        <w:rPr>
          <w:color w:val="000000"/>
        </w:rPr>
        <w:t>the age of 35 years</w:t>
      </w:r>
      <w:r w:rsidR="00897ADA">
        <w:rPr>
          <w:color w:val="000000"/>
        </w:rPr>
        <w:t>, overseas</w:t>
      </w:r>
      <w:r w:rsidR="004B14AB">
        <w:rPr>
          <w:color w:val="000000"/>
        </w:rPr>
        <w:noBreakHyphen/>
      </w:r>
      <w:r w:rsidR="00897ADA">
        <w:rPr>
          <w:color w:val="000000"/>
        </w:rPr>
        <w:t>born women have lower age</w:t>
      </w:r>
      <w:r w:rsidR="004B14AB">
        <w:rPr>
          <w:color w:val="000000"/>
        </w:rPr>
        <w:noBreakHyphen/>
      </w:r>
      <w:r w:rsidR="00897ADA">
        <w:rPr>
          <w:color w:val="000000"/>
        </w:rPr>
        <w:t>specific fertility rates than Australian</w:t>
      </w:r>
      <w:r w:rsidR="004B14AB">
        <w:rPr>
          <w:color w:val="000000"/>
        </w:rPr>
        <w:noBreakHyphen/>
      </w:r>
      <w:r w:rsidR="00897ADA">
        <w:rPr>
          <w:color w:val="000000"/>
        </w:rPr>
        <w:t xml:space="preserve">born women, while those </w:t>
      </w:r>
      <w:r w:rsidR="00956E56">
        <w:rPr>
          <w:color w:val="000000"/>
        </w:rPr>
        <w:t xml:space="preserve">35 and </w:t>
      </w:r>
      <w:r w:rsidR="00897ADA">
        <w:rPr>
          <w:color w:val="000000"/>
        </w:rPr>
        <w:t>over have higher fertility rates. This is likely due to temporary migra</w:t>
      </w:r>
      <w:r w:rsidR="005E3753">
        <w:rPr>
          <w:color w:val="000000"/>
        </w:rPr>
        <w:t>n</w:t>
      </w:r>
      <w:r w:rsidR="00897ADA">
        <w:rPr>
          <w:color w:val="000000"/>
        </w:rPr>
        <w:t>t</w:t>
      </w:r>
      <w:r w:rsidR="005E3753">
        <w:rPr>
          <w:color w:val="000000"/>
        </w:rPr>
        <w:t>s</w:t>
      </w:r>
      <w:r w:rsidR="003F4F32">
        <w:rPr>
          <w:color w:val="000000"/>
        </w:rPr>
        <w:t>, such as</w:t>
      </w:r>
      <w:r w:rsidR="00897ADA">
        <w:rPr>
          <w:color w:val="000000"/>
        </w:rPr>
        <w:t xml:space="preserve"> international students</w:t>
      </w:r>
      <w:r w:rsidR="000C6F40">
        <w:rPr>
          <w:color w:val="000000"/>
        </w:rPr>
        <w:t>,</w:t>
      </w:r>
      <w:r w:rsidR="00897ADA">
        <w:rPr>
          <w:color w:val="000000"/>
        </w:rPr>
        <w:t xml:space="preserve"> who have </w:t>
      </w:r>
      <w:r w:rsidR="009B37F1">
        <w:rPr>
          <w:color w:val="000000"/>
        </w:rPr>
        <w:t xml:space="preserve">low </w:t>
      </w:r>
      <w:r w:rsidR="00897ADA">
        <w:rPr>
          <w:color w:val="000000"/>
        </w:rPr>
        <w:t>fertility rates</w:t>
      </w:r>
      <w:r w:rsidR="009D4064">
        <w:rPr>
          <w:color w:val="000000"/>
        </w:rPr>
        <w:t>.</w:t>
      </w:r>
      <w:r w:rsidR="00F94A9B">
        <w:rPr>
          <w:rStyle w:val="FootnoteReference"/>
          <w:color w:val="000000"/>
        </w:rPr>
        <w:footnoteReference w:id="8"/>
      </w:r>
      <w:r w:rsidR="000B23E5">
        <w:rPr>
          <w:color w:val="000000"/>
        </w:rPr>
        <w:t xml:space="preserve"> </w:t>
      </w:r>
      <w:r w:rsidR="0052635A">
        <w:t xml:space="preserve">The total fertility rate for Aboriginal and </w:t>
      </w:r>
      <w:r w:rsidR="00377429">
        <w:t>Torres Strait Islander</w:t>
      </w:r>
      <w:r w:rsidR="0052635A">
        <w:t xml:space="preserve"> women was 2.35 babies per woman in the 2022 calendar year,</w:t>
      </w:r>
      <w:r w:rsidR="0052635A" w:rsidRPr="00663AFE">
        <w:rPr>
          <w:rStyle w:val="FootnoteReference"/>
        </w:rPr>
        <w:t xml:space="preserve"> </w:t>
      </w:r>
      <w:r w:rsidR="0052635A">
        <w:t>higher than for all Australian women (1.63) and the replacement rate (2.1).</w:t>
      </w:r>
      <w:r w:rsidR="009F228C">
        <w:rPr>
          <w:rStyle w:val="FootnoteReference"/>
        </w:rPr>
        <w:footnoteReference w:id="9"/>
      </w:r>
      <w:r w:rsidR="008401F1">
        <w:t xml:space="preserve"> </w:t>
      </w:r>
      <w:r w:rsidR="0052635A">
        <w:rPr>
          <w:rStyle w:val="FootnoteReference"/>
        </w:rPr>
        <w:footnoteReference w:id="10"/>
      </w:r>
    </w:p>
    <w:p w14:paraId="35FA3609" w14:textId="0E2D478A" w:rsidR="00B2462A" w:rsidRDefault="00EA4079" w:rsidP="00A57596">
      <w:r>
        <w:t xml:space="preserve">In recent decades, </w:t>
      </w:r>
      <w:r w:rsidR="00955D5F">
        <w:t>women have been having children later</w:t>
      </w:r>
      <w:r w:rsidR="006677C5">
        <w:t xml:space="preserve"> in life</w:t>
      </w:r>
      <w:r>
        <w:t xml:space="preserve">. For births registered in </w:t>
      </w:r>
      <w:r w:rsidR="00C333D7">
        <w:t xml:space="preserve">the </w:t>
      </w:r>
      <w:r>
        <w:t>2022</w:t>
      </w:r>
      <w:r w:rsidR="00C333D7">
        <w:t xml:space="preserve"> calendar year</w:t>
      </w:r>
      <w:r>
        <w:t>, the median age of mothers was 31.9</w:t>
      </w:r>
      <w:r w:rsidR="00E81F0C">
        <w:t> </w:t>
      </w:r>
      <w:r>
        <w:t>years, compare</w:t>
      </w:r>
      <w:r w:rsidR="00863379">
        <w:t>d</w:t>
      </w:r>
      <w:r>
        <w:t xml:space="preserve"> to </w:t>
      </w:r>
      <w:r w:rsidR="001D0656">
        <w:t>2</w:t>
      </w:r>
      <w:r w:rsidR="00B72FD8">
        <w:t>5.8</w:t>
      </w:r>
      <w:r>
        <w:t xml:space="preserve"> years in </w:t>
      </w:r>
      <w:r w:rsidR="001D0656">
        <w:t>1975</w:t>
      </w:r>
      <w:r w:rsidR="00DC7FC7">
        <w:t xml:space="preserve"> </w:t>
      </w:r>
      <w:r w:rsidR="00DC7FC7" w:rsidRPr="00A57596">
        <w:t>(</w:t>
      </w:r>
      <w:r w:rsidR="00085165">
        <w:fldChar w:fldCharType="begin"/>
      </w:r>
      <w:r w:rsidR="00085165">
        <w:instrText xml:space="preserve"> REF _Ref149841619 \r \h </w:instrText>
      </w:r>
      <w:r w:rsidR="00085165">
        <w:fldChar w:fldCharType="separate"/>
      </w:r>
      <w:r w:rsidR="00CE6FEA">
        <w:t>Chart 8</w:t>
      </w:r>
      <w:r w:rsidR="00085165">
        <w:fldChar w:fldCharType="end"/>
      </w:r>
      <w:r w:rsidR="00DC7FC7" w:rsidRPr="00A57596">
        <w:t>)</w:t>
      </w:r>
      <w:r w:rsidR="00863379">
        <w:t xml:space="preserve">. This reflects </w:t>
      </w:r>
      <w:r>
        <w:t>declining fertility rates among women under 30</w:t>
      </w:r>
      <w:r w:rsidR="00D3459D">
        <w:t xml:space="preserve"> and rising fer</w:t>
      </w:r>
      <w:r w:rsidR="009F35D4">
        <w:t xml:space="preserve">tility rates for women aged </w:t>
      </w:r>
      <w:r w:rsidR="0054089F" w:rsidRPr="0081487B">
        <w:t>30</w:t>
      </w:r>
      <w:r w:rsidR="009246BB">
        <w:t xml:space="preserve"> and over</w:t>
      </w:r>
      <w:r>
        <w:t>. Women aged 2</w:t>
      </w:r>
      <w:r w:rsidR="00F35754">
        <w:t>0</w:t>
      </w:r>
      <w:r>
        <w:t xml:space="preserve"> to 2</w:t>
      </w:r>
      <w:r w:rsidR="00F35754">
        <w:t>4</w:t>
      </w:r>
      <w:r>
        <w:t xml:space="preserve"> have seen the largest </w:t>
      </w:r>
      <w:r w:rsidR="000151DE">
        <w:t xml:space="preserve">fertility </w:t>
      </w:r>
      <w:r>
        <w:t>decrease, falling from 1</w:t>
      </w:r>
      <w:r w:rsidR="00542CEF">
        <w:t>33</w:t>
      </w:r>
      <w:r>
        <w:t>.</w:t>
      </w:r>
      <w:r w:rsidR="00542CEF">
        <w:t>9</w:t>
      </w:r>
      <w:r>
        <w:t xml:space="preserve"> </w:t>
      </w:r>
      <w:r w:rsidR="000151DE">
        <w:t xml:space="preserve">babies per 1,000 women in 1975 </w:t>
      </w:r>
      <w:r>
        <w:t xml:space="preserve">to </w:t>
      </w:r>
      <w:r w:rsidR="00AD0C17">
        <w:t>36.7</w:t>
      </w:r>
      <w:r>
        <w:t xml:space="preserve"> babies per</w:t>
      </w:r>
      <w:r w:rsidR="00663AFE">
        <w:t> </w:t>
      </w:r>
      <w:r>
        <w:t>1,000</w:t>
      </w:r>
      <w:r w:rsidR="00663AFE">
        <w:t> </w:t>
      </w:r>
      <w:r>
        <w:t>women in 2022. Women aged 35</w:t>
      </w:r>
      <w:r w:rsidR="00742F8D">
        <w:t xml:space="preserve"> to </w:t>
      </w:r>
      <w:r>
        <w:t xml:space="preserve">39 have seen the largest increase in fertility, increasing from </w:t>
      </w:r>
      <w:r w:rsidR="004A1328">
        <w:t>26.0</w:t>
      </w:r>
      <w:r>
        <w:t xml:space="preserve"> to 69.3 babies per 1000 women</w:t>
      </w:r>
      <w:r w:rsidR="000151DE">
        <w:t xml:space="preserve"> over the same period</w:t>
      </w:r>
      <w:r>
        <w:t>. Women aged 30 to 34</w:t>
      </w:r>
      <w:r w:rsidR="00377429">
        <w:t> year</w:t>
      </w:r>
      <w:r>
        <w:t xml:space="preserve">s </w:t>
      </w:r>
      <w:r w:rsidR="00C03D26">
        <w:t xml:space="preserve">(who </w:t>
      </w:r>
      <w:r w:rsidDel="008333C5">
        <w:t xml:space="preserve">had </w:t>
      </w:r>
      <w:r>
        <w:t xml:space="preserve">the highest fertility rate </w:t>
      </w:r>
      <w:r w:rsidR="008333C5">
        <w:t>in 2022</w:t>
      </w:r>
      <w:r w:rsidR="00C03D26">
        <w:t>) also ha</w:t>
      </w:r>
      <w:r w:rsidR="00F869A2">
        <w:t>d</w:t>
      </w:r>
      <w:r w:rsidR="00C03D26">
        <w:t xml:space="preserve"> a </w:t>
      </w:r>
      <w:r w:rsidR="00000FD5">
        <w:t xml:space="preserve">substantial increase in fertility, increasing from </w:t>
      </w:r>
      <w:r w:rsidR="00C53F29">
        <w:t>74.1</w:t>
      </w:r>
      <w:r w:rsidR="00375269">
        <w:t xml:space="preserve"> to </w:t>
      </w:r>
      <w:r w:rsidR="007D5691">
        <w:t>114.</w:t>
      </w:r>
      <w:r w:rsidR="000151DE">
        <w:t>9 </w:t>
      </w:r>
      <w:r w:rsidR="007D5691">
        <w:t>babies per</w:t>
      </w:r>
      <w:r w:rsidR="00663AFE">
        <w:t> </w:t>
      </w:r>
      <w:r w:rsidR="00BD0124">
        <w:t>1000</w:t>
      </w:r>
      <w:r w:rsidR="00663AFE">
        <w:t> </w:t>
      </w:r>
      <w:r w:rsidR="007D5691">
        <w:t>wom</w:t>
      </w:r>
      <w:r w:rsidR="00BD0124">
        <w:t>e</w:t>
      </w:r>
      <w:r w:rsidR="007D5691">
        <w:t>n</w:t>
      </w:r>
      <w:r>
        <w:t>.</w:t>
      </w:r>
    </w:p>
    <w:p w14:paraId="6C5AFC2A" w14:textId="1EBBDF46" w:rsidR="00B2462A" w:rsidRDefault="00633AB5" w:rsidP="00472F44">
      <w:pPr>
        <w:pStyle w:val="ChartMainHeading"/>
      </w:pPr>
      <w:bookmarkStart w:id="70" w:name="_Ref149841619"/>
      <w:bookmarkEnd w:id="67"/>
      <w:r w:rsidRPr="00645008">
        <w:lastRenderedPageBreak/>
        <w:t xml:space="preserve">Proportion of mothers aged 15 to </w:t>
      </w:r>
      <w:r w:rsidR="00985A91" w:rsidRPr="00645008">
        <w:t>49</w:t>
      </w:r>
      <w:r w:rsidR="00A563FA" w:rsidRPr="00645008">
        <w:t xml:space="preserve"> at birth of child</w:t>
      </w:r>
      <w:bookmarkEnd w:id="70"/>
    </w:p>
    <w:p w14:paraId="51F58565" w14:textId="4F626A87" w:rsidR="006B5686" w:rsidRPr="006B5686" w:rsidRDefault="00EF2A78" w:rsidP="00075B32">
      <w:pPr>
        <w:pStyle w:val="ChartGraphic"/>
      </w:pPr>
      <w:r w:rsidRPr="00EF2A78">
        <w:rPr>
          <w:noProof/>
        </w:rPr>
        <w:drawing>
          <wp:inline distT="0" distB="0" distL="0" distR="0" wp14:anchorId="66107215" wp14:editId="2EC7C491">
            <wp:extent cx="5568315" cy="2852420"/>
            <wp:effectExtent l="0" t="0" r="0" b="0"/>
            <wp:docPr id="2" name="Picture 2" descr="This bar shows the proportion of mothers aged 15-49 at birth of child in 1975 and 2022.  The highest proportion of mothers having children was at age 25 in 1975 and age 32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bar shows the proportion of mothers aged 15-49 at birth of child in 1975 and 2022.  The highest proportion of mothers having children was at age 25 in 1975 and age 32 in 2022.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8315" cy="2852420"/>
                    </a:xfrm>
                    <a:prstGeom prst="rect">
                      <a:avLst/>
                    </a:prstGeom>
                    <a:noFill/>
                    <a:ln>
                      <a:noFill/>
                    </a:ln>
                  </pic:spPr>
                </pic:pic>
              </a:graphicData>
            </a:graphic>
          </wp:inline>
        </w:drawing>
      </w:r>
    </w:p>
    <w:p w14:paraId="64958575" w14:textId="56DFCC8D" w:rsidR="00A116E3" w:rsidRPr="00F67DB6" w:rsidRDefault="00B2462A" w:rsidP="00472F44">
      <w:pPr>
        <w:pStyle w:val="Source"/>
        <w:spacing w:before="0"/>
        <w:rPr>
          <w:rStyle w:val="Hyperlink"/>
          <w:color w:val="000000"/>
          <w:sz w:val="20"/>
        </w:rPr>
      </w:pPr>
      <w:r w:rsidRPr="00645008">
        <w:t xml:space="preserve">Source: </w:t>
      </w:r>
      <w:r w:rsidR="00645008">
        <w:tab/>
      </w:r>
      <w:r w:rsidR="00D171CB" w:rsidRPr="00645008">
        <w:t>ABS</w:t>
      </w:r>
      <w:r w:rsidR="00A25395" w:rsidRPr="00645008">
        <w:t>, Births, Australia 2022</w:t>
      </w:r>
      <w:r w:rsidRPr="00645008">
        <w:t>.</w:t>
      </w:r>
    </w:p>
    <w:p w14:paraId="54649430" w14:textId="751538EB" w:rsidR="00432153" w:rsidRDefault="00432153">
      <w:pPr>
        <w:spacing w:before="0" w:after="160" w:line="259" w:lineRule="auto"/>
        <w:rPr>
          <w:rStyle w:val="Hyperlink"/>
          <w:sz w:val="18"/>
          <w:bdr w:val="none" w:sz="0" w:space="0" w:color="auto" w:frame="1"/>
        </w:rPr>
      </w:pPr>
      <w:r>
        <w:rPr>
          <w:rStyle w:val="Hyperlink"/>
        </w:rPr>
        <w:br w:type="page"/>
      </w:r>
    </w:p>
    <w:tbl>
      <w:tblPr>
        <w:tblStyle w:val="TableGrid"/>
        <w:tblW w:w="0" w:type="auto"/>
        <w:tblLook w:val="04A0" w:firstRow="1" w:lastRow="0" w:firstColumn="1" w:lastColumn="0" w:noHBand="0" w:noVBand="1"/>
      </w:tblPr>
      <w:tblGrid>
        <w:gridCol w:w="9072"/>
      </w:tblGrid>
      <w:tr w:rsidR="00562AC4" w:rsidRPr="003B6850" w14:paraId="0BFB12B8" w14:textId="77777777" w:rsidTr="00E40F80">
        <w:trPr>
          <w:trHeight w:val="293"/>
        </w:trPr>
        <w:tc>
          <w:tcPr>
            <w:tcW w:w="9072" w:type="dxa"/>
          </w:tcPr>
          <w:p w14:paraId="70F1CB69" w14:textId="4C4A080B" w:rsidR="00562AC4" w:rsidRPr="00645008" w:rsidRDefault="003E1CFE" w:rsidP="00645008">
            <w:pPr>
              <w:pStyle w:val="BoxHeading"/>
            </w:pPr>
            <w:bookmarkStart w:id="71" w:name="_Hlk115335024"/>
            <w:r w:rsidRPr="00645008">
              <w:lastRenderedPageBreak/>
              <w:t>Family size</w:t>
            </w:r>
            <w:r w:rsidR="006C7D43" w:rsidRPr="00645008">
              <w:t>: Insights from the ABS Census</w:t>
            </w:r>
            <w:r w:rsidR="008B5B82" w:rsidRPr="00645008">
              <w:t xml:space="preserve"> 2021</w:t>
            </w:r>
          </w:p>
          <w:p w14:paraId="70CC7CCC" w14:textId="3C47F617" w:rsidR="00AE7382" w:rsidRPr="009843B8" w:rsidRDefault="00AE7382" w:rsidP="00180B98">
            <w:pPr>
              <w:pStyle w:val="Bullet"/>
              <w:numPr>
                <w:ilvl w:val="0"/>
                <w:numId w:val="0"/>
              </w:numPr>
              <w:rPr>
                <w:rFonts w:cstheme="minorHAnsi"/>
              </w:rPr>
            </w:pPr>
            <w:bookmarkStart w:id="72" w:name="_Hlk153270567"/>
            <w:bookmarkStart w:id="73" w:name="_Ref116654003"/>
            <w:bookmarkEnd w:id="71"/>
            <w:r w:rsidRPr="00CB6D1A">
              <w:t xml:space="preserve">Australian families </w:t>
            </w:r>
            <w:r w:rsidR="007C7C84">
              <w:t>have</w:t>
            </w:r>
            <w:r w:rsidRPr="00CB6D1A">
              <w:t xml:space="preserve"> become smaller with women having fewer children. There has been a significant decrease in the proportion of women who</w:t>
            </w:r>
            <w:r w:rsidR="00B15742">
              <w:t>,</w:t>
            </w:r>
            <w:r w:rsidRPr="005E522C">
              <w:t xml:space="preserve"> </w:t>
            </w:r>
            <w:r w:rsidR="00B15742">
              <w:t>over their lifetime,</w:t>
            </w:r>
            <w:r w:rsidRPr="00CB6D1A">
              <w:t xml:space="preserve"> have </w:t>
            </w:r>
            <w:r w:rsidR="004B7CAE">
              <w:t>3</w:t>
            </w:r>
            <w:r w:rsidRPr="00CB6D1A">
              <w:t xml:space="preserve"> or more children compared to 40 years ago</w:t>
            </w:r>
            <w:r w:rsidR="000B0FF0" w:rsidRPr="00CB6D1A">
              <w:t xml:space="preserve">, </w:t>
            </w:r>
            <w:r w:rsidRPr="00CB6D1A">
              <w:t xml:space="preserve">falling from </w:t>
            </w:r>
            <w:r w:rsidRPr="009843B8">
              <w:rPr>
                <w:rFonts w:cstheme="minorHAnsi"/>
              </w:rPr>
              <w:t>55</w:t>
            </w:r>
            <w:r w:rsidR="001F3B6F">
              <w:t> per cent</w:t>
            </w:r>
            <w:r w:rsidRPr="009843B8">
              <w:rPr>
                <w:rFonts w:cstheme="minorHAnsi"/>
              </w:rPr>
              <w:t xml:space="preserve"> in 1986 to 30</w:t>
            </w:r>
            <w:r w:rsidR="001F3B6F">
              <w:t> per cent</w:t>
            </w:r>
            <w:r w:rsidRPr="009843B8">
              <w:rPr>
                <w:rFonts w:cstheme="minorHAnsi"/>
              </w:rPr>
              <w:t xml:space="preserve"> in 2021</w:t>
            </w:r>
            <w:r w:rsidR="009337AB">
              <w:rPr>
                <w:rFonts w:cstheme="minorHAnsi"/>
              </w:rPr>
              <w:t>.</w:t>
            </w:r>
            <w:r w:rsidR="00BB7576">
              <w:rPr>
                <w:rStyle w:val="FootnoteReference"/>
                <w:rFonts w:cstheme="minorHAnsi"/>
              </w:rPr>
              <w:footnoteReference w:id="11"/>
            </w:r>
            <w:r w:rsidR="00660EF4" w:rsidRPr="00CB6D1A">
              <w:t xml:space="preserve"> The number of</w:t>
            </w:r>
            <w:r w:rsidRPr="00CB6D1A">
              <w:t xml:space="preserve"> women having one child </w:t>
            </w:r>
            <w:r w:rsidR="00C7260E" w:rsidRPr="00CB6D1A">
              <w:t xml:space="preserve">has </w:t>
            </w:r>
            <w:r w:rsidRPr="009843B8">
              <w:rPr>
                <w:rFonts w:cstheme="minorHAnsi"/>
              </w:rPr>
              <w:t>increas</w:t>
            </w:r>
            <w:r w:rsidR="00C7260E" w:rsidRPr="009843B8">
              <w:rPr>
                <w:rFonts w:cstheme="minorHAnsi"/>
              </w:rPr>
              <w:t>ed</w:t>
            </w:r>
            <w:r w:rsidRPr="009843B8">
              <w:rPr>
                <w:rFonts w:cstheme="minorHAnsi"/>
              </w:rPr>
              <w:t xml:space="preserve"> from 8</w:t>
            </w:r>
            <w:r w:rsidR="001F3B6F">
              <w:t> per cent</w:t>
            </w:r>
            <w:r w:rsidRPr="009843B8">
              <w:rPr>
                <w:rFonts w:cstheme="minorHAnsi"/>
              </w:rPr>
              <w:t xml:space="preserve"> in 1986 to 15</w:t>
            </w:r>
            <w:r w:rsidR="001F3B6F">
              <w:t> per cent</w:t>
            </w:r>
            <w:r w:rsidRPr="009843B8">
              <w:rPr>
                <w:rFonts w:cstheme="minorHAnsi"/>
              </w:rPr>
              <w:t xml:space="preserve"> in 2021</w:t>
            </w:r>
            <w:r w:rsidRPr="00CB6D1A">
              <w:t xml:space="preserve">. There are also more women </w:t>
            </w:r>
            <w:r w:rsidRPr="009843B8" w:rsidDel="00CA5CC0">
              <w:rPr>
                <w:rFonts w:cstheme="minorHAnsi"/>
              </w:rPr>
              <w:t xml:space="preserve">without children </w:t>
            </w:r>
            <w:r w:rsidRPr="009843B8">
              <w:rPr>
                <w:rFonts w:cstheme="minorHAnsi"/>
              </w:rPr>
              <w:t>over their lifetime (increasing from 9</w:t>
            </w:r>
            <w:r w:rsidR="001F3B6F">
              <w:t> per cent</w:t>
            </w:r>
            <w:r w:rsidRPr="009843B8">
              <w:rPr>
                <w:rFonts w:cstheme="minorHAnsi"/>
              </w:rPr>
              <w:t xml:space="preserve"> to 16</w:t>
            </w:r>
            <w:r w:rsidR="001F3B6F">
              <w:t> per cent</w:t>
            </w:r>
            <w:r w:rsidRPr="009843B8">
              <w:rPr>
                <w:rFonts w:cstheme="minorHAnsi"/>
              </w:rPr>
              <w:t>).</w:t>
            </w:r>
          </w:p>
          <w:p w14:paraId="6FDCA2CE" w14:textId="3F43EC21" w:rsidR="00AE7382" w:rsidRPr="009843B8" w:rsidRDefault="00B02967" w:rsidP="009843B8">
            <w:pPr>
              <w:pStyle w:val="BoxText"/>
            </w:pPr>
            <w:r w:rsidRPr="009843B8">
              <w:t xml:space="preserve">Women with higher educational attainment are more likely to delay having children, have fewer children overall and </w:t>
            </w:r>
            <w:r w:rsidR="009F0D72" w:rsidRPr="009843B8">
              <w:t xml:space="preserve">are less </w:t>
            </w:r>
            <w:r w:rsidRPr="009843B8">
              <w:t xml:space="preserve">likely to </w:t>
            </w:r>
            <w:r w:rsidR="009F0D72" w:rsidRPr="009843B8">
              <w:t>have children</w:t>
            </w:r>
            <w:r w:rsidRPr="009843B8">
              <w:t>.</w:t>
            </w:r>
            <w:r w:rsidR="001D747C" w:rsidRPr="009843B8">
              <w:t xml:space="preserve"> </w:t>
            </w:r>
            <w:r w:rsidR="00C44A37">
              <w:t>They</w:t>
            </w:r>
            <w:r w:rsidR="000D634F" w:rsidRPr="009843B8">
              <w:t xml:space="preserve"> are more likely to postpone the timing of their first birth</w:t>
            </w:r>
            <w:r w:rsidR="005574EA" w:rsidRPr="009843B8">
              <w:t xml:space="preserve"> due to the time taken to complete education, develop careers and achieve financial security</w:t>
            </w:r>
            <w:r w:rsidR="000D634F" w:rsidRPr="009843B8">
              <w:t xml:space="preserve">. </w:t>
            </w:r>
            <w:r w:rsidR="008E555E" w:rsidRPr="009843B8">
              <w:t xml:space="preserve">Data from </w:t>
            </w:r>
            <w:r w:rsidR="00F12829" w:rsidRPr="009843B8">
              <w:t>2021</w:t>
            </w:r>
            <w:r w:rsidR="008E555E" w:rsidRPr="009843B8">
              <w:t xml:space="preserve"> shows</w:t>
            </w:r>
            <w:r w:rsidR="001D747C" w:rsidRPr="009843B8">
              <w:t xml:space="preserve"> 84</w:t>
            </w:r>
            <w:r w:rsidR="001F3B6F">
              <w:t> per cent</w:t>
            </w:r>
            <w:r w:rsidR="001D747C" w:rsidRPr="009843B8">
              <w:t xml:space="preserve"> of women with higher education </w:t>
            </w:r>
            <w:r w:rsidR="00945178" w:rsidRPr="009843B8">
              <w:t>aged 25 to 29</w:t>
            </w:r>
            <w:r w:rsidR="00377429">
              <w:t> year</w:t>
            </w:r>
            <w:r w:rsidR="00945178" w:rsidRPr="009843B8">
              <w:t xml:space="preserve">s, </w:t>
            </w:r>
            <w:r w:rsidR="00AA2568" w:rsidRPr="009843B8">
              <w:t>do not have</w:t>
            </w:r>
            <w:r w:rsidR="001D747C" w:rsidRPr="009843B8">
              <w:t xml:space="preserve"> children, compared to 59</w:t>
            </w:r>
            <w:r w:rsidR="001F3B6F">
              <w:t> per cent</w:t>
            </w:r>
            <w:r w:rsidR="001D747C" w:rsidRPr="009843B8">
              <w:t xml:space="preserve"> of women with lower levels of educational </w:t>
            </w:r>
            <w:r w:rsidR="00004CF9" w:rsidRPr="009843B8">
              <w:t>attainment</w:t>
            </w:r>
            <w:r w:rsidR="00004CF9">
              <w:t xml:space="preserve"> (</w:t>
            </w:r>
            <w:r w:rsidR="000B0981">
              <w:fldChar w:fldCharType="begin"/>
            </w:r>
            <w:r w:rsidR="000B0981">
              <w:instrText xml:space="preserve"> REF _Ref152190906 \r \h </w:instrText>
            </w:r>
            <w:r w:rsidR="000B0981">
              <w:fldChar w:fldCharType="separate"/>
            </w:r>
            <w:r w:rsidR="00CE6FEA">
              <w:t>Chart 9</w:t>
            </w:r>
            <w:r w:rsidR="000B0981">
              <w:fldChar w:fldCharType="end"/>
            </w:r>
            <w:r w:rsidR="00AE7382" w:rsidRPr="00CB6D1A">
              <w:t>).</w:t>
            </w:r>
            <w:r w:rsidR="001014E1" w:rsidRPr="005653B0">
              <w:rPr>
                <w:rStyle w:val="FootnoteReference"/>
              </w:rPr>
              <w:footnoteReference w:id="12"/>
            </w:r>
            <w:r w:rsidR="00AE7382" w:rsidRPr="009843B8">
              <w:t xml:space="preserve"> </w:t>
            </w:r>
            <w:r w:rsidR="00AE7382" w:rsidRPr="00CB6D1A">
              <w:t>By age 34, 48</w:t>
            </w:r>
            <w:r w:rsidR="001F3B6F">
              <w:t> per cent</w:t>
            </w:r>
            <w:r w:rsidR="00AE7382" w:rsidRPr="00CB6D1A">
              <w:t xml:space="preserve"> of women with higher education had become mothers, reaching 73</w:t>
            </w:r>
            <w:r w:rsidR="001F3B6F">
              <w:t> per cent</w:t>
            </w:r>
            <w:r w:rsidR="00AE7382" w:rsidRPr="00CB6D1A">
              <w:t xml:space="preserve"> by age 39 (compared to </w:t>
            </w:r>
            <w:r w:rsidR="006202A7" w:rsidRPr="00CB6D1A">
              <w:t>66</w:t>
            </w:r>
            <w:r w:rsidR="001F3B6F">
              <w:t> per cent</w:t>
            </w:r>
            <w:r w:rsidR="00AE7382" w:rsidRPr="00CB6D1A">
              <w:t xml:space="preserve"> and </w:t>
            </w:r>
            <w:r w:rsidR="003B5F3E" w:rsidRPr="00CB6D1A">
              <w:t>79</w:t>
            </w:r>
            <w:r w:rsidR="001F3B6F">
              <w:t> per cent</w:t>
            </w:r>
            <w:r w:rsidR="00AE7382" w:rsidRPr="00CB6D1A">
              <w:t xml:space="preserve"> for people with lower education). </w:t>
            </w:r>
            <w:r w:rsidR="00AE7382" w:rsidRPr="009843B8">
              <w:t xml:space="preserve">This gap becomes smaller by the time women reach their 40s. </w:t>
            </w:r>
          </w:p>
          <w:p w14:paraId="72E778E1" w14:textId="35ACB551" w:rsidR="00366E42" w:rsidRPr="009843B8" w:rsidRDefault="00B02967" w:rsidP="009843B8">
            <w:pPr>
              <w:pStyle w:val="BoxText"/>
            </w:pPr>
            <w:r w:rsidRPr="009843B8">
              <w:t xml:space="preserve">Compared to other occupational groups, school teachers and healthcare workers </w:t>
            </w:r>
            <w:r w:rsidR="00494452" w:rsidRPr="009843B8">
              <w:t xml:space="preserve">are more likely to have children, and </w:t>
            </w:r>
            <w:r w:rsidRPr="009843B8">
              <w:t>tend to have more children.</w:t>
            </w:r>
            <w:r w:rsidR="00DF1816" w:rsidRPr="005653B0">
              <w:rPr>
                <w:rStyle w:val="FootnoteReference"/>
              </w:rPr>
              <w:footnoteReference w:id="13"/>
            </w:r>
            <w:r w:rsidR="00DF1816">
              <w:t xml:space="preserve"> </w:t>
            </w:r>
            <w:r w:rsidR="00DF1816" w:rsidRPr="005653B0">
              <w:rPr>
                <w:rStyle w:val="FootnoteReference"/>
              </w:rPr>
              <w:footnoteReference w:id="14"/>
            </w:r>
            <w:r w:rsidRPr="009843B8">
              <w:t xml:space="preserve"> In contrast, university teachers </w:t>
            </w:r>
            <w:r w:rsidR="007066EB" w:rsidRPr="009843B8">
              <w:t>are</w:t>
            </w:r>
            <w:r w:rsidR="000D3D4A" w:rsidRPr="009843B8">
              <w:t xml:space="preserve"> less likely to have children and</w:t>
            </w:r>
            <w:r w:rsidRPr="009843B8">
              <w:t xml:space="preserve"> hav</w:t>
            </w:r>
            <w:r w:rsidR="00CA0D04" w:rsidRPr="009843B8">
              <w:t>e fewer</w:t>
            </w:r>
            <w:r w:rsidRPr="009843B8">
              <w:t xml:space="preserve"> children.</w:t>
            </w:r>
          </w:p>
          <w:tbl>
            <w:tblPr>
              <w:tblW w:w="5000" w:type="pct"/>
              <w:tblLook w:val="0000" w:firstRow="0" w:lastRow="0" w:firstColumn="0" w:lastColumn="0" w:noHBand="0" w:noVBand="0"/>
            </w:tblPr>
            <w:tblGrid>
              <w:gridCol w:w="4428"/>
              <w:gridCol w:w="4428"/>
            </w:tblGrid>
            <w:tr w:rsidR="00CB6D1A" w14:paraId="78B84DBE" w14:textId="77777777" w:rsidTr="005A0BF8">
              <w:trPr>
                <w:cantSplit/>
                <w:tblHeader/>
              </w:trPr>
              <w:tc>
                <w:tcPr>
                  <w:tcW w:w="8856" w:type="dxa"/>
                  <w:gridSpan w:val="2"/>
                </w:tcPr>
                <w:p w14:paraId="585CBC80" w14:textId="4D9D47FB" w:rsidR="00CB6D1A" w:rsidRDefault="00CB6D1A" w:rsidP="00CB6D1A">
                  <w:pPr>
                    <w:pStyle w:val="ChartMainHeading"/>
                  </w:pPr>
                  <w:bookmarkStart w:id="74" w:name="_Ref152190906"/>
                  <w:bookmarkEnd w:id="72"/>
                  <w:r w:rsidRPr="00645008">
                    <w:t>Number of Children born to a woman by educational attainment by age group</w:t>
                  </w:r>
                  <w:bookmarkEnd w:id="74"/>
                </w:p>
              </w:tc>
            </w:tr>
            <w:tr w:rsidR="00CB6D1A" w14:paraId="292A0733" w14:textId="77777777" w:rsidTr="009843B8">
              <w:trPr>
                <w:cantSplit/>
              </w:trPr>
              <w:tc>
                <w:tcPr>
                  <w:tcW w:w="4428" w:type="dxa"/>
                </w:tcPr>
                <w:p w14:paraId="518B6AA8" w14:textId="0449119E" w:rsidR="00CB6D1A" w:rsidRPr="009843B8" w:rsidRDefault="00CB6D1A" w:rsidP="000330AB">
                  <w:pPr>
                    <w:pStyle w:val="ChartSecondHeading"/>
                    <w:jc w:val="center"/>
                    <w:rPr>
                      <w:b w:val="0"/>
                      <w:smallCaps w:val="0"/>
                    </w:rPr>
                  </w:pPr>
                  <w:r w:rsidRPr="009843B8">
                    <w:t>High</w:t>
                  </w:r>
                  <w:r w:rsidR="00C178C9">
                    <w:t>er</w:t>
                  </w:r>
                  <w:r w:rsidRPr="009843B8">
                    <w:t xml:space="preserve"> education</w:t>
                  </w:r>
                </w:p>
              </w:tc>
              <w:tc>
                <w:tcPr>
                  <w:tcW w:w="4428" w:type="dxa"/>
                </w:tcPr>
                <w:p w14:paraId="6C8799F4" w14:textId="1826A29F" w:rsidR="00CB6D1A" w:rsidRPr="009843B8" w:rsidRDefault="00CB6D1A" w:rsidP="000330AB">
                  <w:pPr>
                    <w:pStyle w:val="ChartSecondHeading"/>
                    <w:jc w:val="center"/>
                    <w:rPr>
                      <w:b w:val="0"/>
                    </w:rPr>
                  </w:pPr>
                  <w:r w:rsidRPr="009843B8">
                    <w:t>Low</w:t>
                  </w:r>
                  <w:r w:rsidR="00C178C9">
                    <w:t>er</w:t>
                  </w:r>
                  <w:r w:rsidRPr="009843B8">
                    <w:t xml:space="preserve"> education</w:t>
                  </w:r>
                </w:p>
              </w:tc>
            </w:tr>
            <w:tr w:rsidR="00CB6D1A" w14:paraId="7A3969AA" w14:textId="77777777" w:rsidTr="00CF2D30">
              <w:trPr>
                <w:cantSplit/>
                <w:trHeight w:val="3839"/>
              </w:trPr>
              <w:tc>
                <w:tcPr>
                  <w:tcW w:w="4428" w:type="dxa"/>
                </w:tcPr>
                <w:p w14:paraId="4C62F62F" w14:textId="2CF42A78" w:rsidR="00CB6D1A" w:rsidRDefault="00CB6D1A" w:rsidP="00CF2D30">
                  <w:pPr>
                    <w:pStyle w:val="ChartGraphic"/>
                  </w:pPr>
                  <w:bookmarkStart w:id="75" w:name="OLE_LINK1"/>
                  <w:r w:rsidRPr="00127001">
                    <w:rPr>
                      <w:noProof/>
                    </w:rPr>
                    <w:drawing>
                      <wp:inline distT="0" distB="0" distL="0" distR="0" wp14:anchorId="2A97F2BF" wp14:editId="653732F9">
                        <wp:extent cx="2771775" cy="2771775"/>
                        <wp:effectExtent l="0" t="0" r="9525" b="0"/>
                        <wp:docPr id="63" name="Picture 63" descr="This chart shows the proportion of women with 0, 1, 2, 3 or more children born, by educational attainment and age group in 2021. Women with higher education have fewer children overall. As women age, they are more likely to have at least one child, regardless of education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chart shows the proportion of women with 0, 1, 2, 3 or more children born, by educational attainment and age group in 2021. Women with higher education have fewer children overall. As women age, they are more likely to have at least one child, regardless of education statu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bookmarkEnd w:id="75"/>
                </w:p>
              </w:tc>
              <w:tc>
                <w:tcPr>
                  <w:tcW w:w="4428" w:type="dxa"/>
                </w:tcPr>
                <w:p w14:paraId="0B8B4DEE" w14:textId="16D7C74A" w:rsidR="00CB6D1A" w:rsidRDefault="00CB6D1A" w:rsidP="00CF2D30">
                  <w:pPr>
                    <w:pStyle w:val="ChartGraphic"/>
                  </w:pPr>
                  <w:r w:rsidRPr="003957F9">
                    <w:rPr>
                      <w:noProof/>
                    </w:rPr>
                    <w:drawing>
                      <wp:inline distT="0" distB="0" distL="0" distR="0" wp14:anchorId="432A8C9F" wp14:editId="635DA5E6">
                        <wp:extent cx="2781300" cy="2781300"/>
                        <wp:effectExtent l="0" t="0" r="0" b="0"/>
                        <wp:docPr id="65" name="Picture 65" descr="This chart shows the proportion of women with 0, 1, 2, 3 or more children born, by educational attainment and age group in 2021. Women with higher education have fewer children overall. As women age, they are more likely to have at least one child, regardless of education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chart shows the proportion of women with 0, 1, 2, 3 or more children born, by educational attainment and age group in 2021. Women with higher education have fewer children overall. As women age, they are more likely to have at least one child, regardless of education statu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bl>
          <w:bookmarkEnd w:id="73"/>
          <w:p w14:paraId="50BA0914" w14:textId="1CEA5223" w:rsidR="00562AC4" w:rsidRPr="00B344C9" w:rsidRDefault="00366E42" w:rsidP="008F75C0">
            <w:pPr>
              <w:pStyle w:val="Source"/>
            </w:pPr>
            <w:r w:rsidRPr="009C0471">
              <w:rPr>
                <w:rFonts w:cs="Calibri"/>
                <w:szCs w:val="18"/>
              </w:rPr>
              <w:t>Source</w:t>
            </w:r>
            <w:r w:rsidRPr="007079E4">
              <w:rPr>
                <w:rFonts w:cs="Calibri"/>
                <w:i/>
                <w:iCs/>
                <w:szCs w:val="18"/>
              </w:rPr>
              <w:t>:</w:t>
            </w:r>
            <w:r w:rsidR="003957F9">
              <w:rPr>
                <w:rFonts w:cs="Calibri"/>
                <w:i/>
                <w:iCs/>
                <w:szCs w:val="18"/>
              </w:rPr>
              <w:tab/>
            </w:r>
            <w:r w:rsidRPr="00B12976">
              <w:rPr>
                <w:rFonts w:cs="Calibri"/>
                <w:szCs w:val="18"/>
              </w:rPr>
              <w:t>ABS</w:t>
            </w:r>
            <w:r w:rsidR="00810374" w:rsidRPr="00B12976">
              <w:rPr>
                <w:rFonts w:cs="Calibri"/>
                <w:szCs w:val="18"/>
              </w:rPr>
              <w:t>,</w:t>
            </w:r>
            <w:r w:rsidRPr="00B12976">
              <w:rPr>
                <w:rFonts w:cs="Calibri"/>
                <w:szCs w:val="18"/>
              </w:rPr>
              <w:t xml:space="preserve"> Census of Population and Housing</w:t>
            </w:r>
            <w:r w:rsidR="00300C91">
              <w:rPr>
                <w:rFonts w:cs="Calibri"/>
                <w:szCs w:val="18"/>
              </w:rPr>
              <w:t>, 2021</w:t>
            </w:r>
            <w:r w:rsidR="00810374" w:rsidRPr="00B12976">
              <w:rPr>
                <w:rFonts w:cs="Calibri"/>
                <w:szCs w:val="18"/>
              </w:rPr>
              <w:t>.</w:t>
            </w:r>
          </w:p>
        </w:tc>
      </w:tr>
    </w:tbl>
    <w:p w14:paraId="1ACC4B3C" w14:textId="2A071C97" w:rsidR="008951DF" w:rsidRDefault="008951DF">
      <w:pPr>
        <w:spacing w:before="0" w:after="160" w:line="259" w:lineRule="auto"/>
      </w:pPr>
    </w:p>
    <w:p w14:paraId="62995A51" w14:textId="511DA12D" w:rsidR="00CF3346" w:rsidRPr="00645008" w:rsidRDefault="00D63BDB" w:rsidP="00B53849">
      <w:pPr>
        <w:pStyle w:val="Heading2Numbered"/>
      </w:pPr>
      <w:bookmarkStart w:id="76" w:name="_Toc154047935"/>
      <w:bookmarkStart w:id="77" w:name="_Toc149846503"/>
      <w:bookmarkStart w:id="78" w:name="_Toc149846544"/>
      <w:bookmarkStart w:id="79" w:name="_Toc149846642"/>
      <w:bookmarkStart w:id="80" w:name="_Toc149847585"/>
      <w:bookmarkStart w:id="81" w:name="_Toc151994720"/>
      <w:bookmarkEnd w:id="76"/>
      <w:r w:rsidRPr="00645008">
        <w:lastRenderedPageBreak/>
        <w:t xml:space="preserve"> </w:t>
      </w:r>
      <w:bookmarkStart w:id="82" w:name="_Toc154050209"/>
      <w:bookmarkEnd w:id="77"/>
      <w:bookmarkEnd w:id="78"/>
      <w:bookmarkEnd w:id="79"/>
      <w:bookmarkEnd w:id="80"/>
      <w:r w:rsidR="00B03E28" w:rsidRPr="00645008">
        <w:t>Deaths</w:t>
      </w:r>
      <w:bookmarkEnd w:id="82"/>
      <w:r w:rsidR="00B03E28" w:rsidRPr="00645008">
        <w:t xml:space="preserve"> </w:t>
      </w:r>
      <w:bookmarkEnd w:id="81"/>
    </w:p>
    <w:p w14:paraId="0B7DF4FE" w14:textId="4D4DBE65" w:rsidR="00B61AE2" w:rsidRDefault="00527964" w:rsidP="00CB6D1A">
      <w:bookmarkStart w:id="83" w:name="_Hlk153270681"/>
      <w:bookmarkStart w:id="84" w:name="_Hlk117064693"/>
      <w:bookmarkStart w:id="85" w:name="_Hlk117067832"/>
      <w:r w:rsidRPr="00B344C9">
        <w:t xml:space="preserve">The </w:t>
      </w:r>
      <w:r w:rsidR="00A12A17">
        <w:t>COVI</w:t>
      </w:r>
      <w:r w:rsidR="00A053A8">
        <w:t>D</w:t>
      </w:r>
      <w:r w:rsidR="004B14AB">
        <w:noBreakHyphen/>
      </w:r>
      <w:r w:rsidR="00B92912">
        <w:t>19</w:t>
      </w:r>
      <w:r w:rsidRPr="00B344C9">
        <w:t xml:space="preserve"> pandemic is projected</w:t>
      </w:r>
      <w:r w:rsidR="00FF1E9F">
        <w:t xml:space="preserve"> to </w:t>
      </w:r>
      <w:r w:rsidR="00DE198D">
        <w:t xml:space="preserve">continue to </w:t>
      </w:r>
      <w:r w:rsidR="00C43E8C">
        <w:t>affect</w:t>
      </w:r>
      <w:r w:rsidR="00A24EF8">
        <w:t xml:space="preserve"> mortality rates</w:t>
      </w:r>
      <w:r w:rsidRPr="00B344C9">
        <w:t xml:space="preserve"> </w:t>
      </w:r>
      <w:r w:rsidRPr="00B344C9" w:rsidDel="004C1BBE">
        <w:t>in Au</w:t>
      </w:r>
      <w:r w:rsidR="00DE198D" w:rsidDel="004C1BBE">
        <w:t xml:space="preserve">stralia </w:t>
      </w:r>
      <w:r w:rsidR="00DE198D">
        <w:t>over the next few years</w:t>
      </w:r>
      <w:r w:rsidRPr="00B344C9">
        <w:t xml:space="preserve">. </w:t>
      </w:r>
      <w:r w:rsidR="00B04D7F">
        <w:t>Although d</w:t>
      </w:r>
      <w:r w:rsidR="00AF6555">
        <w:t xml:space="preserve">eaths in 2023 have been lower than </w:t>
      </w:r>
      <w:r w:rsidR="00AD7D69">
        <w:t>in</w:t>
      </w:r>
      <w:r w:rsidR="00AF6555">
        <w:t xml:space="preserve"> 2022, </w:t>
      </w:r>
      <w:r w:rsidR="00B04D7F">
        <w:t xml:space="preserve">they </w:t>
      </w:r>
      <w:r w:rsidR="00AF6555">
        <w:t xml:space="preserve">remain </w:t>
      </w:r>
      <w:r w:rsidR="008B70F1">
        <w:t xml:space="preserve">above </w:t>
      </w:r>
      <w:r w:rsidR="002B5ED5">
        <w:t>the pre-pandemic trend</w:t>
      </w:r>
      <w:r w:rsidR="00AF6555">
        <w:t xml:space="preserve">, </w:t>
      </w:r>
      <w:r w:rsidR="00FF1E9F">
        <w:t>due to COVID</w:t>
      </w:r>
      <w:r w:rsidR="004B14AB">
        <w:noBreakHyphen/>
      </w:r>
      <w:r w:rsidR="00FF1E9F">
        <w:t xml:space="preserve">19 and other causes. </w:t>
      </w:r>
    </w:p>
    <w:p w14:paraId="554CD325" w14:textId="66981836" w:rsidR="00A21522" w:rsidRPr="000F5040" w:rsidRDefault="006B217A" w:rsidP="000F5040">
      <w:pPr>
        <w:rPr>
          <w:rFonts w:ascii="Calibri" w:hAnsi="Calibri" w:cs="Calibri"/>
          <w:color w:val="000000"/>
          <w:shd w:val="clear" w:color="auto" w:fill="FFFFFF"/>
        </w:rPr>
      </w:pPr>
      <w:r>
        <w:t xml:space="preserve">Excess mortality, </w:t>
      </w:r>
      <w:r w:rsidRPr="008625AA">
        <w:t xml:space="preserve">the difference between </w:t>
      </w:r>
      <w:r>
        <w:t>the number of</w:t>
      </w:r>
      <w:r w:rsidRPr="008625AA">
        <w:t xml:space="preserve"> actual and </w:t>
      </w:r>
      <w:r>
        <w:t xml:space="preserve">expected </w:t>
      </w:r>
      <w:r w:rsidRPr="008625AA">
        <w:t>deaths</w:t>
      </w:r>
      <w:r>
        <w:t xml:space="preserve"> in a specific period, provides a measure of whether deaths are above their normal level. </w:t>
      </w:r>
      <w:r w:rsidR="007E54AD">
        <w:t xml:space="preserve">For </w:t>
      </w:r>
      <w:r w:rsidR="00923A30">
        <w:t>the first quarter of 2023</w:t>
      </w:r>
      <w:r w:rsidR="00186803">
        <w:t xml:space="preserve"> (latest available data)</w:t>
      </w:r>
      <w:r w:rsidR="00923A30">
        <w:t>, the ABS estimates excess mortality was 9.1</w:t>
      </w:r>
      <w:r w:rsidR="001F3B6F">
        <w:t> per cent</w:t>
      </w:r>
      <w:r w:rsidR="00923A30">
        <w:t>, equivalent to 3,300 excess deaths.</w:t>
      </w:r>
      <w:r w:rsidR="001473D7">
        <w:rPr>
          <w:rStyle w:val="FootnoteReference"/>
        </w:rPr>
        <w:footnoteReference w:id="15"/>
      </w:r>
      <w:r w:rsidR="00923A30">
        <w:t xml:space="preserve"> This </w:t>
      </w:r>
      <w:r w:rsidR="00923A30">
        <w:rPr>
          <w:rStyle w:val="normaltextrun"/>
          <w:rFonts w:ascii="Calibri" w:hAnsi="Calibri" w:cs="Calibri"/>
          <w:color w:val="000000"/>
          <w:shd w:val="clear" w:color="auto" w:fill="FFFFFF"/>
        </w:rPr>
        <w:t xml:space="preserve">has moderated since </w:t>
      </w:r>
      <w:r w:rsidR="00923A30">
        <w:rPr>
          <w:rStyle w:val="eop"/>
          <w:rFonts w:ascii="Calibri" w:hAnsi="Calibri" w:cs="Calibri"/>
          <w:color w:val="000000"/>
          <w:shd w:val="clear" w:color="auto" w:fill="FFFFFF"/>
        </w:rPr>
        <w:t>a quarterly high</w:t>
      </w:r>
      <w:r w:rsidR="00923A30">
        <w:rPr>
          <w:rStyle w:val="normaltextrun"/>
          <w:rFonts w:ascii="Calibri" w:hAnsi="Calibri" w:cs="Calibri"/>
          <w:color w:val="000000"/>
          <w:shd w:val="clear" w:color="auto" w:fill="FFFFFF"/>
        </w:rPr>
        <w:t xml:space="preserve"> in the same period in 2022 (16.6</w:t>
      </w:r>
      <w:r w:rsidR="001F3B6F">
        <w:rPr>
          <w:rStyle w:val="normaltextrun"/>
          <w:rFonts w:ascii="Calibri" w:hAnsi="Calibri" w:cs="Calibri"/>
          <w:color w:val="000000"/>
          <w:shd w:val="clear" w:color="auto" w:fill="FFFFFF"/>
        </w:rPr>
        <w:t> per cent</w:t>
      </w:r>
      <w:r w:rsidR="00923A30">
        <w:rPr>
          <w:rStyle w:val="normaltextrun"/>
          <w:rFonts w:ascii="Calibri" w:hAnsi="Calibri" w:cs="Calibri"/>
          <w:color w:val="000000"/>
          <w:shd w:val="clear" w:color="auto" w:fill="FFFFFF"/>
        </w:rPr>
        <w:t>)</w:t>
      </w:r>
      <w:r w:rsidR="00923A30">
        <w:rPr>
          <w:rStyle w:val="eop"/>
          <w:rFonts w:ascii="Calibri" w:hAnsi="Calibri" w:cs="Calibri"/>
          <w:color w:val="000000"/>
          <w:shd w:val="clear" w:color="auto" w:fill="FFFFFF"/>
        </w:rPr>
        <w:t>.</w:t>
      </w:r>
      <w:r w:rsidR="003155E6" w:rsidRPr="720F879B">
        <w:rPr>
          <w:rStyle w:val="eop"/>
          <w:rFonts w:ascii="Calibri" w:hAnsi="Calibri" w:cs="Calibri"/>
          <w:color w:val="000000" w:themeColor="text1"/>
        </w:rPr>
        <w:t xml:space="preserve"> </w:t>
      </w:r>
      <w:r w:rsidR="002949A5">
        <w:rPr>
          <w:rStyle w:val="eop"/>
          <w:rFonts w:ascii="Calibri" w:hAnsi="Calibri" w:cs="Calibri"/>
          <w:color w:val="000000" w:themeColor="text1"/>
        </w:rPr>
        <w:t xml:space="preserve">On an annual basis, </w:t>
      </w:r>
      <w:r w:rsidR="002949A5">
        <w:t>e</w:t>
      </w:r>
      <w:r w:rsidR="00A21522" w:rsidRPr="009C74F6">
        <w:t xml:space="preserve">xcess mortality </w:t>
      </w:r>
      <w:r w:rsidR="0020146C">
        <w:t>peaked in</w:t>
      </w:r>
      <w:r w:rsidR="00A21522" w:rsidRPr="009C74F6">
        <w:t xml:space="preserve"> 2022 (10.9</w:t>
      </w:r>
      <w:r w:rsidR="001F3B6F">
        <w:t> per cent</w:t>
      </w:r>
      <w:r w:rsidR="00A21522" w:rsidRPr="009C74F6">
        <w:t xml:space="preserve"> or 18,600 deaths above expected)</w:t>
      </w:r>
      <w:r w:rsidR="005269C2">
        <w:t>, at a higher rate</w:t>
      </w:r>
      <w:r w:rsidR="00A21522" w:rsidRPr="009C74F6">
        <w:t xml:space="preserve"> </w:t>
      </w:r>
      <w:r w:rsidR="003A6DD5">
        <w:t>than</w:t>
      </w:r>
      <w:r w:rsidR="00F933EF">
        <w:t xml:space="preserve"> in</w:t>
      </w:r>
      <w:r w:rsidR="003A6DD5">
        <w:t xml:space="preserve"> any</w:t>
      </w:r>
      <w:r w:rsidR="00F933EF">
        <w:t xml:space="preserve"> year</w:t>
      </w:r>
      <w:r w:rsidR="003A6DD5">
        <w:t xml:space="preserve"> </w:t>
      </w:r>
      <w:r w:rsidR="0025055C">
        <w:t xml:space="preserve">since </w:t>
      </w:r>
      <w:r w:rsidR="00E84E95">
        <w:t xml:space="preserve">at least </w:t>
      </w:r>
      <w:r w:rsidR="0025055C">
        <w:t>2013 (the start of the data series)</w:t>
      </w:r>
      <w:r w:rsidR="00387905">
        <w:t>.</w:t>
      </w:r>
      <w:r w:rsidR="0074028C">
        <w:t xml:space="preserve"> For </w:t>
      </w:r>
      <w:r w:rsidR="00A21522" w:rsidRPr="009C74F6">
        <w:t xml:space="preserve">the previous </w:t>
      </w:r>
      <w:r w:rsidR="001F3B6F">
        <w:t>2 </w:t>
      </w:r>
      <w:r w:rsidR="00A21522" w:rsidRPr="009C74F6">
        <w:t>years of the pandemic</w:t>
      </w:r>
      <w:r w:rsidR="00031CFB">
        <w:t>,</w:t>
      </w:r>
      <w:r w:rsidR="00A21522" w:rsidRPr="009C74F6" w:rsidDel="00E84E95">
        <w:t xml:space="preserve"> deaths were </w:t>
      </w:r>
      <w:r w:rsidR="006E4FF0" w:rsidRPr="009C74F6">
        <w:t>3.1</w:t>
      </w:r>
      <w:r w:rsidR="001F3B6F">
        <w:t> per cent</w:t>
      </w:r>
      <w:r w:rsidR="006E4FF0" w:rsidRPr="009C74F6">
        <w:t xml:space="preserve"> (5,200)</w:t>
      </w:r>
      <w:r w:rsidR="00A33BF1">
        <w:t xml:space="preserve"> </w:t>
      </w:r>
      <w:r w:rsidR="002451F0" w:rsidRPr="009C74F6">
        <w:t xml:space="preserve">lower than expected </w:t>
      </w:r>
      <w:r w:rsidR="002451F0">
        <w:t xml:space="preserve">in 2020, and </w:t>
      </w:r>
      <w:r w:rsidR="00A21522" w:rsidRPr="009C74F6">
        <w:t xml:space="preserve">were </w:t>
      </w:r>
      <w:r w:rsidR="00A21522" w:rsidRPr="009C74F6" w:rsidDel="00E84E95">
        <w:t>1.4</w:t>
      </w:r>
      <w:r w:rsidR="001F3B6F">
        <w:t> per cent</w:t>
      </w:r>
      <w:r w:rsidR="00A21522" w:rsidRPr="009C74F6" w:rsidDel="00E84E95">
        <w:t xml:space="preserve"> </w:t>
      </w:r>
      <w:r w:rsidR="006E4FF0">
        <w:t>(</w:t>
      </w:r>
      <w:r w:rsidR="00A21522" w:rsidRPr="009C74F6" w:rsidDel="00E84E95">
        <w:t>2,400</w:t>
      </w:r>
      <w:r w:rsidR="006E4FF0">
        <w:t>)</w:t>
      </w:r>
      <w:r w:rsidR="00A21522" w:rsidRPr="009C74F6" w:rsidDel="00E84E95">
        <w:t xml:space="preserve"> higher than expected</w:t>
      </w:r>
      <w:r w:rsidR="00031CFB">
        <w:t xml:space="preserve"> in </w:t>
      </w:r>
      <w:r w:rsidR="00031CFB" w:rsidRPr="009C74F6">
        <w:t>2021</w:t>
      </w:r>
      <w:r w:rsidR="002451F0">
        <w:t>.</w:t>
      </w:r>
    </w:p>
    <w:p w14:paraId="465BA72B" w14:textId="75930D81" w:rsidR="008B03DD" w:rsidRDefault="002C09C8" w:rsidP="00BB7908">
      <w:r>
        <w:t xml:space="preserve">COVID-19 has been a major </w:t>
      </w:r>
      <w:r w:rsidR="00575179">
        <w:t xml:space="preserve">factor in </w:t>
      </w:r>
      <w:r>
        <w:t>excess mortality in 20</w:t>
      </w:r>
      <w:r w:rsidR="003A75F3">
        <w:t xml:space="preserve">22 and 2023. </w:t>
      </w:r>
      <w:r w:rsidR="001C1D26">
        <w:t>T</w:t>
      </w:r>
      <w:r w:rsidR="003A75F3">
        <w:t xml:space="preserve">he Omicron wave saw </w:t>
      </w:r>
      <w:r w:rsidR="003A75F3" w:rsidRPr="009C74F6">
        <w:t>COVID</w:t>
      </w:r>
      <w:r w:rsidR="00984AF5">
        <w:noBreakHyphen/>
      </w:r>
      <w:r w:rsidR="003A75F3" w:rsidRPr="009C74F6">
        <w:t xml:space="preserve">19 </w:t>
      </w:r>
      <w:r w:rsidR="003A75F3">
        <w:t xml:space="preserve">become </w:t>
      </w:r>
      <w:r w:rsidR="003A75F3" w:rsidRPr="009C74F6">
        <w:t>the main contributor to excess mortality</w:t>
      </w:r>
      <w:r w:rsidR="003A75F3">
        <w:t xml:space="preserve"> </w:t>
      </w:r>
      <w:r w:rsidR="00ED36F6">
        <w:t>in 2022</w:t>
      </w:r>
      <w:r w:rsidR="003A75F3">
        <w:t xml:space="preserve"> </w:t>
      </w:r>
      <w:r w:rsidR="008B70F1">
        <w:t>(considering people who died from or with COVID</w:t>
      </w:r>
      <w:r w:rsidR="00DB4A76">
        <w:noBreakHyphen/>
      </w:r>
      <w:r w:rsidR="008B70F1">
        <w:t>19),</w:t>
      </w:r>
      <w:r w:rsidR="003A75F3">
        <w:t xml:space="preserve"> </w:t>
      </w:r>
      <w:r w:rsidR="003A75F3" w:rsidRPr="001159B7">
        <w:t>accounting for 70.7</w:t>
      </w:r>
      <w:r w:rsidR="001F3B6F">
        <w:t> per cent</w:t>
      </w:r>
      <w:r w:rsidR="003A75F3" w:rsidRPr="001159B7">
        <w:t xml:space="preserve"> of excess deaths</w:t>
      </w:r>
      <w:r w:rsidR="003A75F3">
        <w:t xml:space="preserve">. </w:t>
      </w:r>
      <w:r w:rsidR="00A21522" w:rsidRPr="009C74F6">
        <w:t xml:space="preserve">While there have been fewer deaths </w:t>
      </w:r>
      <w:r w:rsidR="009E4044">
        <w:t>with</w:t>
      </w:r>
      <w:r w:rsidR="009E4044" w:rsidRPr="009C74F6">
        <w:t xml:space="preserve"> </w:t>
      </w:r>
      <w:r w:rsidR="00A21522" w:rsidRPr="009C74F6">
        <w:t xml:space="preserve">COVID-19 in 2023 compared to 2022, </w:t>
      </w:r>
      <w:r w:rsidR="00D95F12">
        <w:t>it</w:t>
      </w:r>
      <w:r w:rsidR="00A21522" w:rsidRPr="009C74F6">
        <w:t xml:space="preserve"> remain</w:t>
      </w:r>
      <w:r w:rsidR="004B1202">
        <w:t>ed</w:t>
      </w:r>
      <w:r w:rsidR="00A21522" w:rsidRPr="009C74F6">
        <w:t xml:space="preserve"> a significant contributor to increased mortality in </w:t>
      </w:r>
      <w:r w:rsidR="00D42997">
        <w:t xml:space="preserve">the </w:t>
      </w:r>
      <w:r w:rsidR="00C17D3C">
        <w:t xml:space="preserve">first quarter of </w:t>
      </w:r>
      <w:r w:rsidR="00A21522" w:rsidRPr="009C74F6">
        <w:t xml:space="preserve">2023, accounting </w:t>
      </w:r>
      <w:r w:rsidR="00B826BA" w:rsidRPr="00E223EE">
        <w:t xml:space="preserve">for </w:t>
      </w:r>
      <w:r w:rsidR="00A21522" w:rsidRPr="009C74F6">
        <w:t>46.3</w:t>
      </w:r>
      <w:r w:rsidR="001F3B6F">
        <w:t> per cent</w:t>
      </w:r>
      <w:r w:rsidR="00A21522" w:rsidRPr="009C74F6">
        <w:t xml:space="preserve"> of excess deaths (</w:t>
      </w:r>
      <w:r w:rsidR="002865C7">
        <w:fldChar w:fldCharType="begin"/>
      </w:r>
      <w:r w:rsidR="002865C7">
        <w:instrText xml:space="preserve"> REF _Ref152913949 \r \h </w:instrText>
      </w:r>
      <w:r w:rsidR="002865C7">
        <w:fldChar w:fldCharType="separate"/>
      </w:r>
      <w:r w:rsidR="00CE6FEA">
        <w:t>Chart 10</w:t>
      </w:r>
      <w:r w:rsidR="002865C7">
        <w:fldChar w:fldCharType="end"/>
      </w:r>
      <w:r w:rsidR="00A21522" w:rsidRPr="009C74F6">
        <w:t xml:space="preserve">). </w:t>
      </w:r>
      <w:r w:rsidR="003A75F3">
        <w:t>Box 2 has further information</w:t>
      </w:r>
      <w:r w:rsidR="00E60248">
        <w:t xml:space="preserve"> on COVID-19</w:t>
      </w:r>
      <w:r w:rsidR="003A75F3">
        <w:t>.</w:t>
      </w:r>
    </w:p>
    <w:p w14:paraId="7023FD87" w14:textId="42F567F6" w:rsidR="00A21522" w:rsidRPr="001159B7" w:rsidRDefault="00A21522" w:rsidP="003C49E7">
      <w:pPr>
        <w:pStyle w:val="ChartMainHeading"/>
        <w:spacing w:after="60"/>
      </w:pPr>
      <w:bookmarkStart w:id="86" w:name="_Ref152913949"/>
      <w:bookmarkEnd w:id="83"/>
      <w:r w:rsidRPr="001159B7">
        <w:t>Weekly deaths, w</w:t>
      </w:r>
      <w:r w:rsidR="00976D49">
        <w:t>ith and without</w:t>
      </w:r>
      <w:r w:rsidRPr="001159B7">
        <w:t xml:space="preserve"> COVID-19</w:t>
      </w:r>
      <w:bookmarkEnd w:id="86"/>
    </w:p>
    <w:p w14:paraId="67E47F11" w14:textId="0879A7CA" w:rsidR="00DC5D9C" w:rsidRPr="00DC5D9C" w:rsidRDefault="00D241A5" w:rsidP="009743B4">
      <w:pPr>
        <w:pStyle w:val="ChartGraphic"/>
        <w:jc w:val="left"/>
      </w:pPr>
      <w:r w:rsidRPr="00D241A5">
        <w:rPr>
          <w:noProof/>
        </w:rPr>
        <w:drawing>
          <wp:inline distT="0" distB="0" distL="0" distR="0" wp14:anchorId="70B6357F" wp14:editId="2C2047C4">
            <wp:extent cx="5542280" cy="2917825"/>
            <wp:effectExtent l="0" t="0" r="0" b="0"/>
            <wp:docPr id="40" name="Picture 40" descr="This chart shows weekly deaths including deaths with and without COVID-19 from January 2020 to March 2023, as well as the level of expected deaths. Since early 2022, Australia has generally experienced excess deaths, although this has moderated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weekly deaths including deaths with and without COVID-19 from January 2020 to March 2023, as well as the level of expected deaths. Since early 2022, Australia has generally experienced excess deaths, although this has moderated in 20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2280" cy="2917825"/>
                    </a:xfrm>
                    <a:prstGeom prst="rect">
                      <a:avLst/>
                    </a:prstGeom>
                    <a:noFill/>
                    <a:ln>
                      <a:noFill/>
                    </a:ln>
                  </pic:spPr>
                </pic:pic>
              </a:graphicData>
            </a:graphic>
          </wp:inline>
        </w:drawing>
      </w:r>
    </w:p>
    <w:p w14:paraId="449F45F3" w14:textId="59141965" w:rsidR="00A21522" w:rsidRPr="00187E58" w:rsidRDefault="00A21522" w:rsidP="00187E58">
      <w:pPr>
        <w:pStyle w:val="Source"/>
        <w:keepLines/>
        <w:spacing w:before="0"/>
      </w:pPr>
      <w:r w:rsidRPr="00187E58">
        <w:t xml:space="preserve">Source: </w:t>
      </w:r>
      <w:r w:rsidR="008B03DD">
        <w:tab/>
      </w:r>
      <w:r w:rsidRPr="00187E58">
        <w:t>ABS, Measuring Australia’s excess mortality during the COVID-19 pandemic until the first quarter 2023</w:t>
      </w:r>
      <w:r w:rsidR="00E52611">
        <w:t>.</w:t>
      </w:r>
    </w:p>
    <w:p w14:paraId="769B5994" w14:textId="734FA0B4" w:rsidR="00BB6A43" w:rsidRDefault="00710061">
      <w:pPr>
        <w:spacing w:after="160"/>
      </w:pPr>
      <w:bookmarkStart w:id="87" w:name="_Hlk153270691"/>
      <w:r>
        <w:t xml:space="preserve">Increased </w:t>
      </w:r>
      <w:r w:rsidR="008B70F1">
        <w:t xml:space="preserve">mortality </w:t>
      </w:r>
      <w:r>
        <w:t>ha</w:t>
      </w:r>
      <w:r w:rsidR="008B70F1">
        <w:t>s largely</w:t>
      </w:r>
      <w:r>
        <w:t xml:space="preserve"> been</w:t>
      </w:r>
      <w:r w:rsidR="00190205">
        <w:t xml:space="preserve"> </w:t>
      </w:r>
      <w:r w:rsidR="00B61920">
        <w:t xml:space="preserve">driven by </w:t>
      </w:r>
      <w:r w:rsidR="00190205">
        <w:t>more</w:t>
      </w:r>
      <w:r w:rsidR="007232FF">
        <w:t xml:space="preserve"> deaths</w:t>
      </w:r>
      <w:r w:rsidR="00B826BA" w:rsidRPr="00E223EE">
        <w:t xml:space="preserve"> </w:t>
      </w:r>
      <w:r w:rsidR="00357F78">
        <w:t>among o</w:t>
      </w:r>
      <w:r w:rsidR="007F0B04">
        <w:t>lder</w:t>
      </w:r>
      <w:r w:rsidR="00357F78">
        <w:t xml:space="preserve"> Australians. F</w:t>
      </w:r>
      <w:r w:rsidR="00B826BA" w:rsidRPr="00187EC9">
        <w:t>or</w:t>
      </w:r>
      <w:r w:rsidR="00B826BA" w:rsidRPr="00E223EE">
        <w:t xml:space="preserve"> </w:t>
      </w:r>
      <w:r w:rsidR="00B826BA">
        <w:t>persons</w:t>
      </w:r>
      <w:r w:rsidR="00B826BA" w:rsidRPr="00A77974">
        <w:t xml:space="preserve"> aged 65 and over</w:t>
      </w:r>
      <w:r w:rsidR="00B154E2">
        <w:t xml:space="preserve">, </w:t>
      </w:r>
      <w:r w:rsidR="005C22F3">
        <w:t xml:space="preserve">deaths have been </w:t>
      </w:r>
      <w:r w:rsidR="00C02066">
        <w:t>above</w:t>
      </w:r>
      <w:r w:rsidR="00B826BA" w:rsidRPr="00E223EE">
        <w:t xml:space="preserve"> the historical average</w:t>
      </w:r>
      <w:r w:rsidR="005C22F3">
        <w:t xml:space="preserve"> in 2023 (although </w:t>
      </w:r>
      <w:r w:rsidR="008A037C">
        <w:t>below</w:t>
      </w:r>
      <w:r w:rsidR="008A037C" w:rsidRPr="00A77974">
        <w:t xml:space="preserve"> </w:t>
      </w:r>
      <w:r w:rsidR="00B826BA" w:rsidRPr="00A77974">
        <w:t>the same period in 2022</w:t>
      </w:r>
      <w:r w:rsidR="005C22F3">
        <w:t xml:space="preserve">) while for those </w:t>
      </w:r>
      <w:r w:rsidR="000D6D77">
        <w:t xml:space="preserve">under </w:t>
      </w:r>
      <w:r w:rsidR="00EA222C" w:rsidRPr="00E223EE">
        <w:t>65</w:t>
      </w:r>
      <w:r w:rsidR="004F65EB">
        <w:t xml:space="preserve">, deaths are </w:t>
      </w:r>
      <w:r w:rsidR="005C737B">
        <w:t xml:space="preserve">around </w:t>
      </w:r>
      <w:r w:rsidR="00EA222C" w:rsidRPr="00E223EE">
        <w:t xml:space="preserve">the historical average. </w:t>
      </w:r>
      <w:r w:rsidR="00D65E61" w:rsidRPr="00F16351">
        <w:t>However,</w:t>
      </w:r>
      <w:r w:rsidR="004F65EB" w:rsidRPr="00F16351">
        <w:t xml:space="preserve"> </w:t>
      </w:r>
      <w:r w:rsidR="004F65EB" w:rsidRPr="00187E58">
        <w:t xml:space="preserve">the </w:t>
      </w:r>
      <w:r w:rsidR="00C83F04">
        <w:t xml:space="preserve">historical </w:t>
      </w:r>
      <w:r w:rsidR="004F65EB" w:rsidRPr="00187E58">
        <w:t>average</w:t>
      </w:r>
      <w:r w:rsidR="000023F2">
        <w:t xml:space="preserve"> is a different </w:t>
      </w:r>
      <w:r w:rsidR="000023F2">
        <w:lastRenderedPageBreak/>
        <w:t>measure to excess deaths</w:t>
      </w:r>
      <w:r w:rsidR="00D2425A">
        <w:t xml:space="preserve"> and</w:t>
      </w:r>
      <w:r w:rsidR="000023F2" w:rsidDel="009321D5">
        <w:t>,</w:t>
      </w:r>
      <w:r w:rsidR="000023F2">
        <w:t xml:space="preserve"> </w:t>
      </w:r>
      <w:r w:rsidR="003842FA">
        <w:t>unlike excess deaths,</w:t>
      </w:r>
      <w:r w:rsidR="003842FA" w:rsidRPr="00187E58">
        <w:t xml:space="preserve"> </w:t>
      </w:r>
      <w:r w:rsidR="004F65EB" w:rsidRPr="00187E58">
        <w:t>do</w:t>
      </w:r>
      <w:r w:rsidR="004F65EB" w:rsidRPr="00187E58" w:rsidDel="003E3BC6">
        <w:t>es</w:t>
      </w:r>
      <w:r w:rsidR="004F65EB" w:rsidRPr="00187E58">
        <w:t xml:space="preserve"> not account </w:t>
      </w:r>
      <w:r w:rsidR="00D2425A">
        <w:t xml:space="preserve">for </w:t>
      </w:r>
      <w:r w:rsidR="004F65EB" w:rsidRPr="00187E58">
        <w:t>changes in the size and age structure of the population or expected improvements in mortality rates over time.</w:t>
      </w:r>
    </w:p>
    <w:p w14:paraId="71482193" w14:textId="51C63E8B" w:rsidR="00EA222C" w:rsidRPr="00645008" w:rsidRDefault="00EA222C" w:rsidP="00251B0B">
      <w:pPr>
        <w:pStyle w:val="ChartMainHeading"/>
      </w:pPr>
      <w:bookmarkStart w:id="88" w:name="_Ref149841638"/>
      <w:bookmarkEnd w:id="87"/>
      <w:r w:rsidRPr="00CB6D1A">
        <w:t>Deaths</w:t>
      </w:r>
      <w:r w:rsidRPr="00645008">
        <w:t xml:space="preserve"> by age and sex, </w:t>
      </w:r>
      <w:r w:rsidR="000258FC" w:rsidRPr="00645008">
        <w:t xml:space="preserve">for </w:t>
      </w:r>
      <w:r w:rsidR="00E54286" w:rsidRPr="00645008">
        <w:t xml:space="preserve">the </w:t>
      </w:r>
      <w:r w:rsidR="008401C1">
        <w:t>8</w:t>
      </w:r>
      <w:r w:rsidR="00E54286" w:rsidRPr="00645008">
        <w:t xml:space="preserve"> months</w:t>
      </w:r>
      <w:r w:rsidRPr="00645008">
        <w:t xml:space="preserve"> to </w:t>
      </w:r>
      <w:r w:rsidR="00753932" w:rsidRPr="00645008">
        <w:t xml:space="preserve">August </w:t>
      </w:r>
      <w:bookmarkEnd w:id="88"/>
    </w:p>
    <w:p w14:paraId="773CF817" w14:textId="3F8E06A2" w:rsidR="00EA222C" w:rsidRDefault="00B40465" w:rsidP="00474128">
      <w:pPr>
        <w:pStyle w:val="ChartGraphic"/>
        <w:spacing w:line="240" w:lineRule="auto"/>
        <w:jc w:val="left"/>
      </w:pPr>
      <w:r w:rsidRPr="00B40465">
        <w:t xml:space="preserve"> </w:t>
      </w:r>
      <w:r w:rsidR="009B2917" w:rsidRPr="009B2917">
        <w:rPr>
          <w:noProof/>
        </w:rPr>
        <w:drawing>
          <wp:inline distT="0" distB="0" distL="0" distR="0" wp14:anchorId="1FF4FAE4" wp14:editId="0E3410AF">
            <wp:extent cx="5581015" cy="2993390"/>
            <wp:effectExtent l="0" t="0" r="635" b="0"/>
            <wp:docPr id="7" name="Picture 7" descr="This chart shows deaths by age and sex for the 8 months to August. for, 2022 and 2023, and the historical average. For persons aged 65 and over, deaths have been above the historical average in 2023 (although below the same period in 2022) while for those under 65, deaths are around the historic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deaths by age and sex for the 8 months to August. for, 2022 and 2023, and the historical average. For persons aged 65 and over, deaths have been above the historical average in 2023 (although below the same period in 2022) while for those under 65, deaths are around the historical aver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015" cy="2993390"/>
                    </a:xfrm>
                    <a:prstGeom prst="rect">
                      <a:avLst/>
                    </a:prstGeom>
                    <a:noFill/>
                    <a:ln>
                      <a:noFill/>
                    </a:ln>
                  </pic:spPr>
                </pic:pic>
              </a:graphicData>
            </a:graphic>
          </wp:inline>
        </w:drawing>
      </w:r>
    </w:p>
    <w:p w14:paraId="2439A3A7" w14:textId="61ED4861" w:rsidR="00AF649B" w:rsidRDefault="00EA222C" w:rsidP="00075B32">
      <w:pPr>
        <w:pStyle w:val="ChartorTableNote"/>
      </w:pPr>
      <w:r w:rsidRPr="00AF649B">
        <w:t xml:space="preserve">Note: </w:t>
      </w:r>
      <w:r w:rsidR="00936BCA" w:rsidRPr="00AF649B">
        <w:tab/>
      </w:r>
      <w:r w:rsidRPr="00AF649B">
        <w:t>Historical average is calculated as the average number of deaths over the same period during 2017–2019 and 2021.</w:t>
      </w:r>
    </w:p>
    <w:p w14:paraId="35B70CB0" w14:textId="7DFEEC0D" w:rsidR="00EA222C" w:rsidRPr="00187E58" w:rsidRDefault="00EA222C" w:rsidP="00511705">
      <w:pPr>
        <w:pStyle w:val="Source"/>
        <w:keepLines/>
        <w:rPr>
          <w:color w:val="0563C1"/>
        </w:rPr>
      </w:pPr>
      <w:r w:rsidRPr="00AF649B">
        <w:t xml:space="preserve">Source: </w:t>
      </w:r>
      <w:r w:rsidR="00936BCA" w:rsidRPr="00AF649B">
        <w:tab/>
      </w:r>
      <w:r w:rsidR="00DD1DCF" w:rsidRPr="00AF649B">
        <w:t>ABS</w:t>
      </w:r>
      <w:r w:rsidRPr="00AF649B">
        <w:t>, Provisional Mortality Statistics, January</w:t>
      </w:r>
      <w:r w:rsidR="004B14AB" w:rsidRPr="00AF649B">
        <w:t xml:space="preserve"> – </w:t>
      </w:r>
      <w:r w:rsidR="008B10A9" w:rsidRPr="00AF649B">
        <w:t xml:space="preserve">August </w:t>
      </w:r>
      <w:r w:rsidRPr="00AF649B">
        <w:t>2023.</w:t>
      </w:r>
    </w:p>
    <w:p w14:paraId="04A33DFD" w14:textId="3270C361" w:rsidR="00BD2B22" w:rsidRDefault="003F5E80" w:rsidP="00187E58">
      <w:pPr>
        <w:spacing w:before="0" w:after="160" w:line="259" w:lineRule="auto"/>
      </w:pPr>
      <w:bookmarkStart w:id="89" w:name="_Hlk153270698"/>
      <w:r>
        <w:t>A</w:t>
      </w:r>
      <w:r w:rsidRPr="007A107A">
        <w:t>s mortality declines following the pandemic</w:t>
      </w:r>
      <w:r>
        <w:t>, d</w:t>
      </w:r>
      <w:r w:rsidR="00EA222C" w:rsidRPr="007A107A">
        <w:t xml:space="preserve">eaths are forecast to fall from a high of 189,000 in 2022–23 to 182,000 in 2024–25, then </w:t>
      </w:r>
      <w:r w:rsidR="009D790B" w:rsidRPr="007A107A">
        <w:t>gradually</w:t>
      </w:r>
      <w:r w:rsidR="00EA222C" w:rsidRPr="007A107A">
        <w:t xml:space="preserve"> rise to 218,000 </w:t>
      </w:r>
      <w:r w:rsidR="009D790B" w:rsidRPr="007A107A">
        <w:t>by</w:t>
      </w:r>
      <w:r w:rsidR="00EA222C" w:rsidRPr="007A107A">
        <w:t xml:space="preserve"> 2033–34</w:t>
      </w:r>
      <w:r w:rsidR="00083B2E" w:rsidRPr="007A107A">
        <w:t xml:space="preserve"> </w:t>
      </w:r>
      <w:r w:rsidR="00546C9A">
        <w:t>reflecting</w:t>
      </w:r>
      <w:r w:rsidR="00546C9A" w:rsidRPr="007A107A">
        <w:t xml:space="preserve"> </w:t>
      </w:r>
      <w:r w:rsidR="00083B2E" w:rsidRPr="007A107A">
        <w:t>t</w:t>
      </w:r>
      <w:r w:rsidR="007A560E" w:rsidRPr="007A107A">
        <w:t>he growing and ageing population</w:t>
      </w:r>
      <w:r w:rsidR="00EA222C" w:rsidRPr="007A107A">
        <w:t xml:space="preserve">. </w:t>
      </w:r>
      <w:r w:rsidR="00B45F53" w:rsidRPr="007A107A">
        <w:t xml:space="preserve">Given </w:t>
      </w:r>
      <w:r w:rsidR="00F5249E">
        <w:t>the</w:t>
      </w:r>
      <w:r w:rsidR="00B45F53" w:rsidRPr="007A107A">
        <w:t xml:space="preserve"> </w:t>
      </w:r>
      <w:r w:rsidR="00A27CB2">
        <w:t>ongoing</w:t>
      </w:r>
      <w:r w:rsidR="006E14C0" w:rsidRPr="007A107A">
        <w:t xml:space="preserve"> excess</w:t>
      </w:r>
      <w:r w:rsidR="00B45F53" w:rsidRPr="007A107A">
        <w:t xml:space="preserve"> mortality in 2023, </w:t>
      </w:r>
      <w:r w:rsidR="00DC4FE4">
        <w:t>higher mortality</w:t>
      </w:r>
      <w:r w:rsidR="00C229AB" w:rsidRPr="007A107A">
        <w:t xml:space="preserve"> </w:t>
      </w:r>
      <w:r w:rsidR="00AF208D">
        <w:t xml:space="preserve">is forecast to continue </w:t>
      </w:r>
      <w:r w:rsidR="00051777" w:rsidRPr="007A107A">
        <w:t xml:space="preserve">over </w:t>
      </w:r>
      <w:r w:rsidR="009F525F" w:rsidRPr="007A107A">
        <w:t>20</w:t>
      </w:r>
      <w:r w:rsidR="00D4708D" w:rsidRPr="007A107A">
        <w:t>23</w:t>
      </w:r>
      <w:r w:rsidR="00E54F9C" w:rsidRPr="007A107A">
        <w:t>–</w:t>
      </w:r>
      <w:r w:rsidR="00D4708D" w:rsidRPr="007A107A">
        <w:t>24</w:t>
      </w:r>
      <w:r w:rsidR="001A38F4" w:rsidRPr="007A107A">
        <w:t xml:space="preserve"> to </w:t>
      </w:r>
      <w:r w:rsidR="00D4708D" w:rsidRPr="007A107A">
        <w:t>202</w:t>
      </w:r>
      <w:r w:rsidR="003B26FA" w:rsidRPr="007A107A">
        <w:t>5</w:t>
      </w:r>
      <w:r w:rsidR="00E54F9C" w:rsidRPr="007A107A">
        <w:t>–</w:t>
      </w:r>
      <w:r w:rsidR="003B26FA">
        <w:t>26</w:t>
      </w:r>
      <w:r w:rsidR="00936F4C">
        <w:t>,</w:t>
      </w:r>
      <w:r w:rsidR="006738F8">
        <w:t xml:space="preserve"> </w:t>
      </w:r>
      <w:r w:rsidR="00076FAE">
        <w:t xml:space="preserve">returning to the </w:t>
      </w:r>
      <w:r w:rsidR="004B14AB">
        <w:t>‘</w:t>
      </w:r>
      <w:r w:rsidR="00076FAE">
        <w:t>pre</w:t>
      </w:r>
      <w:r w:rsidR="004B14AB">
        <w:noBreakHyphen/>
      </w:r>
      <w:r w:rsidR="00076FAE">
        <w:t>pandemic</w:t>
      </w:r>
      <w:r w:rsidR="004B14AB">
        <w:t>’</w:t>
      </w:r>
      <w:r w:rsidR="00076FAE">
        <w:t xml:space="preserve"> trend </w:t>
      </w:r>
      <w:r w:rsidR="00C841FB">
        <w:t>from</w:t>
      </w:r>
      <w:r w:rsidR="00026FF3" w:rsidRPr="007147E3">
        <w:t xml:space="preserve"> 202</w:t>
      </w:r>
      <w:r w:rsidR="00C841FB">
        <w:t>6</w:t>
      </w:r>
      <w:r w:rsidR="00026FF3">
        <w:t>–</w:t>
      </w:r>
      <w:r w:rsidR="00026FF3" w:rsidRPr="007147E3">
        <w:t>2</w:t>
      </w:r>
      <w:r w:rsidR="00C841FB">
        <w:t>7</w:t>
      </w:r>
      <w:r w:rsidR="00FD6A54">
        <w:t xml:space="preserve"> </w:t>
      </w:r>
      <w:r w:rsidR="00936F4C">
        <w:t>(</w:t>
      </w:r>
      <w:r w:rsidR="00FB51E7">
        <w:t xml:space="preserve">rather than </w:t>
      </w:r>
      <w:r w:rsidR="009F525F">
        <w:t>2023</w:t>
      </w:r>
      <w:r w:rsidR="00E54F9C">
        <w:t>–</w:t>
      </w:r>
      <w:r w:rsidR="009F525F">
        <w:t>24</w:t>
      </w:r>
      <w:r w:rsidR="00AF208D">
        <w:t xml:space="preserve"> as </w:t>
      </w:r>
      <w:r w:rsidR="00CE28C0">
        <w:t>assumed</w:t>
      </w:r>
      <w:r w:rsidR="00AF208D">
        <w:t xml:space="preserve"> in the</w:t>
      </w:r>
      <w:r w:rsidR="00AF208D" w:rsidRPr="00B344C9">
        <w:t xml:space="preserve"> 202</w:t>
      </w:r>
      <w:r w:rsidR="00AF208D">
        <w:t>3</w:t>
      </w:r>
      <w:r w:rsidR="00AF208D" w:rsidRPr="00B344C9">
        <w:t>–2</w:t>
      </w:r>
      <w:r w:rsidR="00AF208D">
        <w:t>4</w:t>
      </w:r>
      <w:r w:rsidR="00AF208D" w:rsidRPr="00B344C9">
        <w:t xml:space="preserve"> Budget</w:t>
      </w:r>
      <w:r w:rsidR="007553FA">
        <w:t>)</w:t>
      </w:r>
      <w:r w:rsidR="00A01428">
        <w:t>.</w:t>
      </w:r>
      <w:r w:rsidR="007553FA">
        <w:t xml:space="preserve"> </w:t>
      </w:r>
      <w:r w:rsidR="00D41048">
        <w:t>However, considerable uncertainty remains over the longer</w:t>
      </w:r>
      <w:r w:rsidR="004B14AB">
        <w:noBreakHyphen/>
      </w:r>
      <w:r w:rsidR="00D41048">
        <w:t xml:space="preserve">term impacts of </w:t>
      </w:r>
      <w:r w:rsidR="00233505">
        <w:t xml:space="preserve">the </w:t>
      </w:r>
      <w:r w:rsidR="00D41048">
        <w:t>COVID</w:t>
      </w:r>
      <w:r w:rsidR="004B14AB">
        <w:noBreakHyphen/>
      </w:r>
      <w:r w:rsidR="00D41048">
        <w:t>19</w:t>
      </w:r>
      <w:r w:rsidR="00233505">
        <w:t xml:space="preserve"> pandemic on mortality rates</w:t>
      </w:r>
      <w:r w:rsidR="00D41048">
        <w:t>.</w:t>
      </w:r>
    </w:p>
    <w:bookmarkEnd w:id="84"/>
    <w:bookmarkEnd w:id="85"/>
    <w:p w14:paraId="6D7DAAD9" w14:textId="2FD8EA54" w:rsidR="002B78CA" w:rsidRDefault="00585136" w:rsidP="00207D66">
      <w:r>
        <w:t>Although</w:t>
      </w:r>
      <w:r w:rsidR="00515362">
        <w:t xml:space="preserve"> </w:t>
      </w:r>
      <w:r w:rsidR="00445B3B">
        <w:t>Australia has the third highest life expectancy in the wor</w:t>
      </w:r>
      <w:r w:rsidR="008A2DF4">
        <w:t>ld</w:t>
      </w:r>
      <w:r w:rsidR="00DE076B">
        <w:t xml:space="preserve"> (behind </w:t>
      </w:r>
      <w:r w:rsidR="00EE3EE1">
        <w:t>Monaco and Japan</w:t>
      </w:r>
      <w:r w:rsidR="00DE076B">
        <w:t>)</w:t>
      </w:r>
      <w:r>
        <w:t xml:space="preserve">, </w:t>
      </w:r>
      <w:r w:rsidR="003838E6">
        <w:t xml:space="preserve">continued excess </w:t>
      </w:r>
      <w:r w:rsidR="00023D5E">
        <w:t>mortality</w:t>
      </w:r>
      <w:r w:rsidR="003838E6">
        <w:t xml:space="preserve"> has </w:t>
      </w:r>
      <w:r w:rsidR="00B6508E">
        <w:t xml:space="preserve">temporarily </w:t>
      </w:r>
      <w:r w:rsidR="00BB7E0E">
        <w:t xml:space="preserve">lowered </w:t>
      </w:r>
      <w:r w:rsidR="00023D5E">
        <w:t>life expectancy</w:t>
      </w:r>
      <w:r w:rsidR="004D7876">
        <w:t>.</w:t>
      </w:r>
      <w:r w:rsidR="00616275">
        <w:t xml:space="preserve"> </w:t>
      </w:r>
      <w:r w:rsidR="007E1BC0">
        <w:t>In</w:t>
      </w:r>
      <w:r w:rsidR="007E1BC0" w:rsidRPr="000829BD">
        <w:t xml:space="preserve"> 2020</w:t>
      </w:r>
      <w:r w:rsidR="005066DA">
        <w:t>–</w:t>
      </w:r>
      <w:r w:rsidR="007E1BC0" w:rsidRPr="000829BD">
        <w:t>2022, Australia recorded a decline in life expectancy for the first time since the early 1990s.</w:t>
      </w:r>
      <w:r w:rsidR="00616275">
        <w:t xml:space="preserve"> </w:t>
      </w:r>
      <w:r w:rsidR="006C0DA1">
        <w:rPr>
          <w:rStyle w:val="normaltextrun"/>
          <w:rFonts w:ascii="Calibri" w:hAnsi="Calibri" w:cs="Calibri"/>
          <w:color w:val="000000"/>
          <w:shd w:val="clear" w:color="auto" w:fill="FFFFFF"/>
        </w:rPr>
        <w:t>Compared to 2020</w:t>
      </w:r>
      <w:r w:rsidR="008C0B3E">
        <w:rPr>
          <w:rStyle w:val="normaltextrun"/>
          <w:rFonts w:ascii="Calibri" w:hAnsi="Calibri" w:cs="Calibri"/>
          <w:color w:val="000000"/>
          <w:shd w:val="clear" w:color="auto" w:fill="FFFFFF"/>
        </w:rPr>
        <w:t>–</w:t>
      </w:r>
      <w:r w:rsidR="006C0DA1">
        <w:rPr>
          <w:rStyle w:val="normaltextrun"/>
          <w:rFonts w:ascii="Calibri" w:hAnsi="Calibri" w:cs="Calibri"/>
          <w:color w:val="000000"/>
          <w:shd w:val="clear" w:color="auto" w:fill="FFFFFF"/>
        </w:rPr>
        <w:t xml:space="preserve">21, </w:t>
      </w:r>
      <w:r w:rsidR="006C0DA1">
        <w:rPr>
          <w:rStyle w:val="findhit"/>
          <w:rFonts w:ascii="Calibri" w:hAnsi="Calibri" w:cs="Calibri"/>
          <w:color w:val="000000"/>
        </w:rPr>
        <w:t>life expectancy</w:t>
      </w:r>
      <w:r w:rsidR="006C0DA1">
        <w:rPr>
          <w:rStyle w:val="normaltextrun"/>
          <w:rFonts w:ascii="Calibri" w:hAnsi="Calibri" w:cs="Calibri"/>
          <w:color w:val="000000"/>
          <w:shd w:val="clear" w:color="auto" w:fill="FFFFFF"/>
        </w:rPr>
        <w:t xml:space="preserve"> at birth is projected to </w:t>
      </w:r>
      <w:r w:rsidR="00D15B88">
        <w:rPr>
          <w:rStyle w:val="normaltextrun"/>
          <w:rFonts w:ascii="Calibri" w:hAnsi="Calibri" w:cs="Calibri"/>
          <w:color w:val="000000"/>
          <w:shd w:val="clear" w:color="auto" w:fill="FFFFFF"/>
        </w:rPr>
        <w:t>increase</w:t>
      </w:r>
      <w:r w:rsidR="006C0DA1" w:rsidDel="00B85CD0">
        <w:rPr>
          <w:rStyle w:val="normaltextrun"/>
          <w:rFonts w:ascii="Calibri" w:hAnsi="Calibri" w:cs="Calibri"/>
          <w:color w:val="000000"/>
          <w:shd w:val="clear" w:color="auto" w:fill="FFFFFF"/>
        </w:rPr>
        <w:t xml:space="preserve"> </w:t>
      </w:r>
      <w:r w:rsidR="006C0DA1">
        <w:rPr>
          <w:rStyle w:val="normaltextrun"/>
          <w:rFonts w:ascii="Calibri" w:hAnsi="Calibri" w:cs="Calibri"/>
          <w:color w:val="000000"/>
          <w:shd w:val="clear" w:color="auto" w:fill="FFFFFF"/>
        </w:rPr>
        <w:t>by 0.</w:t>
      </w:r>
      <w:r w:rsidR="00D15B88">
        <w:rPr>
          <w:rStyle w:val="normaltextrun"/>
          <w:rFonts w:ascii="Calibri" w:hAnsi="Calibri" w:cs="Calibri"/>
          <w:color w:val="000000"/>
          <w:shd w:val="clear" w:color="auto" w:fill="FFFFFF"/>
        </w:rPr>
        <w:t>1</w:t>
      </w:r>
      <w:r w:rsidR="008B1DC4">
        <w:rPr>
          <w:rStyle w:val="normaltextrun"/>
          <w:rFonts w:ascii="Calibri" w:hAnsi="Calibri" w:cs="Calibri"/>
          <w:color w:val="000000"/>
          <w:shd w:val="clear" w:color="auto" w:fill="FFFFFF"/>
        </w:rPr>
        <w:t> </w:t>
      </w:r>
      <w:r w:rsidR="006C0DA1">
        <w:rPr>
          <w:rStyle w:val="normaltextrun"/>
          <w:rFonts w:ascii="Calibri" w:hAnsi="Calibri" w:cs="Calibri"/>
          <w:color w:val="000000"/>
          <w:shd w:val="clear" w:color="auto" w:fill="FFFFFF"/>
        </w:rPr>
        <w:t xml:space="preserve">years for males and </w:t>
      </w:r>
      <w:r w:rsidR="00A07456">
        <w:rPr>
          <w:rStyle w:val="normaltextrun"/>
          <w:rFonts w:ascii="Calibri" w:hAnsi="Calibri" w:cs="Calibri"/>
          <w:color w:val="000000"/>
          <w:shd w:val="clear" w:color="auto" w:fill="FFFFFF"/>
        </w:rPr>
        <w:t xml:space="preserve">fall by </w:t>
      </w:r>
      <w:r w:rsidR="006C0DA1">
        <w:rPr>
          <w:rStyle w:val="normaltextrun"/>
          <w:rFonts w:ascii="Calibri" w:hAnsi="Calibri" w:cs="Calibri"/>
          <w:color w:val="000000"/>
          <w:shd w:val="clear" w:color="auto" w:fill="FFFFFF"/>
        </w:rPr>
        <w:t>0.</w:t>
      </w:r>
      <w:r w:rsidR="00A07456">
        <w:rPr>
          <w:rStyle w:val="normaltextrun"/>
          <w:rFonts w:ascii="Calibri" w:hAnsi="Calibri" w:cs="Calibri"/>
          <w:color w:val="000000"/>
          <w:shd w:val="clear" w:color="auto" w:fill="FFFFFF"/>
        </w:rPr>
        <w:t>1</w:t>
      </w:r>
      <w:r w:rsidR="00377429">
        <w:rPr>
          <w:rStyle w:val="normaltextrun"/>
          <w:rFonts w:ascii="Calibri" w:hAnsi="Calibri" w:cs="Calibri"/>
          <w:color w:val="000000"/>
          <w:shd w:val="clear" w:color="auto" w:fill="FFFFFF"/>
        </w:rPr>
        <w:t> year</w:t>
      </w:r>
      <w:r w:rsidR="006C0DA1">
        <w:rPr>
          <w:rStyle w:val="normaltextrun"/>
          <w:rFonts w:ascii="Calibri" w:hAnsi="Calibri" w:cs="Calibri"/>
          <w:color w:val="000000"/>
          <w:shd w:val="clear" w:color="auto" w:fill="FFFFFF"/>
        </w:rPr>
        <w:t xml:space="preserve">s for females </w:t>
      </w:r>
      <w:r w:rsidR="00A03103">
        <w:rPr>
          <w:rStyle w:val="normaltextrun"/>
          <w:rFonts w:ascii="Calibri" w:hAnsi="Calibri" w:cs="Calibri"/>
          <w:color w:val="000000"/>
          <w:shd w:val="clear" w:color="auto" w:fill="FFFFFF"/>
        </w:rPr>
        <w:t xml:space="preserve">by </w:t>
      </w:r>
      <w:r w:rsidR="006C0DA1">
        <w:rPr>
          <w:rStyle w:val="normaltextrun"/>
          <w:rFonts w:ascii="Calibri" w:hAnsi="Calibri" w:cs="Calibri"/>
          <w:color w:val="000000"/>
          <w:shd w:val="clear" w:color="auto" w:fill="FFFFFF"/>
        </w:rPr>
        <w:t>2023</w:t>
      </w:r>
      <w:r w:rsidR="008C0B3E">
        <w:rPr>
          <w:rStyle w:val="normaltextrun"/>
          <w:rFonts w:ascii="Calibri" w:hAnsi="Calibri" w:cs="Calibri"/>
          <w:color w:val="000000"/>
          <w:shd w:val="clear" w:color="auto" w:fill="FFFFFF"/>
        </w:rPr>
        <w:t>–</w:t>
      </w:r>
      <w:r w:rsidR="0018257B">
        <w:rPr>
          <w:rStyle w:val="normaltextrun"/>
          <w:rFonts w:ascii="Calibri" w:hAnsi="Calibri" w:cs="Calibri"/>
          <w:color w:val="000000"/>
          <w:shd w:val="clear" w:color="auto" w:fill="FFFFFF"/>
        </w:rPr>
        <w:t>‍</w:t>
      </w:r>
      <w:r w:rsidR="006C0DA1">
        <w:rPr>
          <w:rStyle w:val="normaltextrun"/>
          <w:rFonts w:ascii="Calibri" w:hAnsi="Calibri" w:cs="Calibri"/>
          <w:color w:val="000000"/>
          <w:shd w:val="clear" w:color="auto" w:fill="FFFFFF"/>
        </w:rPr>
        <w:t xml:space="preserve">24. </w:t>
      </w:r>
      <w:r w:rsidR="005C3359">
        <w:rPr>
          <w:rStyle w:val="normaltextrun"/>
          <w:rFonts w:ascii="Calibri" w:hAnsi="Calibri" w:cs="Calibri"/>
          <w:color w:val="000000"/>
          <w:shd w:val="clear" w:color="auto" w:fill="FFFFFF"/>
        </w:rPr>
        <w:t>B</w:t>
      </w:r>
      <w:r w:rsidR="006C0DA1">
        <w:rPr>
          <w:rStyle w:val="normaltextrun"/>
          <w:rFonts w:ascii="Calibri" w:hAnsi="Calibri" w:cs="Calibri"/>
          <w:color w:val="000000"/>
          <w:shd w:val="clear" w:color="auto" w:fill="FFFFFF"/>
        </w:rPr>
        <w:t>y 2024</w:t>
      </w:r>
      <w:r w:rsidR="008C0B3E">
        <w:rPr>
          <w:rStyle w:val="normaltextrun"/>
          <w:rFonts w:ascii="Calibri" w:hAnsi="Calibri" w:cs="Calibri"/>
          <w:color w:val="000000"/>
          <w:shd w:val="clear" w:color="auto" w:fill="FFFFFF"/>
        </w:rPr>
        <w:t>–</w:t>
      </w:r>
      <w:r w:rsidR="006C0DA1">
        <w:rPr>
          <w:rStyle w:val="normaltextrun"/>
          <w:rFonts w:ascii="Calibri" w:hAnsi="Calibri" w:cs="Calibri"/>
          <w:color w:val="000000"/>
          <w:shd w:val="clear" w:color="auto" w:fill="FFFFFF"/>
        </w:rPr>
        <w:t xml:space="preserve">25, </w:t>
      </w:r>
      <w:r w:rsidR="006C0DA1">
        <w:rPr>
          <w:rStyle w:val="findhit"/>
          <w:rFonts w:ascii="Calibri" w:hAnsi="Calibri" w:cs="Calibri"/>
          <w:color w:val="000000"/>
        </w:rPr>
        <w:t>life expectancy</w:t>
      </w:r>
      <w:r w:rsidR="006C0DA1">
        <w:rPr>
          <w:rStyle w:val="normaltextrun"/>
          <w:rFonts w:ascii="Calibri" w:hAnsi="Calibri" w:cs="Calibri"/>
          <w:color w:val="000000"/>
          <w:shd w:val="clear" w:color="auto" w:fill="FFFFFF"/>
        </w:rPr>
        <w:t xml:space="preserve"> at birth for both males and females is projected to be above 2020</w:t>
      </w:r>
      <w:r w:rsidR="008C0B3E">
        <w:rPr>
          <w:rStyle w:val="normaltextrun"/>
          <w:rFonts w:ascii="Calibri" w:hAnsi="Calibri" w:cs="Calibri"/>
          <w:color w:val="000000"/>
          <w:shd w:val="clear" w:color="auto" w:fill="FFFFFF"/>
        </w:rPr>
        <w:t>–</w:t>
      </w:r>
      <w:r w:rsidR="006C0DA1">
        <w:rPr>
          <w:rStyle w:val="normaltextrun"/>
          <w:rFonts w:ascii="Calibri" w:hAnsi="Calibri" w:cs="Calibri"/>
          <w:color w:val="000000"/>
          <w:shd w:val="clear" w:color="auto" w:fill="FFFFFF"/>
        </w:rPr>
        <w:t xml:space="preserve">21 </w:t>
      </w:r>
      <w:r w:rsidR="00663571">
        <w:rPr>
          <w:rStyle w:val="normaltextrun"/>
          <w:rFonts w:ascii="Calibri" w:hAnsi="Calibri" w:cs="Calibri"/>
          <w:color w:val="000000"/>
          <w:shd w:val="clear" w:color="auto" w:fill="FFFFFF"/>
        </w:rPr>
        <w:t>levels</w:t>
      </w:r>
      <w:r w:rsidR="00500F2B">
        <w:rPr>
          <w:rStyle w:val="normaltextrun"/>
          <w:rFonts w:ascii="Calibri" w:hAnsi="Calibri" w:cs="Calibri"/>
          <w:color w:val="000000"/>
          <w:shd w:val="clear" w:color="auto" w:fill="FFFFFF"/>
        </w:rPr>
        <w:t xml:space="preserve"> and </w:t>
      </w:r>
      <w:r w:rsidR="00500F2B">
        <w:t>return to pre-pandemic trends by 2026–27</w:t>
      </w:r>
      <w:r w:rsidR="004B14AB">
        <w:rPr>
          <w:rStyle w:val="normaltextrun"/>
          <w:rFonts w:ascii="Calibri" w:hAnsi="Calibri" w:cs="Calibri"/>
          <w:color w:val="000000"/>
          <w:shd w:val="clear" w:color="auto" w:fill="FFFFFF"/>
        </w:rPr>
        <w:t xml:space="preserve">. </w:t>
      </w:r>
      <w:r w:rsidR="008E610B">
        <w:t xml:space="preserve">For </w:t>
      </w:r>
      <w:r w:rsidR="00533D00">
        <w:t xml:space="preserve">the </w:t>
      </w:r>
      <w:r w:rsidR="008E610B">
        <w:t xml:space="preserve">Aboriginal and </w:t>
      </w:r>
      <w:r w:rsidR="00377429">
        <w:t>Torres Strait Islander</w:t>
      </w:r>
      <w:r w:rsidR="00533D00">
        <w:t xml:space="preserve"> population, life expectancy </w:t>
      </w:r>
      <w:r w:rsidR="00F656C0">
        <w:t xml:space="preserve">was </w:t>
      </w:r>
      <w:r w:rsidR="006E02BC">
        <w:t>71.9</w:t>
      </w:r>
      <w:r w:rsidR="00F656C0">
        <w:t xml:space="preserve"> for males and </w:t>
      </w:r>
      <w:r w:rsidR="001D4BAB">
        <w:t>75.6</w:t>
      </w:r>
      <w:r w:rsidR="00F656C0">
        <w:t xml:space="preserve"> for females for the period between </w:t>
      </w:r>
      <w:r w:rsidR="00B23CF9">
        <w:t>2020</w:t>
      </w:r>
      <w:r w:rsidR="00F656C0">
        <w:t xml:space="preserve"> and </w:t>
      </w:r>
      <w:r w:rsidR="00B23CF9">
        <w:t>2022</w:t>
      </w:r>
      <w:r w:rsidR="0041639E">
        <w:t>, which w</w:t>
      </w:r>
      <w:r w:rsidR="002660CD">
        <w:t>as</w:t>
      </w:r>
      <w:r w:rsidR="0041639E">
        <w:t xml:space="preserve"> </w:t>
      </w:r>
      <w:r w:rsidR="003E5336">
        <w:t>over</w:t>
      </w:r>
      <w:r w:rsidR="0041639E">
        <w:t xml:space="preserve"> 8</w:t>
      </w:r>
      <w:r w:rsidR="00377429">
        <w:t> year</w:t>
      </w:r>
      <w:r w:rsidR="0041639E">
        <w:t xml:space="preserve">s lower than </w:t>
      </w:r>
      <w:r w:rsidR="00AD7EC3">
        <w:t xml:space="preserve">the </w:t>
      </w:r>
      <w:r w:rsidR="00952D05">
        <w:t>non</w:t>
      </w:r>
      <w:r w:rsidR="004B14AB">
        <w:noBreakHyphen/>
      </w:r>
      <w:r w:rsidR="008C7749">
        <w:t>I</w:t>
      </w:r>
      <w:r w:rsidR="001C398A">
        <w:t>ndigenous population</w:t>
      </w:r>
      <w:r w:rsidR="00276F08">
        <w:t>.</w:t>
      </w:r>
      <w:bookmarkEnd w:id="89"/>
      <w:r w:rsidR="007A107A">
        <w:rPr>
          <w:rStyle w:val="FootnoteReference"/>
        </w:rPr>
        <w:footnoteReference w:id="16"/>
      </w:r>
      <w:r w:rsidR="00533D00">
        <w:t xml:space="preserve"> </w:t>
      </w:r>
      <w:r w:rsidR="00276F08">
        <w:rPr>
          <w:rStyle w:val="FootnoteReference"/>
        </w:rPr>
        <w:footnoteReference w:id="17"/>
      </w:r>
    </w:p>
    <w:p w14:paraId="0D51E27B" w14:textId="0B0E3D9B" w:rsidR="00412203" w:rsidRPr="00207D66" w:rsidRDefault="0002752C" w:rsidP="00EF5950">
      <w:pPr>
        <w:pStyle w:val="ChartMainHeading"/>
      </w:pPr>
      <w:r w:rsidRPr="00207D66">
        <w:lastRenderedPageBreak/>
        <w:t>Historical and projected life expectanc</w:t>
      </w:r>
      <w:r w:rsidR="006249DA" w:rsidRPr="00207D66">
        <w:t>i</w:t>
      </w:r>
      <w:r w:rsidRPr="00207D66">
        <w:t>es</w:t>
      </w:r>
    </w:p>
    <w:p w14:paraId="126AFC6A" w14:textId="71861586" w:rsidR="0002752C" w:rsidRDefault="000426E6" w:rsidP="00EF5950">
      <w:pPr>
        <w:pStyle w:val="ChartGraphic"/>
      </w:pPr>
      <w:r w:rsidRPr="000426E6">
        <w:rPr>
          <w:noProof/>
        </w:rPr>
        <w:drawing>
          <wp:inline distT="0" distB="0" distL="0" distR="0" wp14:anchorId="573D0109" wp14:editId="28B9A204">
            <wp:extent cx="5581650" cy="2879725"/>
            <wp:effectExtent l="0" t="0" r="0" b="0"/>
            <wp:docPr id="42" name="Picture 42" descr="This line chart shows life expectancy for females and males from 2017-18 to 2033-34. Life expectancy has been increasing since 2017-18. It is projected to decline over 2020-21 to 2025-26, before rec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line chart shows life expectancy for females and males from 2017-18 to 2033-34. Life expectancy has been increasing since 2017-18. It is projected to decline over 2020-21 to 2025-26, before recover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2879725"/>
                    </a:xfrm>
                    <a:prstGeom prst="rect">
                      <a:avLst/>
                    </a:prstGeom>
                    <a:noFill/>
                    <a:ln>
                      <a:noFill/>
                    </a:ln>
                  </pic:spPr>
                </pic:pic>
              </a:graphicData>
            </a:graphic>
          </wp:inline>
        </w:drawing>
      </w:r>
    </w:p>
    <w:p w14:paraId="3014DF22" w14:textId="47CE0DE6" w:rsidR="008B5CAB" w:rsidRPr="00EF5950" w:rsidRDefault="00CE1AEB" w:rsidP="00187E58">
      <w:pPr>
        <w:pStyle w:val="Source"/>
        <w:rPr>
          <w:rStyle w:val="Hyperlink"/>
          <w:color w:val="000000"/>
          <w:sz w:val="20"/>
        </w:rPr>
      </w:pPr>
      <w:r w:rsidRPr="00207D66">
        <w:t xml:space="preserve">Source: </w:t>
      </w:r>
      <w:r w:rsidR="00207D66">
        <w:tab/>
      </w:r>
      <w:r w:rsidR="00D171CB" w:rsidRPr="00207D66">
        <w:t>ABS</w:t>
      </w:r>
      <w:r w:rsidRPr="00207D66">
        <w:t>, Life tables</w:t>
      </w:r>
      <w:r w:rsidR="00FE7B9F" w:rsidRPr="00207D66">
        <w:t xml:space="preserve"> 2019</w:t>
      </w:r>
      <w:r w:rsidR="00E81F0C">
        <w:t>–</w:t>
      </w:r>
      <w:r w:rsidR="00FE7B9F" w:rsidRPr="00207D66">
        <w:t>2021</w:t>
      </w:r>
      <w:r w:rsidR="00A82AC3" w:rsidRPr="00207D66">
        <w:t>;</w:t>
      </w:r>
      <w:r w:rsidRPr="00207D66">
        <w:t xml:space="preserve"> Australian Government Actuary</w:t>
      </w:r>
      <w:r w:rsidR="007F7D21">
        <w:t xml:space="preserve"> and</w:t>
      </w:r>
      <w:r w:rsidRPr="00207D66">
        <w:t xml:space="preserve"> Centre for Population projections.</w:t>
      </w:r>
    </w:p>
    <w:tbl>
      <w:tblPr>
        <w:tblStyle w:val="TableGrid"/>
        <w:tblW w:w="0" w:type="auto"/>
        <w:tblLook w:val="04A0" w:firstRow="1" w:lastRow="0" w:firstColumn="1" w:lastColumn="0" w:noHBand="0" w:noVBand="1"/>
      </w:tblPr>
      <w:tblGrid>
        <w:gridCol w:w="9072"/>
      </w:tblGrid>
      <w:tr w:rsidR="003C6E2A" w:rsidRPr="003B6850" w14:paraId="24EFB551" w14:textId="77777777">
        <w:trPr>
          <w:trHeight w:val="293"/>
        </w:trPr>
        <w:tc>
          <w:tcPr>
            <w:tcW w:w="9072" w:type="dxa"/>
          </w:tcPr>
          <w:p w14:paraId="1DB43E89" w14:textId="521C53E0" w:rsidR="003C6E2A" w:rsidRPr="00645008" w:rsidRDefault="003C6E2A" w:rsidP="00DB4A76">
            <w:pPr>
              <w:pStyle w:val="BoxHeading"/>
            </w:pPr>
            <w:bookmarkStart w:id="90" w:name="_Ref153128669"/>
            <w:bookmarkStart w:id="91" w:name="_Toc151994721"/>
            <w:r>
              <w:t>COVID</w:t>
            </w:r>
            <w:r w:rsidR="005E6BB1">
              <w:t>-19</w:t>
            </w:r>
            <w:r>
              <w:t xml:space="preserve"> </w:t>
            </w:r>
            <w:r w:rsidR="00B210DC">
              <w:t>Mortality in Australia</w:t>
            </w:r>
            <w:r w:rsidR="00435632">
              <w:rPr>
                <w:rStyle w:val="FootnoteReference"/>
              </w:rPr>
              <w:footnoteReference w:id="18"/>
            </w:r>
            <w:bookmarkEnd w:id="90"/>
          </w:p>
          <w:p w14:paraId="26CFD241" w14:textId="637D05AC" w:rsidR="003C6E2A" w:rsidRPr="009843B8" w:rsidRDefault="00BF595A">
            <w:pPr>
              <w:pStyle w:val="Bullet"/>
              <w:numPr>
                <w:ilvl w:val="0"/>
                <w:numId w:val="0"/>
              </w:numPr>
              <w:rPr>
                <w:rFonts w:cstheme="minorHAnsi"/>
              </w:rPr>
            </w:pPr>
            <w:bookmarkStart w:id="92" w:name="_Hlk153272789"/>
            <w:r>
              <w:t>COVID-19 has contributed significantly to mortality in 2022 and 2023</w:t>
            </w:r>
            <w:r w:rsidR="004911E3">
              <w:t xml:space="preserve">, becoming </w:t>
            </w:r>
            <w:r w:rsidR="00DF3CC1">
              <w:t xml:space="preserve">the </w:t>
            </w:r>
            <w:r w:rsidR="004911E3">
              <w:t>third leading cause of death in 2022</w:t>
            </w:r>
            <w:r>
              <w:t>.</w:t>
            </w:r>
            <w:r w:rsidR="00FB7316">
              <w:rPr>
                <w:rStyle w:val="FootnoteReference"/>
              </w:rPr>
              <w:footnoteReference w:id="19"/>
            </w:r>
            <w:r>
              <w:t xml:space="preserve"> </w:t>
            </w:r>
            <w:r w:rsidR="00007AE2">
              <w:t>Of the</w:t>
            </w:r>
            <w:r w:rsidR="00D74FC1">
              <w:t xml:space="preserve"> </w:t>
            </w:r>
            <w:r w:rsidR="004024B3">
              <w:t>16</w:t>
            </w:r>
            <w:r w:rsidR="00D74FC1">
              <w:t>,</w:t>
            </w:r>
            <w:r w:rsidR="00957E54">
              <w:t>0</w:t>
            </w:r>
            <w:r w:rsidR="004024B3">
              <w:t>00</w:t>
            </w:r>
            <w:r w:rsidR="00D74FC1">
              <w:t xml:space="preserve"> people</w:t>
            </w:r>
            <w:r w:rsidR="0036633D">
              <w:t xml:space="preserve"> who </w:t>
            </w:r>
            <w:r w:rsidR="000E419B">
              <w:t xml:space="preserve">have </w:t>
            </w:r>
            <w:r w:rsidR="0036633D">
              <w:t xml:space="preserve">died </w:t>
            </w:r>
            <w:r w:rsidR="00D74FC1">
              <w:t>due to COVID-19</w:t>
            </w:r>
            <w:r w:rsidR="000E419B">
              <w:t>,</w:t>
            </w:r>
            <w:r w:rsidR="009C51BD">
              <w:t xml:space="preserve"> 900 </w:t>
            </w:r>
            <w:r w:rsidR="000E419B">
              <w:t>deaths occurred</w:t>
            </w:r>
            <w:r w:rsidR="009C51BD">
              <w:t xml:space="preserve"> in 2020, 1,</w:t>
            </w:r>
            <w:r w:rsidR="002B2EB8">
              <w:t xml:space="preserve">400 in 2021, 10,300 in 2022 and </w:t>
            </w:r>
            <w:r w:rsidR="00694C19">
              <w:t>3</w:t>
            </w:r>
            <w:r w:rsidR="002B2EB8">
              <w:t>,</w:t>
            </w:r>
            <w:r w:rsidR="00562E57">
              <w:t>4</w:t>
            </w:r>
            <w:r w:rsidR="002B2EB8">
              <w:t xml:space="preserve">00 </w:t>
            </w:r>
            <w:r w:rsidR="00E45A35">
              <w:t xml:space="preserve">in 2023 </w:t>
            </w:r>
            <w:r w:rsidR="00025FDB">
              <w:t>(</w:t>
            </w:r>
            <w:r w:rsidR="00936226">
              <w:t xml:space="preserve">up to </w:t>
            </w:r>
            <w:r w:rsidR="00957E54">
              <w:t>August</w:t>
            </w:r>
            <w:r w:rsidR="00025FDB">
              <w:t>)</w:t>
            </w:r>
            <w:r w:rsidR="00C433D7">
              <w:t>.</w:t>
            </w:r>
            <w:r w:rsidR="00B77FA6">
              <w:rPr>
                <w:rStyle w:val="FootnoteReference"/>
              </w:rPr>
              <w:footnoteReference w:id="20"/>
            </w:r>
            <w:r w:rsidR="00C433D7">
              <w:t xml:space="preserve"> </w:t>
            </w:r>
            <w:r w:rsidR="00D1746E">
              <w:t>The</w:t>
            </w:r>
            <w:r w:rsidR="009642E4" w:rsidRPr="00187E58">
              <w:t xml:space="preserve"> 3,400 registered deaths directly due to COVID</w:t>
            </w:r>
            <w:r w:rsidR="009642E4" w:rsidRPr="00187E58">
              <w:noBreakHyphen/>
              <w:t xml:space="preserve">19 in the first 8 months of 2023 </w:t>
            </w:r>
            <w:r w:rsidR="00D1746E">
              <w:t xml:space="preserve">is </w:t>
            </w:r>
            <w:r w:rsidR="009642E4" w:rsidRPr="00187E58">
              <w:t xml:space="preserve">less than half those for the same period in 2022 </w:t>
            </w:r>
            <w:r w:rsidR="0065753C">
              <w:t>(</w:t>
            </w:r>
            <w:r w:rsidR="009642E4" w:rsidRPr="00187E58">
              <w:t>8,200</w:t>
            </w:r>
            <w:r w:rsidR="0065753C">
              <w:t>)</w:t>
            </w:r>
            <w:r w:rsidR="009642E4" w:rsidRPr="00187E58">
              <w:t>.</w:t>
            </w:r>
          </w:p>
          <w:p w14:paraId="1006C49A" w14:textId="31FF36A2" w:rsidR="00B210DC" w:rsidRPr="00191434" w:rsidRDefault="000F7088" w:rsidP="00B210DC">
            <w:r>
              <w:t>In 2023, t</w:t>
            </w:r>
            <w:r w:rsidR="00B210DC" w:rsidRPr="00FB7445">
              <w:t>he vast majority (8</w:t>
            </w:r>
            <w:r w:rsidR="00B210DC">
              <w:t>5.2</w:t>
            </w:r>
            <w:r w:rsidR="001F3B6F">
              <w:t> per cent</w:t>
            </w:r>
            <w:r w:rsidR="00B210DC" w:rsidRPr="00FB7445">
              <w:t>) of deaths due to COVID</w:t>
            </w:r>
            <w:r w:rsidR="00B210DC">
              <w:noBreakHyphen/>
            </w:r>
            <w:r w:rsidR="00B210DC" w:rsidRPr="00FB7445">
              <w:t xml:space="preserve">19 </w:t>
            </w:r>
            <w:r w:rsidR="00F82ED3">
              <w:t>have been</w:t>
            </w:r>
            <w:r w:rsidR="00F82ED3" w:rsidRPr="00FB7445">
              <w:t xml:space="preserve"> </w:t>
            </w:r>
            <w:r w:rsidR="00B210DC" w:rsidRPr="00FB7445">
              <w:t>reported with other pre</w:t>
            </w:r>
            <w:r w:rsidR="00B210DC">
              <w:noBreakHyphen/>
            </w:r>
            <w:r w:rsidR="00B210DC" w:rsidRPr="00FB7445">
              <w:t>existing chronic conditions listed on the death certificate.</w:t>
            </w:r>
            <w:r w:rsidR="00796743">
              <w:rPr>
                <w:rStyle w:val="FootnoteReference"/>
              </w:rPr>
              <w:footnoteReference w:id="21"/>
            </w:r>
            <w:r w:rsidR="00B210DC" w:rsidRPr="00FB7445">
              <w:t xml:space="preserve"> Chronic cardiac conditions, dementia including Alzheimer</w:t>
            </w:r>
            <w:r w:rsidR="00B210DC">
              <w:t>’</w:t>
            </w:r>
            <w:r w:rsidR="00B210DC" w:rsidRPr="00FB7445">
              <w:t xml:space="preserve">s, chronic respiratory conditions, </w:t>
            </w:r>
            <w:r w:rsidR="00B210DC">
              <w:t xml:space="preserve">cancer and </w:t>
            </w:r>
            <w:r w:rsidR="00B210DC" w:rsidRPr="00FC7CA1">
              <w:t>diabetes</w:t>
            </w:r>
            <w:r w:rsidR="00B210DC" w:rsidRPr="00FB7445">
              <w:t xml:space="preserve"> are among the most commonly reported pre</w:t>
            </w:r>
            <w:r w:rsidR="00B210DC">
              <w:noBreakHyphen/>
            </w:r>
            <w:r w:rsidR="00B210DC" w:rsidRPr="00FB7445">
              <w:t>existing chronic conditions that increase the risk of developing severe illness and dying from COVID</w:t>
            </w:r>
            <w:r w:rsidR="00B210DC">
              <w:noBreakHyphen/>
            </w:r>
            <w:r w:rsidR="00B210DC" w:rsidRPr="00FB7445">
              <w:t xml:space="preserve">19 in Australia. Pneumonia was the most common acute disease outcome and was present in </w:t>
            </w:r>
            <w:r w:rsidR="00CB0449">
              <w:t>38.9</w:t>
            </w:r>
            <w:r w:rsidR="001F3B6F">
              <w:t> per cent</w:t>
            </w:r>
            <w:r w:rsidR="00B210DC" w:rsidRPr="00FB7445">
              <w:t xml:space="preserve"> of COVID</w:t>
            </w:r>
            <w:r w:rsidR="00B210DC">
              <w:noBreakHyphen/>
            </w:r>
            <w:r w:rsidR="00B210DC" w:rsidRPr="00FB7445">
              <w:t>19 deaths in 202</w:t>
            </w:r>
            <w:r w:rsidR="00CB0449">
              <w:t>3</w:t>
            </w:r>
            <w:r w:rsidR="00B210DC" w:rsidRPr="00FB7445">
              <w:t xml:space="preserve">. </w:t>
            </w:r>
          </w:p>
          <w:p w14:paraId="43581378" w14:textId="6AE099A9" w:rsidR="003C6E2A" w:rsidRPr="00B344C9" w:rsidRDefault="00B210DC" w:rsidP="00187E58">
            <w:pPr>
              <w:pStyle w:val="BoxText"/>
            </w:pPr>
            <w:r>
              <w:t>COVID-19 mortality in Australia has been below rates experienced in many other advanced economies. Since the start of the COVID</w:t>
            </w:r>
            <w:r>
              <w:noBreakHyphen/>
              <w:t>19 pandemic, Australia has experienced 76.9 COVID</w:t>
            </w:r>
            <w:r>
              <w:noBreakHyphen/>
              <w:t>19 deaths per 100,000 people</w:t>
            </w:r>
            <w:r w:rsidR="00797921">
              <w:t xml:space="preserve"> </w:t>
            </w:r>
            <w:r w:rsidR="00894DC2">
              <w:t>–</w:t>
            </w:r>
            <w:r>
              <w:t xml:space="preserve"> the United Kingdom, the United States and Canada experienced </w:t>
            </w:r>
            <w:r w:rsidR="006A5E26">
              <w:t>325.1</w:t>
            </w:r>
            <w:r>
              <w:t xml:space="preserve">, </w:t>
            </w:r>
            <w:r w:rsidR="00491D53">
              <w:t>341.1</w:t>
            </w:r>
            <w:r>
              <w:t xml:space="preserve"> and 135.2 COVID</w:t>
            </w:r>
            <w:r>
              <w:noBreakHyphen/>
              <w:t>19 deaths per 100,000 people respectively.</w:t>
            </w:r>
            <w:r>
              <w:rPr>
                <w:rStyle w:val="FootnoteReference"/>
              </w:rPr>
              <w:footnoteReference w:id="22"/>
            </w:r>
            <w:r>
              <w:t xml:space="preserve"> New Zealand experienced fewer COVID</w:t>
            </w:r>
            <w:r>
              <w:noBreakHyphen/>
              <w:t xml:space="preserve">19 deaths than Australia, with </w:t>
            </w:r>
            <w:r w:rsidRPr="007D5E71">
              <w:t>52.9 deaths per 100,000 people</w:t>
            </w:r>
            <w:r>
              <w:rPr>
                <w:rStyle w:val="cf01"/>
              </w:rPr>
              <w:t>.</w:t>
            </w:r>
            <w:bookmarkEnd w:id="92"/>
          </w:p>
        </w:tc>
      </w:tr>
    </w:tbl>
    <w:p w14:paraId="1C8A4545" w14:textId="77777777" w:rsidR="006A4BC1" w:rsidRDefault="006A4BC1" w:rsidP="004B14AB">
      <w:pPr>
        <w:rPr>
          <w:lang w:eastAsia="en-AU"/>
        </w:rPr>
        <w:sectPr w:rsidR="006A4BC1" w:rsidSect="00B55588">
          <w:headerReference w:type="even" r:id="rId42"/>
          <w:headerReference w:type="default" r:id="rId43"/>
          <w:footerReference w:type="even" r:id="rId44"/>
          <w:footerReference w:type="default" r:id="rId45"/>
          <w:headerReference w:type="first" r:id="rId46"/>
          <w:footerReference w:type="first" r:id="rId47"/>
          <w:pgSz w:w="11906" w:h="16838" w:code="9"/>
          <w:pgMar w:top="1417" w:right="1417" w:bottom="1417" w:left="1417" w:header="709" w:footer="709" w:gutter="0"/>
          <w:pgNumType w:start="1"/>
          <w:cols w:space="708"/>
          <w:docGrid w:linePitch="360"/>
        </w:sectPr>
      </w:pPr>
    </w:p>
    <w:p w14:paraId="3A85E70C" w14:textId="160819F4" w:rsidR="00E47BB8" w:rsidRDefault="00BE563C" w:rsidP="00EF5950">
      <w:pPr>
        <w:pStyle w:val="Heading1Numbered"/>
      </w:pPr>
      <w:bookmarkStart w:id="93" w:name="_Toc149846504"/>
      <w:bookmarkStart w:id="94" w:name="_Toc149846545"/>
      <w:bookmarkStart w:id="95" w:name="_Toc149846643"/>
      <w:bookmarkStart w:id="96" w:name="_Toc149847586"/>
      <w:bookmarkStart w:id="97" w:name="_Toc154050210"/>
      <w:r>
        <w:lastRenderedPageBreak/>
        <w:t>Sub</w:t>
      </w:r>
      <w:r w:rsidR="004B14AB">
        <w:noBreakHyphen/>
      </w:r>
      <w:r w:rsidR="00C517ED">
        <w:t xml:space="preserve">national </w:t>
      </w:r>
      <w:r w:rsidR="00E47BB8">
        <w:t>populations</w:t>
      </w:r>
      <w:bookmarkEnd w:id="91"/>
      <w:bookmarkEnd w:id="93"/>
      <w:bookmarkEnd w:id="94"/>
      <w:bookmarkEnd w:id="95"/>
      <w:bookmarkEnd w:id="96"/>
      <w:bookmarkEnd w:id="97"/>
    </w:p>
    <w:p w14:paraId="3F340F81" w14:textId="1B04AA9E" w:rsidR="00E47BB8" w:rsidRDefault="00E47BB8" w:rsidP="00EF5950">
      <w:pPr>
        <w:pStyle w:val="Heading2Numbered"/>
      </w:pPr>
      <w:bookmarkStart w:id="98" w:name="_Toc149846505"/>
      <w:bookmarkStart w:id="99" w:name="_Toc149846546"/>
      <w:bookmarkStart w:id="100" w:name="_Toc149846644"/>
      <w:bookmarkStart w:id="101" w:name="_Toc149847587"/>
      <w:bookmarkStart w:id="102" w:name="_Toc151994722"/>
      <w:bookmarkStart w:id="103" w:name="_Toc154050211"/>
      <w:r>
        <w:t>Summary</w:t>
      </w:r>
      <w:bookmarkEnd w:id="98"/>
      <w:bookmarkEnd w:id="99"/>
      <w:bookmarkEnd w:id="100"/>
      <w:bookmarkEnd w:id="101"/>
      <w:bookmarkEnd w:id="102"/>
      <w:bookmarkEnd w:id="103"/>
    </w:p>
    <w:p w14:paraId="6014D6FD" w14:textId="4A8722C4" w:rsidR="001734BE" w:rsidRDefault="00BE563C" w:rsidP="00207D66">
      <w:pPr>
        <w:pStyle w:val="Heading3"/>
      </w:pPr>
      <w:bookmarkStart w:id="104" w:name="_Toc149846506"/>
      <w:bookmarkStart w:id="105" w:name="_Toc149846547"/>
      <w:bookmarkStart w:id="106" w:name="_Toc149846645"/>
      <w:bookmarkStart w:id="107" w:name="_Toc149847588"/>
      <w:r>
        <w:t xml:space="preserve">States and </w:t>
      </w:r>
      <w:r w:rsidRPr="00207D66">
        <w:t>territories</w:t>
      </w:r>
      <w:bookmarkEnd w:id="104"/>
      <w:bookmarkEnd w:id="105"/>
      <w:bookmarkEnd w:id="106"/>
      <w:bookmarkEnd w:id="107"/>
    </w:p>
    <w:p w14:paraId="46156096" w14:textId="7026403E" w:rsidR="00CA5592" w:rsidRDefault="00B3557D" w:rsidP="00EF5950">
      <w:r>
        <w:t>S</w:t>
      </w:r>
      <w:r w:rsidR="00CA5592">
        <w:t>tates</w:t>
      </w:r>
      <w:r w:rsidR="00EE57B6">
        <w:t xml:space="preserve"> and territories</w:t>
      </w:r>
      <w:r w:rsidR="00CA5592">
        <w:t xml:space="preserve"> </w:t>
      </w:r>
      <w:r w:rsidR="00A2354A">
        <w:t>are also</w:t>
      </w:r>
      <w:r w:rsidR="00CA5592">
        <w:t xml:space="preserve"> recovering from the impacts of the COVID</w:t>
      </w:r>
      <w:r w:rsidR="004B14AB">
        <w:noBreakHyphen/>
      </w:r>
      <w:r w:rsidR="00CA5592">
        <w:t>19 pandemic</w:t>
      </w:r>
      <w:r w:rsidR="002C03AC">
        <w:t xml:space="preserve"> and are </w:t>
      </w:r>
      <w:r w:rsidR="00E37724">
        <w:t xml:space="preserve">forecast </w:t>
      </w:r>
      <w:r w:rsidR="002C03AC">
        <w:t>to return to long</w:t>
      </w:r>
      <w:r w:rsidR="003B4E32">
        <w:t>-</w:t>
      </w:r>
      <w:r w:rsidR="002C03AC">
        <w:t xml:space="preserve">run </w:t>
      </w:r>
      <w:r w:rsidR="00714840" w:rsidDel="00EA63CC">
        <w:t xml:space="preserve">population growth </w:t>
      </w:r>
      <w:r w:rsidR="002C03AC">
        <w:t>trends by 2025</w:t>
      </w:r>
      <w:r w:rsidR="00E54F9C" w:rsidDel="00EA63CC">
        <w:t>–</w:t>
      </w:r>
      <w:r w:rsidR="002C03AC">
        <w:t>26</w:t>
      </w:r>
      <w:r w:rsidR="00CA5592">
        <w:t>.</w:t>
      </w:r>
      <w:r w:rsidR="00882C84">
        <w:t xml:space="preserve"> This is largely due to the faster than expected recovery of net overseas migration</w:t>
      </w:r>
      <w:r w:rsidR="00A86DA2">
        <w:t xml:space="preserve">, which will </w:t>
      </w:r>
      <w:r w:rsidR="00DA21B5">
        <w:t xml:space="preserve">contribute to </w:t>
      </w:r>
      <w:r w:rsidR="00A86DA2">
        <w:t>all state</w:t>
      </w:r>
      <w:r w:rsidR="00BA2BBF">
        <w:t>s</w:t>
      </w:r>
      <w:r w:rsidR="004B14AB">
        <w:t>’</w:t>
      </w:r>
      <w:r w:rsidR="00A86DA2">
        <w:t xml:space="preserve"> population growth over the forecast period</w:t>
      </w:r>
      <w:r w:rsidR="00882C84">
        <w:t xml:space="preserve">. </w:t>
      </w:r>
    </w:p>
    <w:p w14:paraId="7C628A2A" w14:textId="2CE3AE1B" w:rsidR="009D30C2" w:rsidRDefault="00FD3E33" w:rsidP="00EF5950">
      <w:r>
        <w:t xml:space="preserve">In </w:t>
      </w:r>
      <w:r w:rsidR="0087277C">
        <w:t>2022</w:t>
      </w:r>
      <w:r w:rsidR="008C0B3E">
        <w:t>–</w:t>
      </w:r>
      <w:r w:rsidR="0087277C">
        <w:t>23,</w:t>
      </w:r>
      <w:r>
        <w:t xml:space="preserve"> </w:t>
      </w:r>
      <w:r w:rsidR="00A13B8D">
        <w:t>Western Australia</w:t>
      </w:r>
      <w:r w:rsidDel="00447E2E">
        <w:t xml:space="preserve"> </w:t>
      </w:r>
      <w:r w:rsidR="003C1E50">
        <w:t xml:space="preserve">is </w:t>
      </w:r>
      <w:r w:rsidR="00F22F8B">
        <w:t>forecast</w:t>
      </w:r>
      <w:r w:rsidR="003C1E50">
        <w:t xml:space="preserve"> to have </w:t>
      </w:r>
      <w:r w:rsidR="003C4281">
        <w:t xml:space="preserve">the </w:t>
      </w:r>
      <w:r w:rsidR="00ED3047">
        <w:t>highest</w:t>
      </w:r>
      <w:r w:rsidR="003C4281">
        <w:t xml:space="preserve"> </w:t>
      </w:r>
      <w:r w:rsidR="003C1E50">
        <w:t xml:space="preserve">population growth rate </w:t>
      </w:r>
      <w:r w:rsidR="00ED3047">
        <w:t>(</w:t>
      </w:r>
      <w:r w:rsidR="007E38E7">
        <w:t>3</w:t>
      </w:r>
      <w:r w:rsidR="001F3B6F">
        <w:t> per cent</w:t>
      </w:r>
      <w:r w:rsidR="00ED3047">
        <w:t>)</w:t>
      </w:r>
      <w:r w:rsidR="00F47DBA">
        <w:t xml:space="preserve">, </w:t>
      </w:r>
      <w:r w:rsidR="00F266E5">
        <w:t>with elevated</w:t>
      </w:r>
      <w:r w:rsidR="00F47DBA">
        <w:t xml:space="preserve"> </w:t>
      </w:r>
      <w:r w:rsidR="00EB0BBB">
        <w:t>n</w:t>
      </w:r>
      <w:r w:rsidR="00103DE9">
        <w:t>et overseas migration</w:t>
      </w:r>
      <w:r w:rsidR="001A1F71">
        <w:t xml:space="preserve">. </w:t>
      </w:r>
      <w:r w:rsidR="009D30C2">
        <w:t xml:space="preserve">Tasmania is </w:t>
      </w:r>
      <w:r w:rsidR="00044A30">
        <w:t>forecast</w:t>
      </w:r>
      <w:r w:rsidR="002C6748">
        <w:t xml:space="preserve"> to have the lowest </w:t>
      </w:r>
      <w:r w:rsidR="00DF7E6C">
        <w:t>population</w:t>
      </w:r>
      <w:r w:rsidR="002C6748">
        <w:t xml:space="preserve"> growth rate</w:t>
      </w:r>
      <w:r w:rsidR="000C7F37">
        <w:t xml:space="preserve">, </w:t>
      </w:r>
      <w:r w:rsidR="007D4E2D">
        <w:t>at</w:t>
      </w:r>
      <w:r w:rsidR="002C6748">
        <w:t xml:space="preserve"> 0.5</w:t>
      </w:r>
      <w:r w:rsidR="001F3B6F">
        <w:t> per cent</w:t>
      </w:r>
      <w:r w:rsidR="002C6748">
        <w:t xml:space="preserve"> in 2022</w:t>
      </w:r>
      <w:r w:rsidR="005066DA">
        <w:t>–</w:t>
      </w:r>
      <w:r w:rsidR="002C6748">
        <w:t>23</w:t>
      </w:r>
      <w:r w:rsidR="004E777D">
        <w:t>,</w:t>
      </w:r>
      <w:r w:rsidR="009D30C2">
        <w:t xml:space="preserve"> </w:t>
      </w:r>
      <w:r w:rsidR="002A5FB4">
        <w:t>mostly due to</w:t>
      </w:r>
      <w:r w:rsidR="009D30C2">
        <w:t xml:space="preserve"> </w:t>
      </w:r>
      <w:r w:rsidR="0006414B">
        <w:t>its</w:t>
      </w:r>
      <w:r w:rsidR="005B0A54" w:rsidDel="00EA63CC">
        <w:t xml:space="preserve"> relatively low share of net overseas migration</w:t>
      </w:r>
      <w:r w:rsidR="00D23599" w:rsidDel="00EA63CC">
        <w:t>.</w:t>
      </w:r>
    </w:p>
    <w:p w14:paraId="61A92FEF" w14:textId="6D9C4A09" w:rsidR="002879C9" w:rsidRDefault="00CD5ECC" w:rsidP="00EF5950">
      <w:r>
        <w:t xml:space="preserve">The </w:t>
      </w:r>
      <w:r w:rsidR="002879C9">
        <w:t xml:space="preserve">Australian Capital Territory is projected to be the fastest growing </w:t>
      </w:r>
      <w:r w:rsidR="00604DAF">
        <w:t>jur</w:t>
      </w:r>
      <w:r w:rsidR="00F56466">
        <w:t>isdiction</w:t>
      </w:r>
      <w:r w:rsidR="002879C9">
        <w:t xml:space="preserve"> by 2025</w:t>
      </w:r>
      <w:r w:rsidR="00E54F9C" w:rsidDel="00EA63CC">
        <w:t>–</w:t>
      </w:r>
      <w:r w:rsidR="002879C9">
        <w:t>26</w:t>
      </w:r>
      <w:r w:rsidR="00DC0A0E">
        <w:t xml:space="preserve"> at </w:t>
      </w:r>
      <w:r w:rsidR="008E3E8C">
        <w:t>1.9</w:t>
      </w:r>
      <w:r w:rsidR="001F3B6F">
        <w:t> per cent</w:t>
      </w:r>
      <w:r w:rsidR="00A47B85">
        <w:t xml:space="preserve">, partially driven by </w:t>
      </w:r>
      <w:r w:rsidR="00616F88">
        <w:t xml:space="preserve">relatively </w:t>
      </w:r>
      <w:r w:rsidR="00A47B85">
        <w:t>high</w:t>
      </w:r>
      <w:r w:rsidR="002F7B81">
        <w:t>er</w:t>
      </w:r>
      <w:r w:rsidR="00A47B85">
        <w:t xml:space="preserve"> </w:t>
      </w:r>
      <w:r w:rsidR="00B86B2A">
        <w:t>rates</w:t>
      </w:r>
      <w:r w:rsidR="00A47B85">
        <w:t xml:space="preserve"> of </w:t>
      </w:r>
      <w:r w:rsidR="00415DBE">
        <w:t>births and l</w:t>
      </w:r>
      <w:r w:rsidR="00C56324">
        <w:t xml:space="preserve">ower rates of deaths </w:t>
      </w:r>
      <w:r w:rsidR="00A47B85">
        <w:t xml:space="preserve">compared to </w:t>
      </w:r>
      <w:r w:rsidR="009B2525">
        <w:t xml:space="preserve">most </w:t>
      </w:r>
      <w:r w:rsidR="00A47B85">
        <w:t>other states</w:t>
      </w:r>
      <w:r w:rsidR="00FC2928">
        <w:t>, due to its younger age profile</w:t>
      </w:r>
      <w:r w:rsidR="002879C9">
        <w:t>. N</w:t>
      </w:r>
      <w:r w:rsidR="002879C9" w:rsidRPr="0080495D">
        <w:t xml:space="preserve">ew South Wales is projected to grow more slowly than the </w:t>
      </w:r>
      <w:r w:rsidR="00E343DA" w:rsidRPr="0080495D">
        <w:t xml:space="preserve">other </w:t>
      </w:r>
      <w:r w:rsidR="00E73EDF">
        <w:t xml:space="preserve">mainland </w:t>
      </w:r>
      <w:r w:rsidR="00E343DA" w:rsidRPr="0080495D">
        <w:t>eastern states</w:t>
      </w:r>
      <w:r w:rsidR="00E343DA">
        <w:t xml:space="preserve"> </w:t>
      </w:r>
      <w:r w:rsidR="002879C9">
        <w:t>but remain</w:t>
      </w:r>
      <w:r w:rsidR="002879C9" w:rsidRPr="0080495D">
        <w:t xml:space="preserve"> Australia</w:t>
      </w:r>
      <w:r w:rsidR="004B14AB">
        <w:t>’</w:t>
      </w:r>
      <w:r w:rsidR="002879C9" w:rsidRPr="0080495D">
        <w:t xml:space="preserve">s largest state with a population of </w:t>
      </w:r>
      <w:r w:rsidR="002879C9">
        <w:t>9.</w:t>
      </w:r>
      <w:r w:rsidR="00661FB4">
        <w:t>5</w:t>
      </w:r>
      <w:r w:rsidR="00B60CDA">
        <w:t> </w:t>
      </w:r>
      <w:r w:rsidR="002879C9" w:rsidRPr="0080495D">
        <w:t>million</w:t>
      </w:r>
      <w:r w:rsidR="002879C9" w:rsidRPr="00E011D8">
        <w:t xml:space="preserve"> </w:t>
      </w:r>
      <w:r w:rsidR="00B5143C">
        <w:t>and 3</w:t>
      </w:r>
      <w:r w:rsidR="00C25096">
        <w:t>0.7</w:t>
      </w:r>
      <w:r w:rsidR="001F3B6F">
        <w:t> per cent</w:t>
      </w:r>
      <w:r w:rsidR="00C25096">
        <w:t xml:space="preserve"> of </w:t>
      </w:r>
      <w:r w:rsidR="00594105">
        <w:t>the national population</w:t>
      </w:r>
      <w:r w:rsidR="002879C9" w:rsidRPr="00E011D8">
        <w:t xml:space="preserve"> </w:t>
      </w:r>
      <w:r w:rsidR="002879C9" w:rsidRPr="0080495D">
        <w:t>in 203</w:t>
      </w:r>
      <w:r w:rsidR="002879C9">
        <w:t>3–</w:t>
      </w:r>
      <w:r w:rsidR="002879C9" w:rsidRPr="0080495D">
        <w:t>3</w:t>
      </w:r>
      <w:r w:rsidR="002879C9">
        <w:t>4</w:t>
      </w:r>
      <w:r w:rsidR="002879C9" w:rsidRPr="0080495D">
        <w:t>.</w:t>
      </w:r>
      <w:r w:rsidR="00B86B2A">
        <w:t xml:space="preserve"> </w:t>
      </w:r>
      <w:r w:rsidR="00FF1C60">
        <w:t xml:space="preserve">Tasmania and South Australia </w:t>
      </w:r>
      <w:r w:rsidR="0020156D" w:rsidDel="00EA63CC">
        <w:t>are</w:t>
      </w:r>
      <w:r w:rsidR="00FF1C60">
        <w:t xml:space="preserve"> the slowest growing states </w:t>
      </w:r>
      <w:r w:rsidR="00200AEB">
        <w:t>over the projection</w:t>
      </w:r>
      <w:r w:rsidR="00A67300">
        <w:t xml:space="preserve"> period</w:t>
      </w:r>
      <w:r w:rsidR="00200AEB">
        <w:t xml:space="preserve"> with </w:t>
      </w:r>
      <w:r w:rsidR="00FE571C">
        <w:t>l</w:t>
      </w:r>
      <w:r w:rsidR="00EB0379">
        <w:t xml:space="preserve">ittle </w:t>
      </w:r>
      <w:r w:rsidR="00FE571C">
        <w:t>natural increase</w:t>
      </w:r>
      <w:r w:rsidR="00EB0379">
        <w:t xml:space="preserve"> (due to the </w:t>
      </w:r>
      <w:r w:rsidR="00EB0379" w:rsidDel="00EA63CC">
        <w:t>population</w:t>
      </w:r>
      <w:r w:rsidR="004B14AB">
        <w:t>’</w:t>
      </w:r>
      <w:r w:rsidR="00EB0379" w:rsidDel="00EA63CC">
        <w:t>s</w:t>
      </w:r>
      <w:r w:rsidR="00EB0379">
        <w:t xml:space="preserve"> age</w:t>
      </w:r>
      <w:r w:rsidR="005B7A4D" w:rsidDel="00EA63CC">
        <w:t xml:space="preserve"> structure</w:t>
      </w:r>
      <w:r w:rsidR="00EB0379">
        <w:t>)</w:t>
      </w:r>
      <w:r w:rsidR="00D47100">
        <w:t xml:space="preserve"> and </w:t>
      </w:r>
      <w:r w:rsidR="00A67300">
        <w:t>little or negative interstate migration.</w:t>
      </w:r>
    </w:p>
    <w:p w14:paraId="3105C719" w14:textId="4681C7CD" w:rsidR="009612E5" w:rsidRPr="0080495D" w:rsidRDefault="009612E5" w:rsidP="007D5E71">
      <w:pPr>
        <w:pStyle w:val="ChartMainHeading"/>
        <w:tabs>
          <w:tab w:val="clear" w:pos="993"/>
          <w:tab w:val="left" w:pos="1134"/>
        </w:tabs>
        <w:ind w:left="0" w:firstLine="0"/>
      </w:pPr>
      <w:bookmarkStart w:id="108" w:name="_Ref116297400"/>
      <w:r w:rsidRPr="0080495D">
        <w:t xml:space="preserve">Population </w:t>
      </w:r>
      <w:r w:rsidRPr="00207D66">
        <w:t>growth</w:t>
      </w:r>
      <w:r w:rsidRPr="0080495D">
        <w:t>, state</w:t>
      </w:r>
      <w:bookmarkEnd w:id="108"/>
      <w:r>
        <w:t>s and territories</w:t>
      </w:r>
    </w:p>
    <w:p w14:paraId="199C22EA" w14:textId="0E62F330" w:rsidR="00AA39BB" w:rsidRDefault="00F638FF" w:rsidP="003E2236">
      <w:pPr>
        <w:pStyle w:val="ChartGraphic"/>
      </w:pPr>
      <w:r w:rsidRPr="00F638FF">
        <w:rPr>
          <w:noProof/>
        </w:rPr>
        <w:drawing>
          <wp:inline distT="0" distB="0" distL="0" distR="0" wp14:anchorId="1016B223" wp14:editId="6CD73750">
            <wp:extent cx="5642610" cy="2887345"/>
            <wp:effectExtent l="0" t="0" r="0" b="0"/>
            <wp:docPr id="45" name="Picture 45" descr="These charts compare the population growth of all states and territories for the last five years and over the projection period. Larger states experienced greater declines in population growth in 2019-20 and 2020-21. All states except for Tasmania and the Northern Territory are expected to have sharp increases in growth in 2022-23.  Growth is expected to return to more normal patterns from 2025-26, with the Australian Capital Territory and Victoria being the fastest growing states and South Australia and Tasmania the slowest growing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se charts compare the population growth of all states and territories for the last five years and over the projection period. Larger states experienced greater declines in population growth in 2019-20 and 2020-21. All states except for Tasmania and the Northern Territory are expected to have sharp increases in growth in 2022-23.  Growth is expected to return to more normal patterns from 2025-26, with the Australian Capital Territory and Victoria being the fastest growing states and South Australia and Tasmania the slowest growing sta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2610" cy="2887345"/>
                    </a:xfrm>
                    <a:prstGeom prst="rect">
                      <a:avLst/>
                    </a:prstGeom>
                    <a:noFill/>
                    <a:ln>
                      <a:noFill/>
                    </a:ln>
                  </pic:spPr>
                </pic:pic>
              </a:graphicData>
            </a:graphic>
          </wp:inline>
        </w:drawing>
      </w:r>
    </w:p>
    <w:p w14:paraId="452DC8E0" w14:textId="31247916" w:rsidR="00981A1F" w:rsidRPr="003E2236" w:rsidRDefault="009368C2" w:rsidP="00291880">
      <w:pPr>
        <w:pStyle w:val="Source"/>
        <w:rPr>
          <w:rStyle w:val="Hyperlink"/>
          <w:color w:val="000000"/>
          <w:sz w:val="20"/>
        </w:rPr>
      </w:pPr>
      <w:r w:rsidRPr="00207D66">
        <w:t xml:space="preserve">Source: </w:t>
      </w:r>
      <w:r w:rsidR="00207D66" w:rsidRPr="00207D66">
        <w:tab/>
      </w:r>
      <w:r w:rsidR="00DD1DCF" w:rsidRPr="00207D66">
        <w:t>ABS</w:t>
      </w:r>
      <w:r w:rsidRPr="00207D66">
        <w:t>, National, state and territory population, March 2023</w:t>
      </w:r>
      <w:r w:rsidR="0081191B" w:rsidRPr="00207D66">
        <w:t xml:space="preserve"> </w:t>
      </w:r>
      <w:r w:rsidRPr="00207D66">
        <w:t>and Centre for Population projections.</w:t>
      </w:r>
    </w:p>
    <w:p w14:paraId="32A2D4C2" w14:textId="616D8FD9" w:rsidR="007B770E" w:rsidRDefault="00AE6B71" w:rsidP="007B770E">
      <w:r>
        <w:t>D</w:t>
      </w:r>
      <w:r w:rsidR="007B770E">
        <w:t>emographics var</w:t>
      </w:r>
      <w:r>
        <w:t>y</w:t>
      </w:r>
      <w:r w:rsidR="007B770E">
        <w:t xml:space="preserve"> significantly by state. In 2021, </w:t>
      </w:r>
      <w:r w:rsidR="007B770E" w:rsidRPr="002C532B">
        <w:t xml:space="preserve">Western Australia had the highest proportion </w:t>
      </w:r>
      <w:r w:rsidR="005B49B9">
        <w:t xml:space="preserve">of its population </w:t>
      </w:r>
      <w:r w:rsidR="007B770E" w:rsidRPr="002C532B">
        <w:t xml:space="preserve">born overseas </w:t>
      </w:r>
      <w:r w:rsidR="007B770E">
        <w:t>(</w:t>
      </w:r>
      <w:r w:rsidR="007B770E" w:rsidRPr="002C532B">
        <w:t>34</w:t>
      </w:r>
      <w:r w:rsidR="001F3B6F">
        <w:t> per cent</w:t>
      </w:r>
      <w:r w:rsidR="007B770E">
        <w:t>)</w:t>
      </w:r>
      <w:r w:rsidR="007B770E" w:rsidRPr="002C532B">
        <w:t xml:space="preserve"> while Tasmania had the lowest </w:t>
      </w:r>
      <w:r w:rsidR="007B770E">
        <w:t>(</w:t>
      </w:r>
      <w:r w:rsidR="007B770E" w:rsidRPr="002C532B">
        <w:t>16</w:t>
      </w:r>
      <w:r w:rsidR="001F3B6F">
        <w:t> per cent</w:t>
      </w:r>
      <w:r w:rsidR="007B770E">
        <w:t>).</w:t>
      </w:r>
      <w:r w:rsidR="007B770E" w:rsidRPr="00CD1323">
        <w:t xml:space="preserve"> </w:t>
      </w:r>
      <w:r w:rsidR="007B770E">
        <w:t>New South Wales has the largest A</w:t>
      </w:r>
      <w:r w:rsidR="007B770E" w:rsidRPr="009D3A6A">
        <w:t xml:space="preserve">boriginal and </w:t>
      </w:r>
      <w:r w:rsidR="00377429">
        <w:t>Torres Strait Islander</w:t>
      </w:r>
      <w:r w:rsidR="007B770E" w:rsidRPr="009D3A6A">
        <w:t xml:space="preserve"> population</w:t>
      </w:r>
      <w:r w:rsidR="007B770E">
        <w:t xml:space="preserve"> (340,000</w:t>
      </w:r>
      <w:r w:rsidR="005B49B9">
        <w:t xml:space="preserve"> or </w:t>
      </w:r>
      <w:r w:rsidR="00436402">
        <w:t>4.2</w:t>
      </w:r>
      <w:r w:rsidR="001F3B6F">
        <w:t> per cent</w:t>
      </w:r>
      <w:r w:rsidR="005B49B9">
        <w:t xml:space="preserve"> of the state’s population</w:t>
      </w:r>
      <w:r w:rsidR="007B770E">
        <w:t xml:space="preserve">), </w:t>
      </w:r>
      <w:r w:rsidR="00181491">
        <w:t xml:space="preserve">while </w:t>
      </w:r>
      <w:r w:rsidR="007B770E">
        <w:t xml:space="preserve">the Northern Territory has the </w:t>
      </w:r>
      <w:r w:rsidR="007B770E" w:rsidRPr="00880363">
        <w:t xml:space="preserve">highest proportion of Aboriginal and </w:t>
      </w:r>
      <w:r w:rsidR="00377429">
        <w:t>Torres</w:t>
      </w:r>
      <w:r w:rsidR="004C79D2">
        <w:t> </w:t>
      </w:r>
      <w:r w:rsidR="00377429">
        <w:t>Strait</w:t>
      </w:r>
      <w:r w:rsidR="004C79D2">
        <w:t> </w:t>
      </w:r>
      <w:r w:rsidR="00377429">
        <w:t>Islander</w:t>
      </w:r>
      <w:r w:rsidR="007B770E" w:rsidRPr="00880363">
        <w:t xml:space="preserve"> people relative to its total population </w:t>
      </w:r>
      <w:r w:rsidR="007B770E">
        <w:t>(30.8</w:t>
      </w:r>
      <w:r w:rsidR="001F3B6F">
        <w:t> per cent</w:t>
      </w:r>
      <w:r w:rsidR="00FD6493">
        <w:t xml:space="preserve">, </w:t>
      </w:r>
      <w:r w:rsidR="005423B5">
        <w:t>or</w:t>
      </w:r>
      <w:r w:rsidR="00FD6493">
        <w:t xml:space="preserve"> </w:t>
      </w:r>
      <w:r w:rsidR="0003621D">
        <w:t>76</w:t>
      </w:r>
      <w:r w:rsidR="00FD6493">
        <w:t>,</w:t>
      </w:r>
      <w:r w:rsidR="0003621D">
        <w:t>5</w:t>
      </w:r>
      <w:r w:rsidR="00436402">
        <w:t>00</w:t>
      </w:r>
      <w:r w:rsidR="00FD6493">
        <w:t xml:space="preserve"> people</w:t>
      </w:r>
      <w:r w:rsidR="007B770E">
        <w:t>).</w:t>
      </w:r>
    </w:p>
    <w:p w14:paraId="7810E222" w14:textId="77777777" w:rsidR="00411568" w:rsidRDefault="00411568">
      <w:pPr>
        <w:spacing w:before="0" w:after="160" w:line="259" w:lineRule="auto"/>
      </w:pPr>
      <w:r>
        <w:br w:type="page"/>
      </w:r>
    </w:p>
    <w:p w14:paraId="34AB82FF" w14:textId="6969AFDC" w:rsidR="00A1613E" w:rsidRPr="00DB4A76" w:rsidRDefault="007B770E" w:rsidP="00DB4A76">
      <w:pPr>
        <w:pStyle w:val="Heading4"/>
      </w:pPr>
      <w:r w:rsidRPr="00DB4A76">
        <w:lastRenderedPageBreak/>
        <w:t>Inte</w:t>
      </w:r>
      <w:r w:rsidR="009D3C0B" w:rsidRPr="00DB4A76">
        <w:t>rstate</w:t>
      </w:r>
      <w:r w:rsidRPr="00DB4A76">
        <w:t xml:space="preserve"> migration</w:t>
      </w:r>
    </w:p>
    <w:p w14:paraId="5468D1CF" w14:textId="2FAA668A" w:rsidR="008A64C8" w:rsidRDefault="00E748E2" w:rsidP="00ED019A">
      <w:r w:rsidRPr="0080495D">
        <w:t xml:space="preserve">Interstate migration </w:t>
      </w:r>
      <w:r w:rsidR="004E3E98" w:rsidDel="00EA63CC">
        <w:t xml:space="preserve">can </w:t>
      </w:r>
      <w:r w:rsidR="004E3E98">
        <w:t>be</w:t>
      </w:r>
      <w:r w:rsidRPr="0080495D">
        <w:t xml:space="preserve"> a large driver of population change at the state and territory level</w:t>
      </w:r>
      <w:r w:rsidR="00F32B3D" w:rsidDel="00EA63CC">
        <w:t xml:space="preserve">. </w:t>
      </w:r>
      <w:r w:rsidR="008F6BB6">
        <w:t xml:space="preserve">Factors driving </w:t>
      </w:r>
      <w:r w:rsidR="007C5E7D">
        <w:t>moves</w:t>
      </w:r>
      <w:r w:rsidR="008F6BB6">
        <w:t xml:space="preserve"> are complex, </w:t>
      </w:r>
      <w:r w:rsidR="008A64C8">
        <w:t xml:space="preserve">often </w:t>
      </w:r>
      <w:r w:rsidR="008F6BB6">
        <w:t xml:space="preserve">relating to </w:t>
      </w:r>
      <w:r w:rsidR="00F66A62">
        <w:t>employment opportunities and proximity to support networks</w:t>
      </w:r>
      <w:r w:rsidR="00975103">
        <w:t xml:space="preserve"> (Box 3)</w:t>
      </w:r>
      <w:r w:rsidR="00F66A62">
        <w:t xml:space="preserve">. </w:t>
      </w:r>
    </w:p>
    <w:p w14:paraId="1115C41F" w14:textId="2C6C55F4" w:rsidR="00821DDD" w:rsidRDefault="00732277" w:rsidP="00DF19AD">
      <w:r>
        <w:t xml:space="preserve">Interstate moves </w:t>
      </w:r>
      <w:r w:rsidR="006C455C" w:rsidDel="00EA63CC">
        <w:t>(as a share of population</w:t>
      </w:r>
      <w:r w:rsidR="003913E6" w:rsidDel="00EA63CC">
        <w:t>)</w:t>
      </w:r>
      <w:r w:rsidR="00230112" w:rsidDel="00EA63CC">
        <w:t xml:space="preserve"> </w:t>
      </w:r>
      <w:r w:rsidR="00FF63D2" w:rsidDel="00EA63CC">
        <w:t>ha</w:t>
      </w:r>
      <w:r w:rsidR="00FF63D2">
        <w:t>ve</w:t>
      </w:r>
      <w:r w:rsidR="00FF63D2" w:rsidDel="00EA63CC">
        <w:t xml:space="preserve"> </w:t>
      </w:r>
      <w:r w:rsidR="008B506D" w:rsidDel="00EA63CC">
        <w:t>been declining</w:t>
      </w:r>
      <w:r w:rsidR="001D4790" w:rsidDel="00EA63CC">
        <w:t xml:space="preserve"> for </w:t>
      </w:r>
      <w:r w:rsidR="00790E6F" w:rsidDel="00EA63CC">
        <w:t>much of</w:t>
      </w:r>
      <w:r w:rsidR="001D4790" w:rsidDel="00EA63CC">
        <w:t xml:space="preserve"> the </w:t>
      </w:r>
      <w:r w:rsidR="002B0CBF">
        <w:t>p</w:t>
      </w:r>
      <w:r w:rsidR="001D4790" w:rsidDel="00EA63CC">
        <w:t xml:space="preserve">ast </w:t>
      </w:r>
      <w:r w:rsidR="004B7CAE">
        <w:t>2</w:t>
      </w:r>
      <w:r w:rsidR="001D4790" w:rsidDel="00EA63CC">
        <w:t xml:space="preserve"> decades</w:t>
      </w:r>
      <w:r w:rsidR="00753204" w:rsidDel="00EA63CC">
        <w:t xml:space="preserve"> (</w:t>
      </w:r>
      <w:r w:rsidR="0027010F">
        <w:fldChar w:fldCharType="begin"/>
      </w:r>
      <w:r w:rsidR="0027010F">
        <w:instrText xml:space="preserve"> REF _Ref149736559 \r \h </w:instrText>
      </w:r>
      <w:r w:rsidR="0027010F">
        <w:fldChar w:fldCharType="separate"/>
      </w:r>
      <w:r w:rsidR="00CE6FEA">
        <w:t>Chart 14</w:t>
      </w:r>
      <w:r w:rsidR="0027010F">
        <w:fldChar w:fldCharType="end"/>
      </w:r>
      <w:r w:rsidR="00753204" w:rsidDel="00EA63CC">
        <w:t>)</w:t>
      </w:r>
      <w:r w:rsidR="003A607C">
        <w:t>.</w:t>
      </w:r>
      <w:r w:rsidR="00905820">
        <w:t xml:space="preserve"> </w:t>
      </w:r>
      <w:r w:rsidR="00A83BB9">
        <w:t xml:space="preserve">National interstate moves are </w:t>
      </w:r>
      <w:r w:rsidR="00827B80">
        <w:t xml:space="preserve">forecast </w:t>
      </w:r>
      <w:r w:rsidR="00A83BB9">
        <w:t>to be 384,000 in 2022–23</w:t>
      </w:r>
      <w:r w:rsidR="00735D59">
        <w:t xml:space="preserve">, equivalent to </w:t>
      </w:r>
      <w:r w:rsidR="00456141" w:rsidDel="00EA63CC">
        <w:t>1.4</w:t>
      </w:r>
      <w:r w:rsidR="001F3B6F">
        <w:t> per cent</w:t>
      </w:r>
      <w:r w:rsidR="00735D59">
        <w:t xml:space="preserve"> of the population</w:t>
      </w:r>
      <w:r w:rsidR="00A83BB9">
        <w:t>. This level</w:t>
      </w:r>
      <w:r w:rsidR="00A83BB9" w:rsidDel="00EA63CC">
        <w:t xml:space="preserve"> </w:t>
      </w:r>
      <w:r w:rsidR="00DC0113" w:rsidDel="00EA63CC">
        <w:t>of moves</w:t>
      </w:r>
      <w:r w:rsidR="00A83BB9">
        <w:t xml:space="preserve"> </w:t>
      </w:r>
      <w:r w:rsidR="009E4164">
        <w:t>is</w:t>
      </w:r>
      <w:r w:rsidR="00A83BB9">
        <w:t xml:space="preserve"> 3</w:t>
      </w:r>
      <w:r w:rsidR="001F3B6F">
        <w:t> per cent</w:t>
      </w:r>
      <w:r w:rsidR="00A83BB9">
        <w:t xml:space="preserve"> higher than forecast at the 2023–</w:t>
      </w:r>
      <w:r w:rsidR="00415B1D">
        <w:t>24 </w:t>
      </w:r>
      <w:r w:rsidR="00A83BB9">
        <w:t>Budget (372,000), but 19</w:t>
      </w:r>
      <w:r w:rsidR="001F3B6F">
        <w:t> per cent</w:t>
      </w:r>
      <w:r w:rsidR="00A83BB9">
        <w:t xml:space="preserve"> below the 2018</w:t>
      </w:r>
      <w:r w:rsidR="00E54F9C" w:rsidDel="00EA63CC">
        <w:t>–</w:t>
      </w:r>
      <w:r w:rsidR="00A83BB9">
        <w:t xml:space="preserve">19 levels (476,000). National moves are projected to recover to around </w:t>
      </w:r>
      <w:r w:rsidR="00A83BB9" w:rsidRPr="00D632C2">
        <w:t>450,000</w:t>
      </w:r>
      <w:r w:rsidR="00A83BB9">
        <w:t xml:space="preserve"> in 2025</w:t>
      </w:r>
      <w:r w:rsidR="00E54F9C" w:rsidDel="00EA63CC">
        <w:t>–</w:t>
      </w:r>
      <w:r w:rsidR="00A83BB9">
        <w:t xml:space="preserve">26 </w:t>
      </w:r>
      <w:r w:rsidR="00956D31">
        <w:t>(</w:t>
      </w:r>
      <w:r w:rsidR="00F630CA" w:rsidDel="00EA63CC">
        <w:t>1.</w:t>
      </w:r>
      <w:r w:rsidR="00F630CA">
        <w:t>6</w:t>
      </w:r>
      <w:r w:rsidR="001F3B6F">
        <w:t> per cent</w:t>
      </w:r>
      <w:r w:rsidR="00956D31">
        <w:t xml:space="preserve"> of the population)</w:t>
      </w:r>
      <w:r w:rsidR="00A83BB9">
        <w:t xml:space="preserve"> before increasing in line with population </w:t>
      </w:r>
      <w:r w:rsidR="00A120BD">
        <w:t>growth</w:t>
      </w:r>
      <w:r w:rsidR="00753204">
        <w:t>.</w:t>
      </w:r>
    </w:p>
    <w:tbl>
      <w:tblPr>
        <w:tblStyle w:val="TableGrid"/>
        <w:tblW w:w="0" w:type="auto"/>
        <w:tblLook w:val="04A0" w:firstRow="1" w:lastRow="0" w:firstColumn="1" w:lastColumn="0" w:noHBand="0" w:noVBand="1"/>
      </w:tblPr>
      <w:tblGrid>
        <w:gridCol w:w="9070"/>
      </w:tblGrid>
      <w:tr w:rsidR="00075B32" w:rsidRPr="003B6850" w14:paraId="2A29ACBE" w14:textId="77777777">
        <w:trPr>
          <w:trHeight w:val="3128"/>
        </w:trPr>
        <w:tc>
          <w:tcPr>
            <w:tcW w:w="9070" w:type="dxa"/>
          </w:tcPr>
          <w:p w14:paraId="0616AC49" w14:textId="5D0D9AF5" w:rsidR="00075B32" w:rsidRPr="00645008" w:rsidRDefault="00075B32" w:rsidP="00DB4A76">
            <w:pPr>
              <w:pStyle w:val="BoxHeading"/>
            </w:pPr>
            <w:r w:rsidRPr="00075B32">
              <w:t>Internal migration</w:t>
            </w:r>
            <w:r>
              <w:rPr>
                <w:rStyle w:val="FootnoteReference"/>
              </w:rPr>
              <w:footnoteReference w:id="23"/>
            </w:r>
          </w:p>
          <w:p w14:paraId="2EDC2F35" w14:textId="3AD48360" w:rsidR="00075B32" w:rsidRDefault="00075B32">
            <w:pPr>
              <w:pStyle w:val="BoxText"/>
              <w:pBdr>
                <w:top w:val="single" w:sz="6" w:space="1" w:color="002C47" w:themeColor="accent1"/>
              </w:pBdr>
            </w:pPr>
            <w:r>
              <w:t xml:space="preserve">The Centre for Population commissioned the Centre for International Economics (CIE) to analyse the drivers of internal migration within Australia and examine the impact of government policy on internal migration. </w:t>
            </w:r>
          </w:p>
          <w:p w14:paraId="500BD10E" w14:textId="5DB3269A" w:rsidR="00075B32" w:rsidRDefault="00075B32">
            <w:pPr>
              <w:pStyle w:val="BoxText"/>
            </w:pPr>
            <w:r w:rsidRPr="00E01AE5">
              <w:t>Based on survey findings by CIE, the most important trigger for people migrating</w:t>
            </w:r>
            <w:r>
              <w:t xml:space="preserve"> internally,</w:t>
            </w:r>
            <w:r w:rsidRPr="00E01AE5">
              <w:t xml:space="preserve"> and from overseas</w:t>
            </w:r>
            <w:r>
              <w:t>,</w:t>
            </w:r>
            <w:r w:rsidRPr="00E01AE5">
              <w:t xml:space="preserve"> was to take up a job (cited by over 35</w:t>
            </w:r>
            <w:r w:rsidR="001F3B6F">
              <w:t> per cent</w:t>
            </w:r>
            <w:r w:rsidRPr="00E01AE5">
              <w:t xml:space="preserve"> of respondents)</w:t>
            </w:r>
            <w:r w:rsidR="00B23A6A">
              <w:t>,</w:t>
            </w:r>
            <w:r>
              <w:t xml:space="preserve"> </w:t>
            </w:r>
            <w:r w:rsidRPr="00E01AE5">
              <w:t>followed by the desire to be near family and friends (27</w:t>
            </w:r>
            <w:r w:rsidR="001F3B6F">
              <w:t> per cent</w:t>
            </w:r>
            <w:r w:rsidRPr="00E01AE5">
              <w:t xml:space="preserve"> of respondents) and housing availability and affordability (17</w:t>
            </w:r>
            <w:r w:rsidR="001F3B6F">
              <w:t> per cent</w:t>
            </w:r>
            <w:r w:rsidRPr="00E01AE5">
              <w:t>).</w:t>
            </w:r>
            <w:r>
              <w:t xml:space="preserve"> Empirical modelling suggests the availability and quality of services such as healthcare, education and transport were found to be important, but smaller, determinants of movement decisions. </w:t>
            </w:r>
          </w:p>
          <w:p w14:paraId="705FE6E4" w14:textId="60F98ED5" w:rsidR="00075B32" w:rsidRPr="00B344C9" w:rsidRDefault="00075B32">
            <w:pPr>
              <w:pStyle w:val="BoxText"/>
            </w:pPr>
            <w:r>
              <w:t xml:space="preserve">Policy decisions alone are not key triggers for migration decisions. The report finds the overall effectiveness of government policy appears to be higher when it removes barriers to people migrating in a way that responds to the ‘bundle’ of factors that drives their migration choices (namely employment and being close to family and friends), rather than trying to drive </w:t>
            </w:r>
            <w:r w:rsidR="0058113F">
              <w:t xml:space="preserve">migration </w:t>
            </w:r>
            <w:r>
              <w:t>outcomes directly.</w:t>
            </w:r>
          </w:p>
        </w:tc>
      </w:tr>
    </w:tbl>
    <w:p w14:paraId="0582DA4A" w14:textId="12D3A135" w:rsidR="00075B32" w:rsidRPr="00821DDD" w:rsidRDefault="00075B32" w:rsidP="00DB4A76">
      <w:pPr>
        <w:spacing w:before="0" w:after="160" w:line="259" w:lineRule="auto"/>
      </w:pPr>
      <w:r>
        <w:br w:type="page"/>
      </w:r>
    </w:p>
    <w:p w14:paraId="72AC9FE6" w14:textId="78C0F2A2" w:rsidR="00950864" w:rsidRPr="00ED019A" w:rsidRDefault="00732353" w:rsidP="007D5E71">
      <w:pPr>
        <w:pStyle w:val="ChartMainHeading"/>
        <w:tabs>
          <w:tab w:val="clear" w:pos="993"/>
          <w:tab w:val="left" w:pos="1134"/>
        </w:tabs>
        <w:ind w:left="0" w:firstLine="0"/>
      </w:pPr>
      <w:bookmarkStart w:id="109" w:name="_Ref154049101"/>
      <w:bookmarkStart w:id="110" w:name="_Ref149736559"/>
      <w:r w:rsidRPr="00ED019A">
        <w:lastRenderedPageBreak/>
        <w:t xml:space="preserve">Interstate </w:t>
      </w:r>
      <w:r w:rsidR="0079742A">
        <w:t>m</w:t>
      </w:r>
      <w:r w:rsidRPr="00207D66">
        <w:t>oves</w:t>
      </w:r>
      <w:r w:rsidR="00406EEC">
        <w:t xml:space="preserve"> by share of population</w:t>
      </w:r>
      <w:bookmarkEnd w:id="109"/>
      <w:bookmarkEnd w:id="110"/>
    </w:p>
    <w:p w14:paraId="7BD8676B" w14:textId="0E4749FD" w:rsidR="00E45482" w:rsidRDefault="00FB5A57" w:rsidP="005B7657">
      <w:pPr>
        <w:pStyle w:val="ChartGraphic"/>
      </w:pPr>
      <w:r w:rsidRPr="00FB5A57">
        <w:rPr>
          <w:noProof/>
        </w:rPr>
        <w:drawing>
          <wp:inline distT="0" distB="0" distL="0" distR="0" wp14:anchorId="52D8D723" wp14:editId="48DA01F7">
            <wp:extent cx="5581650" cy="2876550"/>
            <wp:effectExtent l="0" t="0" r="0" b="0"/>
            <wp:docPr id="55" name="Picture 55" descr="This chart shows actual or projected interstate moves by share of population for Australia between 1983-84 and 2033-34. Interstate moves have been declining until a rebound in 2015-16. There have been decreases in 2020-21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chart shows actual or projected interstate moves by share of population for Australia between 1983-84 and 2033-34. Interstate moves have been declining until a rebound in 2015-16. There have been decreases in 2020-21 and 2022-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007878E1" w:rsidRPr="002E6B6B">
        <w:t xml:space="preserve"> </w:t>
      </w:r>
    </w:p>
    <w:p w14:paraId="0E75A193" w14:textId="724C64E5" w:rsidR="00075B32" w:rsidRDefault="00075B32" w:rsidP="00075B32">
      <w:pPr>
        <w:pStyle w:val="ChartorTableNote"/>
      </w:pPr>
      <w:r w:rsidRPr="00207D66">
        <w:t xml:space="preserve">Note: </w:t>
      </w:r>
      <w:r>
        <w:tab/>
        <w:t>The</w:t>
      </w:r>
      <w:r w:rsidRPr="00207D66">
        <w:t xml:space="preserve"> high level of interstate migration in 2021–22</w:t>
      </w:r>
      <w:r>
        <w:t xml:space="preserve"> is the artificial result of</w:t>
      </w:r>
      <w:r w:rsidRPr="00207D66">
        <w:t xml:space="preserve"> large numbers of Medicare address changes during the COVID</w:t>
      </w:r>
      <w:r>
        <w:noBreakHyphen/>
      </w:r>
      <w:r w:rsidRPr="00207D66">
        <w:t>19 vaccination rollout (pages 23</w:t>
      </w:r>
      <w:r>
        <w:t>-</w:t>
      </w:r>
      <w:r w:rsidRPr="00207D66">
        <w:t xml:space="preserve">24 of the 2022 Population Statement </w:t>
      </w:r>
      <w:r w:rsidRPr="00207D66" w:rsidDel="00EA63CC">
        <w:t>provide</w:t>
      </w:r>
      <w:r w:rsidRPr="00207D66">
        <w:t xml:space="preserve"> further details).</w:t>
      </w:r>
    </w:p>
    <w:p w14:paraId="5FA57015" w14:textId="6CE7E24C" w:rsidR="00075B32" w:rsidRDefault="00351DF4">
      <w:pPr>
        <w:pStyle w:val="Source"/>
      </w:pPr>
      <w:r w:rsidRPr="00075B32">
        <w:t xml:space="preserve">Source: </w:t>
      </w:r>
      <w:r w:rsidR="00207D66" w:rsidRPr="00075B32">
        <w:tab/>
      </w:r>
      <w:r w:rsidRPr="00075B32">
        <w:t>ABS, National, state and territory population, March 2023</w:t>
      </w:r>
      <w:r w:rsidR="0030437E" w:rsidRPr="00075B32">
        <w:t xml:space="preserve"> and</w:t>
      </w:r>
      <w:r w:rsidRPr="00075B32" w:rsidDel="00EA63CC">
        <w:t xml:space="preserve"> </w:t>
      </w:r>
      <w:r w:rsidRPr="00075B32">
        <w:t>Centre for Population projections.</w:t>
      </w:r>
    </w:p>
    <w:p w14:paraId="25614379" w14:textId="192682A0" w:rsidR="00F5217D" w:rsidRDefault="00F5217D" w:rsidP="00D4317A">
      <w:pPr>
        <w:pStyle w:val="Heading3"/>
      </w:pPr>
      <w:bookmarkStart w:id="111" w:name="_Toc149846507"/>
      <w:bookmarkStart w:id="112" w:name="_Toc149846548"/>
      <w:bookmarkStart w:id="113" w:name="_Toc149846646"/>
      <w:bookmarkStart w:id="114" w:name="_Toc149847589"/>
      <w:r>
        <w:t>Capital cities and rest</w:t>
      </w:r>
      <w:r w:rsidR="004B14AB">
        <w:noBreakHyphen/>
      </w:r>
      <w:r>
        <w:t>of</w:t>
      </w:r>
      <w:r w:rsidR="004B14AB">
        <w:noBreakHyphen/>
      </w:r>
      <w:r>
        <w:t>state areas</w:t>
      </w:r>
      <w:bookmarkEnd w:id="111"/>
      <w:bookmarkEnd w:id="112"/>
      <w:bookmarkEnd w:id="113"/>
      <w:bookmarkEnd w:id="114"/>
    </w:p>
    <w:p w14:paraId="12C419ED" w14:textId="022755BE" w:rsidR="00C87F2C" w:rsidRDefault="00E62A19" w:rsidP="00207D66">
      <w:r>
        <w:t>Reflecting the changing nature of Australia’s economy, the</w:t>
      </w:r>
      <w:r w:rsidR="00F5217D">
        <w:t xml:space="preserve"> population has become increasingly concentrated in capital cities</w:t>
      </w:r>
      <w:r w:rsidR="00850C43">
        <w:t xml:space="preserve"> over the past century</w:t>
      </w:r>
      <w:r w:rsidR="00F5217D">
        <w:t xml:space="preserve">. In 1911, the </w:t>
      </w:r>
      <w:r w:rsidR="004B7CAE">
        <w:t>8 </w:t>
      </w:r>
      <w:r w:rsidR="00F5217D">
        <w:t xml:space="preserve">capital cities </w:t>
      </w:r>
      <w:r w:rsidR="00803214">
        <w:t>were home to</w:t>
      </w:r>
      <w:r w:rsidR="00F5217D">
        <w:t xml:space="preserve"> less than 40</w:t>
      </w:r>
      <w:r w:rsidR="001F3B6F">
        <w:t> per cent</w:t>
      </w:r>
      <w:r w:rsidR="00F5217D">
        <w:t xml:space="preserve"> of the population. By 2021, just over two</w:t>
      </w:r>
      <w:r w:rsidR="004B14AB">
        <w:noBreakHyphen/>
      </w:r>
      <w:r w:rsidR="00F5217D">
        <w:t>thirds</w:t>
      </w:r>
      <w:r w:rsidR="00F95A97">
        <w:t xml:space="preserve"> of the nation’s population </w:t>
      </w:r>
      <w:r w:rsidR="00375087">
        <w:t>reside</w:t>
      </w:r>
      <w:r w:rsidR="00C74E39">
        <w:t>d</w:t>
      </w:r>
      <w:r w:rsidR="00375087">
        <w:t xml:space="preserve"> </w:t>
      </w:r>
      <w:r w:rsidR="00F95A97">
        <w:t>in capital cities</w:t>
      </w:r>
      <w:r w:rsidR="00F5217D">
        <w:t>.</w:t>
      </w:r>
      <w:r w:rsidR="004A573D">
        <w:t xml:space="preserve"> </w:t>
      </w:r>
    </w:p>
    <w:p w14:paraId="36A989E9" w14:textId="224832B6" w:rsidR="00F5217D" w:rsidRDefault="00F5217D" w:rsidP="00207D66">
      <w:r>
        <w:t>The COVID</w:t>
      </w:r>
      <w:r w:rsidR="004B14AB">
        <w:noBreakHyphen/>
      </w:r>
      <w:r>
        <w:t xml:space="preserve">19 pandemic disrupted this pattern. </w:t>
      </w:r>
      <w:r w:rsidR="00D6572D">
        <w:t xml:space="preserve">With border closures and lockdowns, </w:t>
      </w:r>
      <w:r w:rsidR="00A54F34">
        <w:t>the</w:t>
      </w:r>
      <w:r w:rsidR="00D6572D">
        <w:t xml:space="preserve"> </w:t>
      </w:r>
      <w:r w:rsidR="00D6572D" w:rsidDel="00EA63CC">
        <w:t>c</w:t>
      </w:r>
      <w:r w:rsidR="00CD1288" w:rsidDel="00EA63CC">
        <w:t>ombined</w:t>
      </w:r>
      <w:r>
        <w:t xml:space="preserve"> capital city population </w:t>
      </w:r>
      <w:r w:rsidR="004F4E27">
        <w:t xml:space="preserve">shrunk by </w:t>
      </w:r>
      <w:r w:rsidR="0024028A">
        <w:t>0</w:t>
      </w:r>
      <w:r w:rsidR="004F4E27">
        <w:t>.3</w:t>
      </w:r>
      <w:r w:rsidR="001F3B6F">
        <w:t> per cent</w:t>
      </w:r>
      <w:r w:rsidR="00A970A0">
        <w:t xml:space="preserve"> and</w:t>
      </w:r>
      <w:r>
        <w:t xml:space="preserve"> fell behind rest</w:t>
      </w:r>
      <w:r w:rsidR="004B14AB">
        <w:noBreakHyphen/>
      </w:r>
      <w:r>
        <w:t>of</w:t>
      </w:r>
      <w:r w:rsidR="004B14AB">
        <w:noBreakHyphen/>
      </w:r>
      <w:r>
        <w:t xml:space="preserve">state growth </w:t>
      </w:r>
      <w:r w:rsidR="00A970A0">
        <w:t>(</w:t>
      </w:r>
      <w:r w:rsidR="002A2C8E">
        <w:t xml:space="preserve">which grew by </w:t>
      </w:r>
      <w:r w:rsidR="00871F20">
        <w:t>1.0</w:t>
      </w:r>
      <w:r w:rsidR="001F3B6F">
        <w:t> per cent</w:t>
      </w:r>
      <w:r w:rsidR="00871F20">
        <w:t>)</w:t>
      </w:r>
      <w:r w:rsidR="00871F20" w:rsidDel="00871F20">
        <w:t xml:space="preserve"> </w:t>
      </w:r>
      <w:r>
        <w:t xml:space="preserve">for the first time since </w:t>
      </w:r>
      <w:r w:rsidR="005666BB">
        <w:t>1993</w:t>
      </w:r>
      <w:r w:rsidR="00E54F9C" w:rsidDel="00EA63CC">
        <w:t>–</w:t>
      </w:r>
      <w:r w:rsidR="005666BB">
        <w:t>94</w:t>
      </w:r>
      <w:r>
        <w:t>.</w:t>
      </w:r>
      <w:r w:rsidR="00C3411F">
        <w:t xml:space="preserve"> The reopening of borders saw </w:t>
      </w:r>
      <w:r w:rsidR="00FD13D6">
        <w:t xml:space="preserve">capital city growth narrowly </w:t>
      </w:r>
      <w:r w:rsidR="00E2193C">
        <w:t>outpace rest</w:t>
      </w:r>
      <w:r w:rsidR="004B14AB">
        <w:noBreakHyphen/>
      </w:r>
      <w:r w:rsidR="00E2193C">
        <w:t>of</w:t>
      </w:r>
      <w:r w:rsidR="004B14AB">
        <w:noBreakHyphen/>
      </w:r>
      <w:r w:rsidR="00E2193C">
        <w:t>state growth in 2021</w:t>
      </w:r>
      <w:r w:rsidR="00E54F9C" w:rsidDel="00EA63CC">
        <w:t>–</w:t>
      </w:r>
      <w:r w:rsidR="00E2193C">
        <w:t>22</w:t>
      </w:r>
      <w:r w:rsidR="003A2E35">
        <w:t>. E</w:t>
      </w:r>
      <w:r w:rsidR="007E16CC">
        <w:t>levated</w:t>
      </w:r>
      <w:r w:rsidR="00950496">
        <w:t xml:space="preserve"> net overseas </w:t>
      </w:r>
      <w:r w:rsidR="0082255B">
        <w:t>migration</w:t>
      </w:r>
      <w:r w:rsidR="00950496">
        <w:t xml:space="preserve"> </w:t>
      </w:r>
      <w:r w:rsidR="006803D9">
        <w:t xml:space="preserve">is expected to </w:t>
      </w:r>
      <w:r w:rsidR="005D4547">
        <w:t xml:space="preserve">contribute to a further </w:t>
      </w:r>
      <w:r w:rsidR="006803D9">
        <w:t xml:space="preserve">rebound in </w:t>
      </w:r>
      <w:r w:rsidR="00ED4FE2">
        <w:t>capital city growth</w:t>
      </w:r>
      <w:r w:rsidR="003A2E35">
        <w:t xml:space="preserve">, with </w:t>
      </w:r>
      <w:r w:rsidR="00AD0FB2">
        <w:t xml:space="preserve">combined population in </w:t>
      </w:r>
      <w:r w:rsidR="00FD1E86">
        <w:t>c</w:t>
      </w:r>
      <w:r w:rsidR="00C1186D">
        <w:t xml:space="preserve">apital cities </w:t>
      </w:r>
      <w:r w:rsidR="00842A41">
        <w:t>is</w:t>
      </w:r>
      <w:r w:rsidR="00C1186D">
        <w:t xml:space="preserve"> projected to grow by 3.0</w:t>
      </w:r>
      <w:r w:rsidR="001F3B6F">
        <w:t> per cent</w:t>
      </w:r>
      <w:r w:rsidR="00C1186D">
        <w:t xml:space="preserve"> in 2022</w:t>
      </w:r>
      <w:r w:rsidR="00E54F9C" w:rsidDel="00EA63CC">
        <w:t>–</w:t>
      </w:r>
      <w:r w:rsidR="00C1186D">
        <w:t xml:space="preserve">23, compared to </w:t>
      </w:r>
      <w:r w:rsidR="001F5231">
        <w:t>1.3</w:t>
      </w:r>
      <w:r w:rsidR="001F3B6F">
        <w:t> per cent</w:t>
      </w:r>
      <w:r w:rsidR="001F5231">
        <w:t xml:space="preserve"> for rest</w:t>
      </w:r>
      <w:r w:rsidR="004B14AB">
        <w:noBreakHyphen/>
      </w:r>
      <w:r w:rsidR="001F5231">
        <w:t>of</w:t>
      </w:r>
      <w:r w:rsidR="004B14AB">
        <w:noBreakHyphen/>
      </w:r>
      <w:r w:rsidR="001F5231">
        <w:t>state areas</w:t>
      </w:r>
      <w:r w:rsidR="00426F80">
        <w:t>.</w:t>
      </w:r>
    </w:p>
    <w:p w14:paraId="5CC33EE7" w14:textId="2A6FE9D1" w:rsidR="002C52A8" w:rsidRPr="00207D66" w:rsidRDefault="005A4865" w:rsidP="00872A2E">
      <w:pPr>
        <w:pStyle w:val="ChartMainHeading"/>
      </w:pPr>
      <w:r w:rsidRPr="00207D66">
        <w:lastRenderedPageBreak/>
        <w:t xml:space="preserve"> </w:t>
      </w:r>
      <w:r w:rsidR="00D64D19" w:rsidRPr="00207D66">
        <w:t xml:space="preserve">Population </w:t>
      </w:r>
      <w:r w:rsidR="003A2E35">
        <w:t>g</w:t>
      </w:r>
      <w:r w:rsidR="003A2E35" w:rsidRPr="00207D66">
        <w:t xml:space="preserve">rowth </w:t>
      </w:r>
      <w:r w:rsidR="0079742A">
        <w:t>i</w:t>
      </w:r>
      <w:r w:rsidR="00D64D19" w:rsidRPr="00207D66">
        <w:t xml:space="preserve">n </w:t>
      </w:r>
      <w:r w:rsidR="003A2E35">
        <w:t>c</w:t>
      </w:r>
      <w:r w:rsidR="003A2E35" w:rsidRPr="00207D66">
        <w:t xml:space="preserve">apital </w:t>
      </w:r>
      <w:r w:rsidR="003A2E35">
        <w:t>c</w:t>
      </w:r>
      <w:r w:rsidR="003A2E35" w:rsidRPr="00207D66">
        <w:t xml:space="preserve">ities </w:t>
      </w:r>
      <w:r w:rsidR="003A2E35">
        <w:t>a</w:t>
      </w:r>
      <w:r w:rsidR="003A2E35" w:rsidRPr="00207D66">
        <w:t xml:space="preserve">nd </w:t>
      </w:r>
      <w:r w:rsidR="003A2E35">
        <w:t>r</w:t>
      </w:r>
      <w:r w:rsidR="003A2E35" w:rsidRPr="00207D66">
        <w:t>est</w:t>
      </w:r>
      <w:r w:rsidR="004B14AB">
        <w:noBreakHyphen/>
      </w:r>
      <w:r w:rsidR="003A2E35">
        <w:t>o</w:t>
      </w:r>
      <w:r w:rsidR="003A2E35" w:rsidRPr="00207D66">
        <w:t>f</w:t>
      </w:r>
      <w:r w:rsidR="004B14AB">
        <w:noBreakHyphen/>
      </w:r>
      <w:r w:rsidR="003A2E35">
        <w:t>s</w:t>
      </w:r>
      <w:r w:rsidR="003A2E35" w:rsidRPr="00207D66">
        <w:t xml:space="preserve">tate </w:t>
      </w:r>
      <w:r w:rsidR="003A2E35">
        <w:t>a</w:t>
      </w:r>
      <w:r w:rsidR="003A2E35" w:rsidRPr="00207D66">
        <w:t>reas</w:t>
      </w:r>
    </w:p>
    <w:p w14:paraId="5BC82EC4" w14:textId="74C45B47" w:rsidR="00F5217D" w:rsidRDefault="00B73CF2" w:rsidP="00A217AC">
      <w:pPr>
        <w:pStyle w:val="ChartGraphic"/>
      </w:pPr>
      <w:r w:rsidRPr="00B73CF2">
        <w:rPr>
          <w:noProof/>
        </w:rPr>
        <w:drawing>
          <wp:inline distT="0" distB="0" distL="0" distR="0" wp14:anchorId="6DD3C526" wp14:editId="600DF601">
            <wp:extent cx="5584190" cy="2877185"/>
            <wp:effectExtent l="0" t="0" r="0" b="0"/>
            <wp:docPr id="19" name="Picture 19" descr="This chart shows population growth in combined capital cities and combined rest-of-state areas. Population growth in capital cities is higher than rest-of-state areas over the projection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population growth in combined capital cities and combined rest-of-state areas. Population growth in capital cities is higher than rest-of-state areas over the projections perio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4190" cy="2877185"/>
                    </a:xfrm>
                    <a:prstGeom prst="rect">
                      <a:avLst/>
                    </a:prstGeom>
                    <a:noFill/>
                    <a:ln>
                      <a:noFill/>
                    </a:ln>
                  </pic:spPr>
                </pic:pic>
              </a:graphicData>
            </a:graphic>
          </wp:inline>
        </w:drawing>
      </w:r>
    </w:p>
    <w:p w14:paraId="578F3288" w14:textId="4A337EA7" w:rsidR="005A4865" w:rsidRPr="00A217AC" w:rsidRDefault="005A4865" w:rsidP="00365DDB">
      <w:pPr>
        <w:pStyle w:val="Source"/>
        <w:rPr>
          <w:color w:val="1E75BA" w:themeColor="accent2"/>
        </w:rPr>
      </w:pPr>
      <w:r w:rsidRPr="00365883">
        <w:t xml:space="preserve">Source: </w:t>
      </w:r>
      <w:r w:rsidR="00207D66">
        <w:tab/>
      </w:r>
      <w:r>
        <w:t>ABS</w:t>
      </w:r>
      <w:r w:rsidRPr="00CC35B1">
        <w:t xml:space="preserve">, </w:t>
      </w:r>
      <w:r w:rsidR="008A78D0" w:rsidRPr="00F67DB6">
        <w:t>Regional population 2021–22</w:t>
      </w:r>
      <w:r w:rsidR="0030437E">
        <w:t xml:space="preserve"> and</w:t>
      </w:r>
      <w:r w:rsidRPr="00365883" w:rsidDel="00EA63CC">
        <w:t xml:space="preserve"> </w:t>
      </w:r>
      <w:r w:rsidRPr="00365883">
        <w:t>Centre for Population projections</w:t>
      </w:r>
      <w:r>
        <w:t>.</w:t>
      </w:r>
    </w:p>
    <w:p w14:paraId="5266FCDC" w14:textId="55A82EA7" w:rsidR="00064AA3" w:rsidRDefault="006447C6" w:rsidP="00207D66">
      <w:r>
        <w:t xml:space="preserve">Consistent with historical trends, </w:t>
      </w:r>
      <w:r w:rsidR="00107303">
        <w:t>the combined population of</w:t>
      </w:r>
      <w:r>
        <w:t xml:space="preserve"> capital cities </w:t>
      </w:r>
      <w:r w:rsidR="00092451">
        <w:t>is</w:t>
      </w:r>
      <w:r>
        <w:t xml:space="preserve"> projected to continue to grow faster than rest</w:t>
      </w:r>
      <w:r w:rsidR="004B14AB">
        <w:noBreakHyphen/>
      </w:r>
      <w:r>
        <w:t>of</w:t>
      </w:r>
      <w:r w:rsidR="004B14AB">
        <w:noBreakHyphen/>
      </w:r>
      <w:r>
        <w:t>state areas</w:t>
      </w:r>
      <w:r w:rsidR="00FC1132">
        <w:t xml:space="preserve"> over the projection period</w:t>
      </w:r>
      <w:r>
        <w:t>.</w:t>
      </w:r>
      <w:r w:rsidR="00FC1132">
        <w:t xml:space="preserve"> </w:t>
      </w:r>
      <w:r w:rsidR="00152EF1">
        <w:t xml:space="preserve">The population of the combined capital cities is projected </w:t>
      </w:r>
      <w:r w:rsidR="00092451">
        <w:t xml:space="preserve">to </w:t>
      </w:r>
      <w:r w:rsidR="00F45EAF">
        <w:t>grow</w:t>
      </w:r>
      <w:r w:rsidR="00152EF1">
        <w:t xml:space="preserve"> from 17.5 million in 2021</w:t>
      </w:r>
      <w:r w:rsidR="00E54F9C" w:rsidDel="00EA63CC">
        <w:t>–</w:t>
      </w:r>
      <w:r w:rsidR="00152EF1">
        <w:t>22 to 21.</w:t>
      </w:r>
      <w:r w:rsidR="009F2D59">
        <w:t>4</w:t>
      </w:r>
      <w:r w:rsidR="00152EF1">
        <w:t> million in 2033</w:t>
      </w:r>
      <w:r w:rsidR="00E54F9C" w:rsidDel="00EA63CC">
        <w:t>–</w:t>
      </w:r>
      <w:r w:rsidR="00152EF1">
        <w:t>34</w:t>
      </w:r>
      <w:r w:rsidR="00335256">
        <w:t>, an increase of 2</w:t>
      </w:r>
      <w:r w:rsidR="00D2329F">
        <w:t>3</w:t>
      </w:r>
      <w:r w:rsidR="001F3B6F">
        <w:t> per cent</w:t>
      </w:r>
      <w:r w:rsidR="00152EF1">
        <w:t xml:space="preserve">. </w:t>
      </w:r>
      <w:r w:rsidR="00335256">
        <w:t>Over the same period, t</w:t>
      </w:r>
      <w:r w:rsidR="00152EF1">
        <w:t>he population of the combined rest</w:t>
      </w:r>
      <w:r w:rsidR="004B14AB">
        <w:noBreakHyphen/>
      </w:r>
      <w:r w:rsidR="00152EF1">
        <w:t>of</w:t>
      </w:r>
      <w:r w:rsidR="004B14AB">
        <w:noBreakHyphen/>
      </w:r>
      <w:r w:rsidR="00152EF1">
        <w:t xml:space="preserve">state areas is projected to </w:t>
      </w:r>
      <w:r w:rsidR="00F45EAF">
        <w:t>grow</w:t>
      </w:r>
      <w:r w:rsidR="00152EF1">
        <w:t xml:space="preserve"> from 8.5 million to 9.5</w:t>
      </w:r>
      <w:r w:rsidR="00335256">
        <w:t> </w:t>
      </w:r>
      <w:r w:rsidR="00152EF1">
        <w:t>million</w:t>
      </w:r>
      <w:r w:rsidR="00335256">
        <w:t>,</w:t>
      </w:r>
      <w:r w:rsidR="00152EF1">
        <w:t xml:space="preserve"> </w:t>
      </w:r>
      <w:r w:rsidR="00335256">
        <w:t>an</w:t>
      </w:r>
      <w:r w:rsidR="00207C47">
        <w:t xml:space="preserve"> increase of 1</w:t>
      </w:r>
      <w:r w:rsidR="00752EBA">
        <w:t>1</w:t>
      </w:r>
      <w:r w:rsidR="001F3B6F">
        <w:t> per cent</w:t>
      </w:r>
      <w:r w:rsidR="00152EF1">
        <w:t>.</w:t>
      </w:r>
      <w:r w:rsidR="001C65C6">
        <w:t xml:space="preserve"> </w:t>
      </w:r>
    </w:p>
    <w:p w14:paraId="441CB6E7" w14:textId="6CE81C60" w:rsidR="00FD1BF2" w:rsidRDefault="00795502" w:rsidP="00207D66">
      <w:r>
        <w:t>Capital city</w:t>
      </w:r>
      <w:r w:rsidR="007D1DC4">
        <w:t xml:space="preserve"> population growth i</w:t>
      </w:r>
      <w:r>
        <w:t xml:space="preserve">s higher primarily </w:t>
      </w:r>
      <w:r w:rsidR="00850C43">
        <w:t xml:space="preserve">because </w:t>
      </w:r>
      <w:r w:rsidR="005D48AE">
        <w:t>overseas</w:t>
      </w:r>
      <w:r w:rsidR="00850C43">
        <w:t xml:space="preserve"> </w:t>
      </w:r>
      <w:r w:rsidR="00313667">
        <w:t xml:space="preserve">migrants tend to settle in cities and </w:t>
      </w:r>
      <w:r w:rsidR="00041F42">
        <w:t xml:space="preserve">the </w:t>
      </w:r>
      <w:r w:rsidR="00CA29F0">
        <w:t xml:space="preserve">younger age structure </w:t>
      </w:r>
      <w:r w:rsidR="00B53FE8">
        <w:t xml:space="preserve">of cities also results </w:t>
      </w:r>
      <w:r w:rsidR="00A66EF1">
        <w:t xml:space="preserve">in </w:t>
      </w:r>
      <w:r w:rsidR="00E35FFB" w:rsidDel="00EA63CC">
        <w:t>greater</w:t>
      </w:r>
      <w:r w:rsidR="00791BF8">
        <w:t xml:space="preserve"> natural increase</w:t>
      </w:r>
      <w:r w:rsidR="003750B9">
        <w:t xml:space="preserve"> (</w:t>
      </w:r>
      <w:r w:rsidR="00945FBA">
        <w:fldChar w:fldCharType="begin"/>
      </w:r>
      <w:r w:rsidR="00945FBA">
        <w:instrText xml:space="preserve"> REF _Ref152623325 \r \h </w:instrText>
      </w:r>
      <w:r w:rsidR="00945FBA">
        <w:fldChar w:fldCharType="separate"/>
      </w:r>
      <w:r w:rsidR="00CE6FEA">
        <w:t>Chart 16</w:t>
      </w:r>
      <w:r w:rsidR="00945FBA">
        <w:fldChar w:fldCharType="end"/>
      </w:r>
      <w:r w:rsidR="00945FBA">
        <w:t xml:space="preserve"> </w:t>
      </w:r>
      <w:r w:rsidR="005B6C66">
        <w:t>and</w:t>
      </w:r>
      <w:r w:rsidR="00945FBA">
        <w:t xml:space="preserve"> </w:t>
      </w:r>
      <w:r w:rsidR="00945FBA">
        <w:fldChar w:fldCharType="begin"/>
      </w:r>
      <w:r w:rsidR="00945FBA">
        <w:instrText xml:space="preserve"> REF _Ref152623341 \r \h </w:instrText>
      </w:r>
      <w:r w:rsidR="00945FBA">
        <w:fldChar w:fldCharType="separate"/>
      </w:r>
      <w:r w:rsidR="00CE6FEA">
        <w:t>Chart 17</w:t>
      </w:r>
      <w:r w:rsidR="00945FBA">
        <w:fldChar w:fldCharType="end"/>
      </w:r>
      <w:r w:rsidR="003750B9">
        <w:t>)</w:t>
      </w:r>
      <w:r w:rsidR="00791BF8">
        <w:t>. Part</w:t>
      </w:r>
      <w:r w:rsidR="005B6C66">
        <w:t>ial</w:t>
      </w:r>
      <w:r w:rsidR="00791BF8">
        <w:t xml:space="preserve">ly offsetting this is </w:t>
      </w:r>
      <w:r w:rsidR="003E7AB9">
        <w:t>the</w:t>
      </w:r>
      <w:r w:rsidR="00791BF8">
        <w:t xml:space="preserve"> net flow of internal migration from capital cities to rest</w:t>
      </w:r>
      <w:r w:rsidR="004B14AB">
        <w:noBreakHyphen/>
      </w:r>
      <w:r w:rsidR="00791BF8">
        <w:t>of</w:t>
      </w:r>
      <w:r w:rsidR="004B14AB">
        <w:noBreakHyphen/>
      </w:r>
      <w:r w:rsidR="00791BF8">
        <w:t>state areas</w:t>
      </w:r>
      <w:r w:rsidR="003D6990">
        <w:t>. This was heightened during the pandemic</w:t>
      </w:r>
      <w:r w:rsidR="009A11E3">
        <w:t xml:space="preserve">, </w:t>
      </w:r>
      <w:r w:rsidR="000A0B8F">
        <w:t>with fewer departures from rest</w:t>
      </w:r>
      <w:r w:rsidR="000A0B8F">
        <w:noBreakHyphen/>
        <w:t>of</w:t>
      </w:r>
      <w:r w:rsidR="000A0B8F">
        <w:noBreakHyphen/>
        <w:t xml:space="preserve">state areas, but has </w:t>
      </w:r>
      <w:r w:rsidR="009A11E3">
        <w:t>declined to back around pre</w:t>
      </w:r>
      <w:r w:rsidR="004B14AB">
        <w:noBreakHyphen/>
      </w:r>
      <w:r w:rsidR="009A11E3">
        <w:t>pandemic levels</w:t>
      </w:r>
      <w:r w:rsidR="0084403B" w:rsidDel="00EA63CC">
        <w:t>.</w:t>
      </w:r>
      <w:r w:rsidR="003059E3" w:rsidDel="00EA63CC">
        <w:t xml:space="preserve"> </w:t>
      </w:r>
    </w:p>
    <w:p w14:paraId="3D564A17" w14:textId="34D32685" w:rsidR="00152EF1" w:rsidRDefault="00E352FE" w:rsidP="00207D66">
      <w:r>
        <w:t>Despite being lower than in capital cities, n</w:t>
      </w:r>
      <w:r w:rsidR="00DA620C">
        <w:t>et</w:t>
      </w:r>
      <w:r w:rsidR="0043666B">
        <w:t xml:space="preserve"> overseas migration </w:t>
      </w:r>
      <w:r w:rsidR="00DF6F43">
        <w:t xml:space="preserve">is </w:t>
      </w:r>
      <w:r w:rsidR="00DA620C">
        <w:t>still a significant driver of growth in rest</w:t>
      </w:r>
      <w:r w:rsidR="00943CF1">
        <w:t>-</w:t>
      </w:r>
      <w:r w:rsidR="00DA620C">
        <w:t>of</w:t>
      </w:r>
      <w:r w:rsidR="00943CF1">
        <w:t>-</w:t>
      </w:r>
      <w:r w:rsidR="00DA620C">
        <w:t>state areas and</w:t>
      </w:r>
      <w:r w:rsidR="0043666B">
        <w:t xml:space="preserve"> </w:t>
      </w:r>
      <w:r w:rsidR="00DF6F43">
        <w:t xml:space="preserve">is projected to be the largest contributor to population growth </w:t>
      </w:r>
      <w:r w:rsidR="00651DE3">
        <w:t>over</w:t>
      </w:r>
      <w:r w:rsidR="00DF6F43">
        <w:t xml:space="preserve"> the projection period. </w:t>
      </w:r>
      <w:r w:rsidR="00657814">
        <w:t>Levels of natural increase are projected to decline</w:t>
      </w:r>
      <w:r w:rsidR="00CC2703">
        <w:t xml:space="preserve"> as the population ages, reaching negative levels </w:t>
      </w:r>
      <w:r w:rsidR="004321FB" w:rsidDel="00EA63CC">
        <w:t>for the rest</w:t>
      </w:r>
      <w:r w:rsidR="004B14AB">
        <w:noBreakHyphen/>
      </w:r>
      <w:r w:rsidR="004321FB" w:rsidDel="00EA63CC">
        <w:t>of</w:t>
      </w:r>
      <w:r w:rsidR="004B14AB">
        <w:noBreakHyphen/>
      </w:r>
      <w:r w:rsidR="004321FB" w:rsidDel="00EA63CC">
        <w:t>state areas</w:t>
      </w:r>
      <w:r w:rsidR="00CC2703" w:rsidDel="00EA63CC">
        <w:t xml:space="preserve"> </w:t>
      </w:r>
      <w:r w:rsidR="00CC2703">
        <w:t xml:space="preserve">in </w:t>
      </w:r>
      <w:r w:rsidR="004613A2">
        <w:t>New</w:t>
      </w:r>
      <w:r w:rsidR="001F0DE5">
        <w:t> </w:t>
      </w:r>
      <w:r w:rsidR="004613A2">
        <w:t>South</w:t>
      </w:r>
      <w:r w:rsidR="001F0DE5">
        <w:t> </w:t>
      </w:r>
      <w:r w:rsidR="004613A2">
        <w:t>Wales, Victoria, South Australia and Tasmania.</w:t>
      </w:r>
    </w:p>
    <w:p w14:paraId="0AA5463F" w14:textId="27EDC86D" w:rsidR="00661230" w:rsidRPr="00207D66" w:rsidRDefault="00DB7E2D" w:rsidP="00872A2E">
      <w:pPr>
        <w:pStyle w:val="ChartMainHeading"/>
      </w:pPr>
      <w:bookmarkStart w:id="115" w:name="_Ref152623325"/>
      <w:bookmarkStart w:id="116" w:name="_Ref149919304"/>
      <w:r w:rsidRPr="005C2326">
        <w:lastRenderedPageBreak/>
        <w:t>Population</w:t>
      </w:r>
      <w:r w:rsidRPr="00207D66">
        <w:t xml:space="preserve"> growth and components, </w:t>
      </w:r>
      <w:r w:rsidR="00D64D19" w:rsidRPr="00207D66">
        <w:t>capital cities</w:t>
      </w:r>
      <w:bookmarkEnd w:id="115"/>
      <w:r w:rsidR="00D64D19" w:rsidRPr="00207D66">
        <w:t xml:space="preserve"> </w:t>
      </w:r>
      <w:bookmarkEnd w:id="116"/>
    </w:p>
    <w:p w14:paraId="0DF334E9" w14:textId="0B40B68E" w:rsidR="001F3DB6" w:rsidRPr="001F3DB6" w:rsidRDefault="00F4787D" w:rsidP="00416768">
      <w:pPr>
        <w:pStyle w:val="ChartGraphic"/>
      </w:pPr>
      <w:r w:rsidRPr="00F4787D">
        <w:rPr>
          <w:noProof/>
        </w:rPr>
        <w:drawing>
          <wp:inline distT="0" distB="0" distL="0" distR="0" wp14:anchorId="183D813C" wp14:editId="4AF6BC6F">
            <wp:extent cx="5594350" cy="2889250"/>
            <wp:effectExtent l="0" t="0" r="0" b="0"/>
            <wp:docPr id="11" name="Picture 11" descr="This chart shows population growth by component for combined capital cities, including net overseas migration, natural increase, and net internal migration.  Intercensal difference is also shown. Net overseas migration will be the main driver of population growth over the projection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population growth by component for combined capital cities, including net overseas migration, natural increase, and net internal migration.  Intercensal difference is also shown. Net overseas migration will be the main driver of population growth over the projections peri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4350" cy="2889250"/>
                    </a:xfrm>
                    <a:prstGeom prst="rect">
                      <a:avLst/>
                    </a:prstGeom>
                    <a:noFill/>
                    <a:ln>
                      <a:noFill/>
                    </a:ln>
                  </pic:spPr>
                </pic:pic>
              </a:graphicData>
            </a:graphic>
          </wp:inline>
        </w:drawing>
      </w:r>
    </w:p>
    <w:p w14:paraId="22B1BCC7" w14:textId="778916DF" w:rsidR="006B5250" w:rsidRPr="004C79D2" w:rsidRDefault="006B5250" w:rsidP="004C79D2">
      <w:pPr>
        <w:pStyle w:val="ChartGraphic"/>
      </w:pPr>
    </w:p>
    <w:p w14:paraId="7DB5D22D" w14:textId="2F0E2B5F" w:rsidR="009522AD" w:rsidRPr="00664FED" w:rsidRDefault="009522AD" w:rsidP="00E01AE5">
      <w:pPr>
        <w:pStyle w:val="Source"/>
        <w:rPr>
          <w:color w:val="1E75BA" w:themeColor="accent2"/>
        </w:rPr>
      </w:pPr>
      <w:r w:rsidRPr="00365883">
        <w:t xml:space="preserve">Source: </w:t>
      </w:r>
      <w:r w:rsidR="00207D66">
        <w:tab/>
      </w:r>
      <w:r>
        <w:t>ABS</w:t>
      </w:r>
      <w:r w:rsidRPr="00CC35B1">
        <w:t xml:space="preserve">, </w:t>
      </w:r>
      <w:r w:rsidR="0034539B" w:rsidRPr="00F67DB6">
        <w:t>Regional population 2021–22</w:t>
      </w:r>
      <w:r w:rsidRPr="00365883" w:rsidDel="00EA63CC">
        <w:t xml:space="preserve"> </w:t>
      </w:r>
      <w:r w:rsidR="0030437E">
        <w:t>and</w:t>
      </w:r>
      <w:r w:rsidRPr="00365883" w:rsidDel="00EA63CC">
        <w:t xml:space="preserve"> </w:t>
      </w:r>
      <w:r w:rsidRPr="00365883">
        <w:t>Centre for Population projections</w:t>
      </w:r>
      <w:r>
        <w:t>.</w:t>
      </w:r>
    </w:p>
    <w:p w14:paraId="5DCC0766" w14:textId="77777777" w:rsidR="000E24B2" w:rsidRPr="00252F42" w:rsidRDefault="000E24B2" w:rsidP="00252F42">
      <w:pPr>
        <w:pStyle w:val="SingleParagraph"/>
      </w:pPr>
    </w:p>
    <w:p w14:paraId="335306C1" w14:textId="3D4729FD" w:rsidR="00DB7E2D" w:rsidRPr="00207D66" w:rsidRDefault="00DB7E2D" w:rsidP="00872A2E">
      <w:pPr>
        <w:pStyle w:val="ChartMainHeading"/>
      </w:pPr>
      <w:bookmarkStart w:id="117" w:name="_Ref152623341"/>
      <w:r w:rsidRPr="00207D66">
        <w:t>Population growth and components, rest</w:t>
      </w:r>
      <w:r w:rsidR="004B14AB">
        <w:noBreakHyphen/>
      </w:r>
      <w:r w:rsidRPr="00207D66">
        <w:t>of</w:t>
      </w:r>
      <w:r w:rsidR="004B14AB">
        <w:noBreakHyphen/>
      </w:r>
      <w:r w:rsidRPr="00207D66">
        <w:t>state areas</w:t>
      </w:r>
      <w:bookmarkEnd w:id="117"/>
    </w:p>
    <w:p w14:paraId="4581367E" w14:textId="25A6236D" w:rsidR="61FDC6E5" w:rsidRDefault="001C71E0" w:rsidP="004C79D2">
      <w:pPr>
        <w:pStyle w:val="ChartGraphic"/>
      </w:pPr>
      <w:r w:rsidRPr="001C71E0">
        <w:rPr>
          <w:noProof/>
        </w:rPr>
        <w:drawing>
          <wp:inline distT="0" distB="0" distL="0" distR="0" wp14:anchorId="3978622A" wp14:editId="297400CC">
            <wp:extent cx="5594350" cy="2889250"/>
            <wp:effectExtent l="0" t="0" r="0" b="6350"/>
            <wp:docPr id="13" name="Picture 13" descr="This chart shows population growth by component for combined rest-of-state areas including net overseas migration, natural increase, and net internal migration. Intercensal difference is also shown. Net overseas migration and net internal migration will be the main drivers of growth over the projections period, while natural increase will dec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shows population growth by component for combined rest-of-state areas including net overseas migration, natural increase, and net internal migration. Intercensal difference is also shown. Net overseas migration and net internal migration will be the main drivers of growth over the projections period, while natural increase will decline over tim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4350" cy="2889250"/>
                    </a:xfrm>
                    <a:prstGeom prst="rect">
                      <a:avLst/>
                    </a:prstGeom>
                    <a:noFill/>
                    <a:ln>
                      <a:noFill/>
                    </a:ln>
                  </pic:spPr>
                </pic:pic>
              </a:graphicData>
            </a:graphic>
          </wp:inline>
        </w:drawing>
      </w:r>
    </w:p>
    <w:p w14:paraId="3390A14E" w14:textId="107F1053" w:rsidR="007A05B1" w:rsidRPr="00591781" w:rsidRDefault="00DD7741" w:rsidP="00E01AE5">
      <w:pPr>
        <w:pStyle w:val="Source"/>
        <w:rPr>
          <w:color w:val="1E75BA" w:themeColor="accent2"/>
        </w:rPr>
      </w:pPr>
      <w:r w:rsidRPr="00365883">
        <w:t xml:space="preserve">Source: </w:t>
      </w:r>
      <w:r w:rsidR="00207D66">
        <w:tab/>
      </w:r>
      <w:r>
        <w:t>ABS</w:t>
      </w:r>
      <w:r w:rsidRPr="00CC35B1">
        <w:t xml:space="preserve">, </w:t>
      </w:r>
      <w:r w:rsidR="00A5596E" w:rsidRPr="00F67DB6">
        <w:t>Regional population 2021–22</w:t>
      </w:r>
      <w:r w:rsidRPr="00CC35B1">
        <w:t xml:space="preserve"> and </w:t>
      </w:r>
      <w:r w:rsidRPr="00365883">
        <w:t>Centre for Population projections</w:t>
      </w:r>
      <w:r>
        <w:t>.</w:t>
      </w:r>
    </w:p>
    <w:p w14:paraId="1DF72125" w14:textId="2FBC2A6D" w:rsidR="000E24B2" w:rsidRPr="000E24B2" w:rsidRDefault="00DE5D9F">
      <w:pPr>
        <w:spacing w:before="0" w:after="160" w:line="259" w:lineRule="auto"/>
        <w:rPr>
          <w:lang w:eastAsia="en-AU"/>
        </w:rPr>
      </w:pPr>
      <w:bookmarkStart w:id="118" w:name="_Toc151994723"/>
      <w:r>
        <w:rPr>
          <w:lang w:eastAsia="en-AU"/>
        </w:rPr>
        <w:br w:type="page"/>
      </w:r>
    </w:p>
    <w:p w14:paraId="299C526B" w14:textId="16E836AF" w:rsidR="00E47BB8" w:rsidRDefault="00E47BB8" w:rsidP="0052425E">
      <w:pPr>
        <w:pStyle w:val="Heading2Numbered"/>
      </w:pPr>
      <w:bookmarkStart w:id="119" w:name="_Toc149846508"/>
      <w:bookmarkStart w:id="120" w:name="_Toc149846549"/>
      <w:bookmarkStart w:id="121" w:name="_Toc149846647"/>
      <w:bookmarkStart w:id="122" w:name="_Toc149847590"/>
      <w:bookmarkStart w:id="123" w:name="_Toc154050212"/>
      <w:r w:rsidRPr="00342678">
        <w:lastRenderedPageBreak/>
        <w:t>New</w:t>
      </w:r>
      <w:r>
        <w:t xml:space="preserve"> South Wales</w:t>
      </w:r>
      <w:bookmarkEnd w:id="118"/>
      <w:bookmarkEnd w:id="119"/>
      <w:bookmarkEnd w:id="120"/>
      <w:bookmarkEnd w:id="121"/>
      <w:bookmarkEnd w:id="122"/>
      <w:bookmarkEnd w:id="123"/>
    </w:p>
    <w:p w14:paraId="545A6A96" w14:textId="6E99A3D8" w:rsidR="00247509" w:rsidRDefault="00C90C54" w:rsidP="00252F42">
      <w:r w:rsidRPr="00F167CB">
        <w:t>New South Wales is Australia</w:t>
      </w:r>
      <w:r w:rsidR="004B14AB">
        <w:t>’</w:t>
      </w:r>
      <w:r w:rsidRPr="00F167CB">
        <w:t xml:space="preserve">s most populous state </w:t>
      </w:r>
      <w:r w:rsidR="00007CB8" w:rsidRPr="00F167CB">
        <w:t xml:space="preserve">and is projected to remain so over the next decade, growing from </w:t>
      </w:r>
      <w:r w:rsidR="007121D3">
        <w:t>8.2</w:t>
      </w:r>
      <w:r w:rsidR="00252F42">
        <w:t> </w:t>
      </w:r>
      <w:r w:rsidR="00007CB8" w:rsidRPr="00F167CB">
        <w:t>million people on 30 June 202</w:t>
      </w:r>
      <w:r w:rsidR="00007CB8">
        <w:t>2</w:t>
      </w:r>
      <w:r w:rsidR="00007CB8" w:rsidRPr="00F167CB">
        <w:t xml:space="preserve"> to </w:t>
      </w:r>
      <w:r w:rsidR="007121D3">
        <w:t>9.5</w:t>
      </w:r>
      <w:r w:rsidR="00007CB8" w:rsidRPr="00F167CB">
        <w:t xml:space="preserve"> million by 203</w:t>
      </w:r>
      <w:r w:rsidR="00007CB8">
        <w:t>3</w:t>
      </w:r>
      <w:r w:rsidR="00007CB8" w:rsidRPr="00F167CB">
        <w:t>–3</w:t>
      </w:r>
      <w:r w:rsidR="00007CB8">
        <w:t>4</w:t>
      </w:r>
      <w:r w:rsidR="00007CB8" w:rsidRPr="00F167CB">
        <w:t xml:space="preserve">. </w:t>
      </w:r>
      <w:r w:rsidR="00B01BD4" w:rsidRPr="00F167CB">
        <w:t xml:space="preserve">Population growth is expected to </w:t>
      </w:r>
      <w:r w:rsidR="00B01BD4">
        <w:t>rebound from the impact of the pandemic in the first</w:t>
      </w:r>
      <w:r w:rsidR="00377429">
        <w:t> year</w:t>
      </w:r>
      <w:r w:rsidR="00B01BD4">
        <w:t xml:space="preserve"> of projections, at</w:t>
      </w:r>
      <w:r w:rsidR="00B01BD4" w:rsidRPr="00F167CB">
        <w:t xml:space="preserve"> </w:t>
      </w:r>
      <w:r w:rsidR="0061353A">
        <w:t>2.2</w:t>
      </w:r>
      <w:r w:rsidR="001F3B6F">
        <w:t> per cent</w:t>
      </w:r>
      <w:r w:rsidR="00B01BD4" w:rsidRPr="00F167CB">
        <w:t xml:space="preserve"> </w:t>
      </w:r>
      <w:r w:rsidR="0061353A">
        <w:t>in 2022</w:t>
      </w:r>
      <w:r w:rsidR="00F37A0C">
        <w:t>–</w:t>
      </w:r>
      <w:r w:rsidR="0061353A">
        <w:t xml:space="preserve">23. </w:t>
      </w:r>
      <w:r w:rsidR="00E36AFD">
        <w:t xml:space="preserve">Population growth in </w:t>
      </w:r>
      <w:r w:rsidR="00883A3F" w:rsidRPr="00F167CB">
        <w:t xml:space="preserve">New South Wales is </w:t>
      </w:r>
      <w:r w:rsidR="00E36AFD">
        <w:t xml:space="preserve">driven by </w:t>
      </w:r>
      <w:r w:rsidR="00883A3F" w:rsidRPr="00F167CB">
        <w:t>net overseas migration</w:t>
      </w:r>
      <w:r w:rsidR="00BD5769">
        <w:t xml:space="preserve">, </w:t>
      </w:r>
      <w:r w:rsidR="00AF0185">
        <w:t xml:space="preserve">which contributes </w:t>
      </w:r>
      <w:r w:rsidR="00E727EA">
        <w:t>2.1</w:t>
      </w:r>
      <w:r w:rsidR="00BD5769">
        <w:t> </w:t>
      </w:r>
      <w:r w:rsidR="00883A3F">
        <w:t xml:space="preserve">percentage points </w:t>
      </w:r>
      <w:r w:rsidR="00A64F6C" w:rsidDel="00EA63CC">
        <w:t xml:space="preserve">to </w:t>
      </w:r>
      <w:r w:rsidR="00E143F7">
        <w:t xml:space="preserve">growth in </w:t>
      </w:r>
      <w:r w:rsidR="00E20826">
        <w:t>2022</w:t>
      </w:r>
      <w:r w:rsidR="00E54F9C" w:rsidDel="00EA63CC">
        <w:t>–</w:t>
      </w:r>
      <w:r w:rsidR="00E20826" w:rsidDel="00EA63CC">
        <w:t>23</w:t>
      </w:r>
      <w:r w:rsidR="00E143F7" w:rsidDel="00EA63CC">
        <w:t>.</w:t>
      </w:r>
      <w:r w:rsidR="00E143F7">
        <w:t xml:space="preserve"> Population growth</w:t>
      </w:r>
      <w:r w:rsidR="0061353A">
        <w:t xml:space="preserve"> </w:t>
      </w:r>
      <w:r w:rsidR="005E03AE">
        <w:t>is</w:t>
      </w:r>
      <w:r w:rsidR="0061353A">
        <w:t xml:space="preserve"> then </w:t>
      </w:r>
      <w:r w:rsidR="005E03AE">
        <w:t>projected to</w:t>
      </w:r>
      <w:r w:rsidR="0061353A">
        <w:t xml:space="preserve"> decline to</w:t>
      </w:r>
      <w:r w:rsidR="00B01BD4" w:rsidRPr="00F167CB">
        <w:t xml:space="preserve"> 1.</w:t>
      </w:r>
      <w:r w:rsidR="00922EC4">
        <w:t>2</w:t>
      </w:r>
      <w:r w:rsidR="001F3B6F">
        <w:t> per cent</w:t>
      </w:r>
      <w:r w:rsidR="00B01BD4" w:rsidRPr="00F167CB">
        <w:t xml:space="preserve"> in </w:t>
      </w:r>
      <w:r w:rsidR="000B18B7">
        <w:t>2024</w:t>
      </w:r>
      <w:r w:rsidR="00F37A0C">
        <w:t>–</w:t>
      </w:r>
      <w:r w:rsidR="000B18B7">
        <w:t>25 in line with pre</w:t>
      </w:r>
      <w:r w:rsidR="004B14AB">
        <w:noBreakHyphen/>
      </w:r>
      <w:r w:rsidR="000B18B7">
        <w:t>pandemic levels</w:t>
      </w:r>
      <w:r w:rsidR="003138B6">
        <w:t xml:space="preserve"> as net overseas migration moderates</w:t>
      </w:r>
      <w:r w:rsidR="000B18B7">
        <w:t>.</w:t>
      </w:r>
      <w:r w:rsidR="00B01BD4" w:rsidRPr="00F167CB">
        <w:t xml:space="preserve"> </w:t>
      </w:r>
    </w:p>
    <w:p w14:paraId="3EBDC7E1" w14:textId="39A194AB" w:rsidR="008A42FC" w:rsidRDefault="008C10F0" w:rsidP="00252F42">
      <w:r>
        <w:t xml:space="preserve">Although a </w:t>
      </w:r>
      <w:r w:rsidR="006C6276">
        <w:t>key destination</w:t>
      </w:r>
      <w:r>
        <w:t xml:space="preserve"> </w:t>
      </w:r>
      <w:r w:rsidR="00A13A83">
        <w:t>for</w:t>
      </w:r>
      <w:r>
        <w:t xml:space="preserve"> overseas migration, </w:t>
      </w:r>
      <w:r w:rsidR="008A42FC" w:rsidRPr="00F167CB">
        <w:t xml:space="preserve">New South Wales has generally experienced </w:t>
      </w:r>
      <w:r w:rsidR="004E3C84">
        <w:t xml:space="preserve">high </w:t>
      </w:r>
      <w:r w:rsidR="008A42FC" w:rsidRPr="00F167CB">
        <w:t xml:space="preserve">net interstate </w:t>
      </w:r>
      <w:r w:rsidR="00462049">
        <w:t>departures</w:t>
      </w:r>
      <w:r w:rsidR="008A42FC" w:rsidRPr="00F167CB">
        <w:t>.</w:t>
      </w:r>
      <w:r w:rsidR="00141EE4">
        <w:t xml:space="preserve"> </w:t>
      </w:r>
      <w:r w:rsidR="00F70199">
        <w:t xml:space="preserve">This reached a </w:t>
      </w:r>
      <w:r w:rsidR="00617B25">
        <w:t xml:space="preserve">relatively </w:t>
      </w:r>
      <w:r w:rsidR="00587EB4">
        <w:t>high</w:t>
      </w:r>
      <w:r w:rsidR="00141EE4">
        <w:t xml:space="preserve"> outflow of </w:t>
      </w:r>
      <w:r w:rsidR="00294D6C">
        <w:t>40,000</w:t>
      </w:r>
      <w:r w:rsidR="0015666D">
        <w:t xml:space="preserve"> </w:t>
      </w:r>
      <w:r w:rsidR="00294D6C">
        <w:t>in 2021</w:t>
      </w:r>
      <w:r w:rsidR="00F37A0C">
        <w:t>–</w:t>
      </w:r>
      <w:r w:rsidR="00294D6C">
        <w:t xml:space="preserve">22 </w:t>
      </w:r>
      <w:r w:rsidR="005E03AE">
        <w:t xml:space="preserve">coinciding with </w:t>
      </w:r>
      <w:r w:rsidR="0015666D" w:rsidRPr="00F167CB">
        <w:t>an extended COVID</w:t>
      </w:r>
      <w:r w:rsidR="004B14AB">
        <w:noBreakHyphen/>
      </w:r>
      <w:r w:rsidR="0015666D" w:rsidRPr="00F167CB">
        <w:t>19 lockdown in the second half of 2021</w:t>
      </w:r>
      <w:r w:rsidR="0015666D">
        <w:t>.</w:t>
      </w:r>
      <w:r w:rsidR="00AA4A94">
        <w:rPr>
          <w:rStyle w:val="FootnoteReference"/>
        </w:rPr>
        <w:footnoteReference w:id="24"/>
      </w:r>
      <w:r w:rsidR="0015666D">
        <w:t xml:space="preserve"> </w:t>
      </w:r>
      <w:r w:rsidR="002B04E8">
        <w:t xml:space="preserve">Net interstate migration in </w:t>
      </w:r>
      <w:r w:rsidR="002B04E8" w:rsidRPr="00A824E4">
        <w:rPr>
          <w:rFonts w:cstheme="minorHAnsi"/>
        </w:rPr>
        <w:t xml:space="preserve">New South Wales is projected to return to </w:t>
      </w:r>
      <w:r w:rsidR="005F08FF" w:rsidRPr="00A824E4" w:rsidDel="00EA63CC">
        <w:rPr>
          <w:rFonts w:cstheme="minorHAnsi"/>
        </w:rPr>
        <w:t xml:space="preserve">its </w:t>
      </w:r>
      <w:r w:rsidR="005F08FF" w:rsidRPr="00E01AE5" w:rsidDel="00EA63CC">
        <w:rPr>
          <w:rStyle w:val="cf01"/>
          <w:rFonts w:asciiTheme="minorHAnsi" w:hAnsiTheme="minorHAnsi" w:cstheme="minorHAnsi"/>
          <w:sz w:val="20"/>
          <w:szCs w:val="20"/>
        </w:rPr>
        <w:t>long</w:t>
      </w:r>
      <w:r w:rsidR="00310A93">
        <w:rPr>
          <w:rStyle w:val="cf01"/>
          <w:rFonts w:asciiTheme="minorHAnsi" w:hAnsiTheme="minorHAnsi" w:cstheme="minorHAnsi"/>
          <w:sz w:val="20"/>
          <w:szCs w:val="20"/>
        </w:rPr>
        <w:t xml:space="preserve"> </w:t>
      </w:r>
      <w:r w:rsidR="005F08FF" w:rsidRPr="00E01AE5" w:rsidDel="00EA63CC">
        <w:rPr>
          <w:rStyle w:val="cf01"/>
          <w:rFonts w:asciiTheme="minorHAnsi" w:hAnsiTheme="minorHAnsi" w:cstheme="minorHAnsi"/>
          <w:sz w:val="20"/>
          <w:szCs w:val="20"/>
        </w:rPr>
        <w:t>term trend</w:t>
      </w:r>
      <w:r w:rsidR="0068538E" w:rsidRPr="00E01AE5">
        <w:rPr>
          <w:rStyle w:val="cf01"/>
          <w:rFonts w:asciiTheme="minorHAnsi" w:hAnsiTheme="minorHAnsi" w:cstheme="minorHAnsi"/>
          <w:sz w:val="20"/>
          <w:szCs w:val="20"/>
        </w:rPr>
        <w:t xml:space="preserve"> </w:t>
      </w:r>
      <w:r w:rsidR="0068538E" w:rsidRPr="00A824E4">
        <w:rPr>
          <w:rFonts w:cstheme="minorHAnsi"/>
        </w:rPr>
        <w:t>by 2025</w:t>
      </w:r>
      <w:r w:rsidR="00F37A0C">
        <w:t>–</w:t>
      </w:r>
      <w:r w:rsidR="0068538E">
        <w:t xml:space="preserve">26. </w:t>
      </w:r>
    </w:p>
    <w:p w14:paraId="10D5FAA1" w14:textId="0E0879DE" w:rsidR="00D90EAC" w:rsidRPr="0080495D" w:rsidRDefault="00D90EAC" w:rsidP="007D5E71">
      <w:pPr>
        <w:pStyle w:val="ChartMainHeading"/>
        <w:tabs>
          <w:tab w:val="clear" w:pos="993"/>
          <w:tab w:val="left" w:pos="1134"/>
        </w:tabs>
        <w:ind w:left="0" w:firstLine="0"/>
      </w:pPr>
      <w:r w:rsidRPr="0080495D">
        <w:t>Population growth and components, New South Wales</w:t>
      </w:r>
    </w:p>
    <w:p w14:paraId="39977A36" w14:textId="4B9EE546" w:rsidR="00CC3EDC" w:rsidRDefault="00D57E5D" w:rsidP="004C79D2">
      <w:pPr>
        <w:pStyle w:val="ChartGraphic"/>
      </w:pPr>
      <w:r w:rsidRPr="00D57E5D">
        <w:t xml:space="preserve"> </w:t>
      </w:r>
      <w:r w:rsidR="00FD06A3" w:rsidRPr="004C79D2">
        <w:rPr>
          <w:noProof/>
        </w:rPr>
        <w:drawing>
          <wp:inline distT="0" distB="0" distL="0" distR="0" wp14:anchorId="682B95F5" wp14:editId="10C3B506">
            <wp:extent cx="5549900" cy="2878455"/>
            <wp:effectExtent l="0" t="0" r="0" b="0"/>
            <wp:docPr id="31" name="Picture 31" descr="This chart shows total population growth by component for New South Wales, including net overseas migration, natural increase, net internal migration. Intercensal difference is also shown. Net overseas migration will be the main driver of growth over the projection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total population growth by component for New South Wales, including net overseas migration, natural increase, net internal migration. Intercensal difference is also shown. Net overseas migration will be the main driver of growth over the projections peri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9900" cy="2878455"/>
                    </a:xfrm>
                    <a:prstGeom prst="rect">
                      <a:avLst/>
                    </a:prstGeom>
                    <a:noFill/>
                    <a:ln>
                      <a:noFill/>
                    </a:ln>
                  </pic:spPr>
                </pic:pic>
              </a:graphicData>
            </a:graphic>
          </wp:inline>
        </w:drawing>
      </w:r>
    </w:p>
    <w:p w14:paraId="25ABAF96" w14:textId="02C3E12E" w:rsidR="00D90EAC" w:rsidRPr="008A444E" w:rsidRDefault="00D90EAC" w:rsidP="00252F42">
      <w:pPr>
        <w:pStyle w:val="Source"/>
      </w:pPr>
      <w:r w:rsidRPr="004218BD">
        <w:t xml:space="preserve">Source: </w:t>
      </w:r>
      <w:r w:rsidR="004218BD">
        <w:tab/>
      </w:r>
      <w:r w:rsidR="00DD1DCF" w:rsidRPr="004218BD">
        <w:t>ABS</w:t>
      </w:r>
      <w:r w:rsidRPr="004218BD">
        <w:t>, National, state and territory population, March 2023 and Centre for Population projections.</w:t>
      </w:r>
    </w:p>
    <w:p w14:paraId="6CFD0E12" w14:textId="22CBD419" w:rsidR="00862CE2" w:rsidRDefault="00AD1B3E" w:rsidP="008A444E">
      <w:r>
        <w:t xml:space="preserve">The population of </w:t>
      </w:r>
      <w:r w:rsidRPr="00F704FC">
        <w:rPr>
          <w:b/>
        </w:rPr>
        <w:t>Greater Sydney</w:t>
      </w:r>
      <w:r>
        <w:t xml:space="preserve"> was </w:t>
      </w:r>
      <w:r w:rsidR="00EF4C56">
        <w:t>5.3</w:t>
      </w:r>
      <w:r>
        <w:t xml:space="preserve"> million on 30 June 202</w:t>
      </w:r>
      <w:r w:rsidR="00A21812">
        <w:t>2</w:t>
      </w:r>
      <w:r>
        <w:t>, making it Australia</w:t>
      </w:r>
      <w:r w:rsidR="004B14AB">
        <w:t>’</w:t>
      </w:r>
      <w:r>
        <w:t xml:space="preserve">s largest city </w:t>
      </w:r>
      <w:r w:rsidR="00A46764">
        <w:t>with</w:t>
      </w:r>
      <w:r>
        <w:t xml:space="preserve"> </w:t>
      </w:r>
      <w:r w:rsidR="007A4D4F">
        <w:t>65</w:t>
      </w:r>
      <w:r w:rsidR="001F3B6F">
        <w:t> per cent</w:t>
      </w:r>
      <w:r>
        <w:t xml:space="preserve"> of the New South Wales</w:t>
      </w:r>
      <w:r w:rsidR="00A46764">
        <w:t xml:space="preserve"> </w:t>
      </w:r>
      <w:r>
        <w:t xml:space="preserve">population. </w:t>
      </w:r>
      <w:r w:rsidR="00CD1C98">
        <w:t>In 2021</w:t>
      </w:r>
      <w:r w:rsidR="00E54F9C" w:rsidDel="00EA63CC">
        <w:t>–</w:t>
      </w:r>
      <w:r w:rsidR="00CD1C98">
        <w:t>22,</w:t>
      </w:r>
      <w:r>
        <w:t xml:space="preserve"> Sydney</w:t>
      </w:r>
      <w:r w:rsidR="004B14AB">
        <w:t>’</w:t>
      </w:r>
      <w:r>
        <w:t xml:space="preserve">s population growth </w:t>
      </w:r>
      <w:r w:rsidR="00CD1C98">
        <w:t>began recovering</w:t>
      </w:r>
      <w:r w:rsidR="00A21812">
        <w:t xml:space="preserve"> from the impact of the pandemic related restrictions on travel</w:t>
      </w:r>
      <w:r w:rsidR="00BE69F0">
        <w:t>.</w:t>
      </w:r>
      <w:r w:rsidR="00D07FD3">
        <w:t xml:space="preserve"> Population growth for Sydney </w:t>
      </w:r>
      <w:r w:rsidR="00560DC6" w:rsidDel="00EA63CC">
        <w:t>is expected to</w:t>
      </w:r>
      <w:r w:rsidR="00D07FD3" w:rsidDel="00EA63CC">
        <w:t xml:space="preserve"> increase</w:t>
      </w:r>
      <w:r w:rsidR="00D07FD3">
        <w:t xml:space="preserve"> from 0.</w:t>
      </w:r>
      <w:r w:rsidR="006F3808">
        <w:t>8</w:t>
      </w:r>
      <w:r w:rsidR="001F3B6F">
        <w:t> per cent</w:t>
      </w:r>
      <w:r w:rsidR="00D07FD3">
        <w:t xml:space="preserve"> in 2021</w:t>
      </w:r>
      <w:r w:rsidR="00E54F9C" w:rsidDel="00EA63CC">
        <w:t>–</w:t>
      </w:r>
      <w:r w:rsidR="00D07FD3">
        <w:t>22 to 2.</w:t>
      </w:r>
      <w:r w:rsidR="001B27BB">
        <w:t>9</w:t>
      </w:r>
      <w:r w:rsidR="001F3B6F">
        <w:t> per cent</w:t>
      </w:r>
      <w:r w:rsidR="00D07FD3">
        <w:t xml:space="preserve"> in 2022</w:t>
      </w:r>
      <w:r w:rsidR="00E54F9C" w:rsidDel="00EA63CC">
        <w:t>–</w:t>
      </w:r>
      <w:r w:rsidR="00D07FD3">
        <w:t xml:space="preserve">23. </w:t>
      </w:r>
      <w:r>
        <w:t xml:space="preserve">Population growth is projected to </w:t>
      </w:r>
      <w:r w:rsidR="00933F59">
        <w:t>decrease to</w:t>
      </w:r>
      <w:r>
        <w:t xml:space="preserve"> </w:t>
      </w:r>
      <w:r w:rsidR="00933F59">
        <w:t>1.4</w:t>
      </w:r>
      <w:r w:rsidR="001F3B6F">
        <w:t> per cent</w:t>
      </w:r>
      <w:r>
        <w:t xml:space="preserve"> by 2024–25, before slowing </w:t>
      </w:r>
      <w:r w:rsidR="004A6E3A">
        <w:t xml:space="preserve">further </w:t>
      </w:r>
      <w:r>
        <w:t xml:space="preserve">to </w:t>
      </w:r>
      <w:r w:rsidR="008F443A">
        <w:t>1.2</w:t>
      </w:r>
      <w:r w:rsidR="001F3B6F">
        <w:t> per cent</w:t>
      </w:r>
      <w:r>
        <w:t xml:space="preserve"> in 203</w:t>
      </w:r>
      <w:r w:rsidR="00D07FD3">
        <w:t>3</w:t>
      </w:r>
      <w:r>
        <w:t>–3</w:t>
      </w:r>
      <w:r w:rsidR="00D07FD3">
        <w:t>4</w:t>
      </w:r>
      <w:r>
        <w:t>. Sydney</w:t>
      </w:r>
      <w:r w:rsidR="004B14AB">
        <w:t>’</w:t>
      </w:r>
      <w:r>
        <w:t xml:space="preserve">s population is projected to be </w:t>
      </w:r>
      <w:r w:rsidR="0036438A">
        <w:t>6.4</w:t>
      </w:r>
      <w:r>
        <w:t xml:space="preserve"> million in 203</w:t>
      </w:r>
      <w:r w:rsidR="00862CE2">
        <w:t>3</w:t>
      </w:r>
      <w:r>
        <w:t>–3</w:t>
      </w:r>
      <w:r w:rsidR="00862CE2">
        <w:t>4</w:t>
      </w:r>
      <w:r>
        <w:t xml:space="preserve">. </w:t>
      </w:r>
    </w:p>
    <w:p w14:paraId="711C6452" w14:textId="33B45404" w:rsidR="00A30C9D" w:rsidRDefault="00AD1B3E" w:rsidP="008A444E">
      <w:r>
        <w:t xml:space="preserve">Population growth in the </w:t>
      </w:r>
      <w:r w:rsidRPr="008A444E">
        <w:rPr>
          <w:rStyle w:val="Strong"/>
        </w:rPr>
        <w:t>rest of New South Wales</w:t>
      </w:r>
      <w:r>
        <w:t xml:space="preserve"> </w:t>
      </w:r>
      <w:r w:rsidR="00862CE2">
        <w:t>is</w:t>
      </w:r>
      <w:r>
        <w:t xml:space="preserve"> also </w:t>
      </w:r>
      <w:r w:rsidR="00862CE2">
        <w:t>recovering from the impact of</w:t>
      </w:r>
      <w:r>
        <w:t xml:space="preserve"> the pandemic, </w:t>
      </w:r>
      <w:r w:rsidR="00B72CA9">
        <w:t>which</w:t>
      </w:r>
      <w:r w:rsidR="00B72CA9" w:rsidDel="00EA63CC">
        <w:t xml:space="preserve"> saw low net overseas migration largely offset by an increase</w:t>
      </w:r>
      <w:r>
        <w:t xml:space="preserve"> in </w:t>
      </w:r>
      <w:r w:rsidR="00B72CA9" w:rsidDel="00EA63CC">
        <w:t xml:space="preserve">net internal </w:t>
      </w:r>
      <w:r w:rsidR="00B72CA9">
        <w:t>migration</w:t>
      </w:r>
      <w:r w:rsidDel="00EA63CC">
        <w:t>.</w:t>
      </w:r>
      <w:r>
        <w:t xml:space="preserve"> Population growth in the rest of New South Wales </w:t>
      </w:r>
      <w:r w:rsidR="00CF793D" w:rsidDel="00EA63CC">
        <w:t xml:space="preserve">is expected to </w:t>
      </w:r>
      <w:r w:rsidR="00A30C9D">
        <w:t>remain stable at 1</w:t>
      </w:r>
      <w:r w:rsidR="00CD5450" w:rsidDel="00EA63CC">
        <w:t>.0</w:t>
      </w:r>
      <w:r w:rsidR="001F3B6F">
        <w:t> per cent</w:t>
      </w:r>
      <w:r w:rsidR="003B3890">
        <w:t xml:space="preserve"> in 2022</w:t>
      </w:r>
      <w:r w:rsidR="00E54F9C" w:rsidDel="00EA63CC">
        <w:t>–</w:t>
      </w:r>
      <w:r w:rsidR="003B3890">
        <w:t>23</w:t>
      </w:r>
      <w:r w:rsidR="000B449C">
        <w:t xml:space="preserve">, </w:t>
      </w:r>
      <w:r w:rsidR="00A30C9D">
        <w:t xml:space="preserve">as </w:t>
      </w:r>
      <w:r w:rsidR="00B14E35" w:rsidDel="00EA63CC">
        <w:t>high</w:t>
      </w:r>
      <w:r w:rsidR="00A256BC">
        <w:t>er</w:t>
      </w:r>
      <w:r w:rsidR="00A30C9D">
        <w:t xml:space="preserve"> net </w:t>
      </w:r>
      <w:r w:rsidR="00A30C9D" w:rsidDel="00EA63CC">
        <w:t xml:space="preserve">overseas </w:t>
      </w:r>
      <w:r w:rsidR="004E0376">
        <w:t xml:space="preserve">migration </w:t>
      </w:r>
      <w:r w:rsidR="00A256BC">
        <w:t xml:space="preserve">is </w:t>
      </w:r>
      <w:r w:rsidR="009025AB" w:rsidDel="00EA63CC">
        <w:t>offse</w:t>
      </w:r>
      <w:r w:rsidR="00297AA8" w:rsidDel="00EA63CC">
        <w:t>t</w:t>
      </w:r>
      <w:r w:rsidR="009025AB" w:rsidDel="00EA63CC">
        <w:t xml:space="preserve"> by </w:t>
      </w:r>
      <w:r w:rsidR="00A933C5">
        <w:t>lower</w:t>
      </w:r>
      <w:r w:rsidR="00C92F7B" w:rsidDel="00EA63CC">
        <w:t xml:space="preserve"> net i</w:t>
      </w:r>
      <w:r w:rsidR="00F557B0" w:rsidDel="00EA63CC">
        <w:t>nternal migration inflows</w:t>
      </w:r>
      <w:r w:rsidR="00A30C9D" w:rsidDel="00EA63CC">
        <w:t>.</w:t>
      </w:r>
      <w:r w:rsidR="00A30C9D">
        <w:t xml:space="preserve"> Population growth </w:t>
      </w:r>
      <w:r w:rsidR="003311AC" w:rsidDel="00EA63CC">
        <w:t>is expected to</w:t>
      </w:r>
      <w:r w:rsidR="008D0AEC" w:rsidDel="00EA63CC">
        <w:t xml:space="preserve"> decline </w:t>
      </w:r>
      <w:r w:rsidR="002F2B6B">
        <w:t xml:space="preserve">to </w:t>
      </w:r>
      <w:r w:rsidR="00A30C9D">
        <w:t>0.</w:t>
      </w:r>
      <w:r w:rsidR="006F505E">
        <w:t>6</w:t>
      </w:r>
      <w:r w:rsidR="001F3B6F">
        <w:t> per cent</w:t>
      </w:r>
      <w:r w:rsidR="002F2B6B">
        <w:t xml:space="preserve"> </w:t>
      </w:r>
      <w:r w:rsidR="006F505E" w:rsidDel="00EA63CC">
        <w:t>by</w:t>
      </w:r>
      <w:r w:rsidR="008D0AEC">
        <w:t xml:space="preserve"> the </w:t>
      </w:r>
      <w:r w:rsidR="006F505E" w:rsidDel="00EA63CC">
        <w:t>end</w:t>
      </w:r>
      <w:r w:rsidR="008D0AEC">
        <w:t xml:space="preserve"> of the projection period</w:t>
      </w:r>
      <w:r w:rsidR="00BF599B">
        <w:t>,</w:t>
      </w:r>
      <w:r w:rsidR="00BF599B" w:rsidDel="00EA63CC">
        <w:t xml:space="preserve"> and the rest of New</w:t>
      </w:r>
      <w:r w:rsidR="001F0DE5">
        <w:t> </w:t>
      </w:r>
      <w:r w:rsidR="00BF599B" w:rsidDel="00EA63CC">
        <w:t>South</w:t>
      </w:r>
      <w:r w:rsidR="001F0DE5">
        <w:t> </w:t>
      </w:r>
      <w:r w:rsidR="00BF599B" w:rsidDel="00EA63CC">
        <w:t xml:space="preserve">Wales is expected to experience </w:t>
      </w:r>
      <w:r w:rsidR="00BF599B" w:rsidDel="00EA63CC">
        <w:lastRenderedPageBreak/>
        <w:t>natural decrease</w:t>
      </w:r>
      <w:r w:rsidR="0065658D">
        <w:t xml:space="preserve"> </w:t>
      </w:r>
      <w:r w:rsidR="00BF599B" w:rsidDel="00EA63CC">
        <w:t xml:space="preserve">from </w:t>
      </w:r>
      <w:r w:rsidR="00641708" w:rsidDel="00EA63CC">
        <w:t>203</w:t>
      </w:r>
      <w:r w:rsidR="00641708">
        <w:t>1</w:t>
      </w:r>
      <w:r w:rsidR="00E54F9C" w:rsidDel="00EA63CC">
        <w:t>–</w:t>
      </w:r>
      <w:r w:rsidR="00641708" w:rsidDel="00EA63CC">
        <w:t>3</w:t>
      </w:r>
      <w:r w:rsidR="00641708">
        <w:t>2</w:t>
      </w:r>
      <w:r w:rsidDel="00EA63CC">
        <w:t>.</w:t>
      </w:r>
      <w:r>
        <w:t xml:space="preserve"> </w:t>
      </w:r>
      <w:r w:rsidR="00DC722D">
        <w:t>The r</w:t>
      </w:r>
      <w:r w:rsidR="00A30C9D">
        <w:t>est of New</w:t>
      </w:r>
      <w:r w:rsidR="001F0DE5">
        <w:t> </w:t>
      </w:r>
      <w:r w:rsidR="00A30C9D">
        <w:t xml:space="preserve">South Wales population is projected to be </w:t>
      </w:r>
      <w:r w:rsidR="00AA6E61">
        <w:t>3.1</w:t>
      </w:r>
      <w:r w:rsidR="00A30C9D">
        <w:t xml:space="preserve"> million in </w:t>
      </w:r>
      <w:r w:rsidR="00075B32">
        <w:br/>
      </w:r>
      <w:r w:rsidR="00A30C9D">
        <w:t xml:space="preserve">2033–34. </w:t>
      </w:r>
    </w:p>
    <w:p w14:paraId="2A1FFA6E" w14:textId="52473259" w:rsidR="00FE108E" w:rsidRPr="00D47BF1" w:rsidRDefault="00FE108E" w:rsidP="00872A2E">
      <w:pPr>
        <w:pStyle w:val="ChartMainHeading"/>
      </w:pPr>
      <w:r w:rsidRPr="00D47BF1">
        <w:t>Population growth in New South Wales, Sydney and the Rest of New South Wales</w:t>
      </w:r>
    </w:p>
    <w:p w14:paraId="47A124AE" w14:textId="64048D1D" w:rsidR="00C256FC" w:rsidRDefault="005719C4" w:rsidP="004C79D2">
      <w:pPr>
        <w:pStyle w:val="ChartGraphic"/>
      </w:pPr>
      <w:r w:rsidRPr="005719C4">
        <w:rPr>
          <w:noProof/>
        </w:rPr>
        <w:drawing>
          <wp:inline distT="0" distB="0" distL="0" distR="0" wp14:anchorId="54E00B07" wp14:editId="539450DD">
            <wp:extent cx="5605200" cy="2887200"/>
            <wp:effectExtent l="0" t="0" r="0" b="0"/>
            <wp:docPr id="27" name="Picture 27" descr="This chart shows population growth in New South Wales, Sydney and the rest of New South Wales. Population growth declined significantly in Sydney in 2019-20 and 2020-21, and this drove growth lower in New South Wales.  Population growth will increase in 2022-23, then decrease over the projections period for all areas. Sydney is forecasted to have the highest growth in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shows population growth in New South Wales, Sydney and the rest of New South Wales. Population growth declined significantly in Sydney in 2019-20 and 2020-21, and this drove growth lower in New South Wales.  Population growth will increase in 2022-23, then decrease over the projections period for all areas. Sydney is forecasted to have the highest growth in 203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5200" cy="2887200"/>
                    </a:xfrm>
                    <a:prstGeom prst="rect">
                      <a:avLst/>
                    </a:prstGeom>
                    <a:noFill/>
                    <a:ln>
                      <a:noFill/>
                    </a:ln>
                  </pic:spPr>
                </pic:pic>
              </a:graphicData>
            </a:graphic>
          </wp:inline>
        </w:drawing>
      </w:r>
    </w:p>
    <w:p w14:paraId="7A81A9B3" w14:textId="64537122" w:rsidR="00110162" w:rsidRDefault="00FE108E" w:rsidP="00252F42">
      <w:pPr>
        <w:pStyle w:val="Source"/>
        <w:rPr>
          <w:rStyle w:val="Hyperlink"/>
          <w:szCs w:val="18"/>
        </w:rPr>
      </w:pPr>
      <w:r w:rsidRPr="00F67DB6">
        <w:t>Source:</w:t>
      </w:r>
      <w:r w:rsidR="00D47BF1" w:rsidRPr="001F0DE5">
        <w:tab/>
      </w:r>
      <w:r w:rsidR="00DD1DCF" w:rsidRPr="00F67DB6">
        <w:t>ABS</w:t>
      </w:r>
      <w:r w:rsidRPr="00F67DB6">
        <w:t>, Regional population</w:t>
      </w:r>
      <w:r w:rsidR="00BF4933" w:rsidRPr="00F67DB6">
        <w:t xml:space="preserve"> 2021–22</w:t>
      </w:r>
      <w:r w:rsidR="00370C9E">
        <w:t>,</w:t>
      </w:r>
      <w:r w:rsidRPr="00F67DB6">
        <w:t xml:space="preserve"> </w:t>
      </w:r>
      <w:r w:rsidR="00DD1DCF" w:rsidRPr="00F67DB6">
        <w:t>ABS</w:t>
      </w:r>
      <w:r w:rsidRPr="00F67DB6">
        <w:t>, National, state and territory population, March 202</w:t>
      </w:r>
      <w:r w:rsidR="00BF4933" w:rsidRPr="00F67DB6">
        <w:t>3</w:t>
      </w:r>
      <w:r w:rsidR="00172711">
        <w:t>,</w:t>
      </w:r>
      <w:r w:rsidRPr="00F67DB6">
        <w:t xml:space="preserve"> and Centre for Population projections.</w:t>
      </w:r>
    </w:p>
    <w:p w14:paraId="417E31F0" w14:textId="77777777" w:rsidR="00252F42" w:rsidRPr="00252F42" w:rsidRDefault="00252F42" w:rsidP="00252F42">
      <w:pPr>
        <w:rPr>
          <w:lang w:eastAsia="en-AU"/>
        </w:rPr>
      </w:pPr>
    </w:p>
    <w:p w14:paraId="65AA7C79" w14:textId="77777777" w:rsidR="00110162" w:rsidRDefault="00110162">
      <w:pPr>
        <w:spacing w:before="0" w:after="160" w:line="259" w:lineRule="auto"/>
        <w:rPr>
          <w:rStyle w:val="Hyperlink"/>
          <w:rFonts w:ascii="Calibri" w:eastAsia="Times New Roman" w:hAnsi="Calibri" w:cs="Times New Roman"/>
          <w:sz w:val="18"/>
          <w:szCs w:val="18"/>
          <w:lang w:eastAsia="en-AU"/>
        </w:rPr>
      </w:pPr>
      <w:r>
        <w:rPr>
          <w:rStyle w:val="Hyperlink"/>
          <w:szCs w:val="18"/>
        </w:rPr>
        <w:br w:type="page"/>
      </w:r>
    </w:p>
    <w:p w14:paraId="5BEE764C" w14:textId="4797D672" w:rsidR="00C96BE9" w:rsidRPr="0080495D" w:rsidRDefault="00C96BE9" w:rsidP="00D75AA4">
      <w:pPr>
        <w:pStyle w:val="TableMainHeading"/>
      </w:pPr>
      <w:r w:rsidRPr="0080495D">
        <w:lastRenderedPageBreak/>
        <w:t>Population projections, New South Wales</w:t>
      </w:r>
    </w:p>
    <w:tbl>
      <w:tblPr>
        <w:tblStyle w:val="CPOPTable"/>
        <w:tblW w:w="0" w:type="auto"/>
        <w:tblLayout w:type="fixed"/>
        <w:tblLook w:val="04A0" w:firstRow="1" w:lastRow="0" w:firstColumn="1" w:lastColumn="0" w:noHBand="0" w:noVBand="1"/>
      </w:tblPr>
      <w:tblGrid>
        <w:gridCol w:w="3096"/>
        <w:gridCol w:w="996"/>
        <w:gridCol w:w="996"/>
        <w:gridCol w:w="996"/>
        <w:gridCol w:w="996"/>
        <w:gridCol w:w="996"/>
        <w:gridCol w:w="996"/>
      </w:tblGrid>
      <w:tr w:rsidR="001A002F" w:rsidRPr="0080495D" w14:paraId="1300FB76" w14:textId="77777777" w:rsidTr="004C79D2">
        <w:trPr>
          <w:cnfStyle w:val="100000000000" w:firstRow="1" w:lastRow="0" w:firstColumn="0" w:lastColumn="0" w:oddVBand="0" w:evenVBand="0" w:oddHBand="0" w:evenHBand="0" w:firstRowFirstColumn="0" w:firstRowLastColumn="0" w:lastRowFirstColumn="0" w:lastRowLastColumn="0"/>
          <w:trHeight w:val="170"/>
        </w:trPr>
        <w:tc>
          <w:tcPr>
            <w:tcW w:w="3096" w:type="dxa"/>
          </w:tcPr>
          <w:p w14:paraId="663D21AA" w14:textId="77777777" w:rsidR="00C96BE9" w:rsidRPr="0080495D" w:rsidRDefault="00C96BE9">
            <w:pPr>
              <w:spacing w:after="0"/>
            </w:pPr>
          </w:p>
        </w:tc>
        <w:tc>
          <w:tcPr>
            <w:tcW w:w="996" w:type="dxa"/>
          </w:tcPr>
          <w:p w14:paraId="524171B7" w14:textId="5446E745" w:rsidR="00C96BE9" w:rsidRPr="004C79D2" w:rsidRDefault="00C96BE9" w:rsidP="004C79D2">
            <w:pPr>
              <w:pStyle w:val="TableColumnHeadingRight"/>
            </w:pPr>
            <w:r w:rsidRPr="004C79D2">
              <w:t>202</w:t>
            </w:r>
            <w:r w:rsidR="005364EB" w:rsidRPr="004C79D2">
              <w:t>1</w:t>
            </w:r>
            <w:r w:rsidRPr="004C79D2">
              <w:t>–2</w:t>
            </w:r>
            <w:r w:rsidR="005364EB" w:rsidRPr="004C79D2">
              <w:t>2</w:t>
            </w:r>
          </w:p>
        </w:tc>
        <w:tc>
          <w:tcPr>
            <w:tcW w:w="996" w:type="dxa"/>
            <w:shd w:val="clear" w:color="auto" w:fill="D2EDFF" w:themeFill="accent1" w:themeFillTint="1A"/>
          </w:tcPr>
          <w:p w14:paraId="33B45618" w14:textId="32F9A709" w:rsidR="00C96BE9" w:rsidRPr="004C79D2" w:rsidRDefault="00C96BE9" w:rsidP="004C79D2">
            <w:pPr>
              <w:pStyle w:val="TableColumnHeadingRight"/>
            </w:pPr>
            <w:r w:rsidRPr="004C79D2">
              <w:t>202</w:t>
            </w:r>
            <w:r w:rsidR="005364EB" w:rsidRPr="004C79D2">
              <w:t>2</w:t>
            </w:r>
            <w:r w:rsidRPr="004C79D2">
              <w:t>–2</w:t>
            </w:r>
            <w:r w:rsidR="005364EB" w:rsidRPr="004C79D2">
              <w:t>3</w:t>
            </w:r>
          </w:p>
        </w:tc>
        <w:tc>
          <w:tcPr>
            <w:tcW w:w="996" w:type="dxa"/>
          </w:tcPr>
          <w:p w14:paraId="28579DAD" w14:textId="237E171B" w:rsidR="00C96BE9" w:rsidRPr="004C79D2" w:rsidRDefault="00C96BE9" w:rsidP="004C79D2">
            <w:pPr>
              <w:pStyle w:val="TableColumnHeadingRight"/>
            </w:pPr>
            <w:r w:rsidRPr="004C79D2">
              <w:t>202</w:t>
            </w:r>
            <w:r w:rsidR="005364EB" w:rsidRPr="004C79D2">
              <w:t>3</w:t>
            </w:r>
            <w:r w:rsidRPr="004C79D2">
              <w:t>–2</w:t>
            </w:r>
            <w:r w:rsidR="005364EB" w:rsidRPr="004C79D2">
              <w:t>4</w:t>
            </w:r>
          </w:p>
        </w:tc>
        <w:tc>
          <w:tcPr>
            <w:tcW w:w="996" w:type="dxa"/>
          </w:tcPr>
          <w:p w14:paraId="4448D036" w14:textId="51C3CD1C" w:rsidR="00C96BE9" w:rsidRPr="004C79D2" w:rsidRDefault="00C96BE9" w:rsidP="004C79D2">
            <w:pPr>
              <w:pStyle w:val="TableColumnHeadingRight"/>
            </w:pPr>
            <w:r w:rsidRPr="004C79D2">
              <w:t>202</w:t>
            </w:r>
            <w:r w:rsidR="005364EB" w:rsidRPr="004C79D2">
              <w:t>4</w:t>
            </w:r>
            <w:r w:rsidRPr="004C79D2">
              <w:t>–2</w:t>
            </w:r>
            <w:r w:rsidR="005364EB" w:rsidRPr="004C79D2">
              <w:t>5</w:t>
            </w:r>
          </w:p>
        </w:tc>
        <w:tc>
          <w:tcPr>
            <w:tcW w:w="996" w:type="dxa"/>
          </w:tcPr>
          <w:p w14:paraId="386883B4" w14:textId="0BDFCDFF" w:rsidR="00C96BE9" w:rsidRPr="004C79D2" w:rsidRDefault="00C96BE9" w:rsidP="004C79D2">
            <w:pPr>
              <w:pStyle w:val="TableColumnHeadingRight"/>
            </w:pPr>
            <w:r w:rsidRPr="004C79D2">
              <w:t>202</w:t>
            </w:r>
            <w:r w:rsidR="005364EB" w:rsidRPr="004C79D2">
              <w:t>5</w:t>
            </w:r>
            <w:r w:rsidRPr="004C79D2">
              <w:t>–2</w:t>
            </w:r>
            <w:r w:rsidR="005364EB" w:rsidRPr="004C79D2">
              <w:t>6</w:t>
            </w:r>
          </w:p>
        </w:tc>
        <w:tc>
          <w:tcPr>
            <w:tcW w:w="996" w:type="dxa"/>
          </w:tcPr>
          <w:p w14:paraId="1C91734C" w14:textId="087ED980" w:rsidR="00C96BE9" w:rsidRPr="004C79D2" w:rsidRDefault="00C96BE9" w:rsidP="004C79D2">
            <w:pPr>
              <w:pStyle w:val="TableColumnHeadingRight"/>
            </w:pPr>
            <w:r w:rsidRPr="004C79D2">
              <w:t>203</w:t>
            </w:r>
            <w:r w:rsidR="007849D1" w:rsidRPr="004C79D2">
              <w:t>3</w:t>
            </w:r>
            <w:r w:rsidRPr="004C79D2">
              <w:t>–3</w:t>
            </w:r>
            <w:r w:rsidR="007849D1" w:rsidRPr="004C79D2">
              <w:t>4</w:t>
            </w:r>
          </w:p>
        </w:tc>
      </w:tr>
      <w:tr w:rsidR="00F67DB6" w:rsidRPr="0080495D" w14:paraId="4C9C6CF7" w14:textId="77777777" w:rsidTr="004C79D2">
        <w:trPr>
          <w:trHeight w:val="170"/>
        </w:trPr>
        <w:tc>
          <w:tcPr>
            <w:tcW w:w="0" w:type="dxa"/>
          </w:tcPr>
          <w:p w14:paraId="27BB90F8" w14:textId="2F4C49FB" w:rsidR="00C96BE9" w:rsidRPr="003164CA" w:rsidRDefault="00C96BE9" w:rsidP="004C79D2">
            <w:pPr>
              <w:pStyle w:val="TableColumnHeadingLeft"/>
            </w:pPr>
            <w:r w:rsidRPr="003164CA">
              <w:t>Population (</w:t>
            </w:r>
            <w:r w:rsidR="004B14AB" w:rsidRPr="003164CA">
              <w:t>‘</w:t>
            </w:r>
            <w:r w:rsidRPr="003164CA">
              <w:t>000)</w:t>
            </w:r>
          </w:p>
        </w:tc>
        <w:tc>
          <w:tcPr>
            <w:tcW w:w="0" w:type="dxa"/>
            <w:vAlign w:val="center"/>
          </w:tcPr>
          <w:p w14:paraId="61B54F49" w14:textId="77777777" w:rsidR="00C96BE9" w:rsidRPr="00E20618" w:rsidRDefault="00C96BE9" w:rsidP="003164CA">
            <w:pPr>
              <w:spacing w:after="0"/>
            </w:pPr>
          </w:p>
        </w:tc>
        <w:tc>
          <w:tcPr>
            <w:tcW w:w="0" w:type="dxa"/>
            <w:shd w:val="clear" w:color="auto" w:fill="D2EDFF" w:themeFill="accent1" w:themeFillTint="1A"/>
            <w:vAlign w:val="center"/>
          </w:tcPr>
          <w:p w14:paraId="03AF9185" w14:textId="7602A49A" w:rsidR="00C96BE9" w:rsidRPr="00E20618" w:rsidRDefault="007C290E" w:rsidP="003164CA">
            <w:pPr>
              <w:spacing w:after="0"/>
            </w:pPr>
            <w:r w:rsidRPr="00F67DB6">
              <w:rPr>
                <w:rFonts w:ascii="Calibri" w:hAnsi="Calibri"/>
              </w:rPr>
              <w:t> </w:t>
            </w:r>
          </w:p>
        </w:tc>
        <w:tc>
          <w:tcPr>
            <w:tcW w:w="0" w:type="dxa"/>
            <w:vAlign w:val="center"/>
          </w:tcPr>
          <w:p w14:paraId="016E414F" w14:textId="77777777" w:rsidR="00C96BE9" w:rsidRPr="00E20618" w:rsidRDefault="00C96BE9" w:rsidP="003164CA">
            <w:pPr>
              <w:spacing w:after="0"/>
            </w:pPr>
          </w:p>
        </w:tc>
        <w:tc>
          <w:tcPr>
            <w:tcW w:w="0" w:type="dxa"/>
            <w:vAlign w:val="center"/>
          </w:tcPr>
          <w:p w14:paraId="7DCC2AB1" w14:textId="77777777" w:rsidR="00C96BE9" w:rsidRPr="00E20618" w:rsidRDefault="00C96BE9" w:rsidP="003164CA">
            <w:pPr>
              <w:spacing w:after="0"/>
            </w:pPr>
          </w:p>
        </w:tc>
        <w:tc>
          <w:tcPr>
            <w:tcW w:w="0" w:type="dxa"/>
            <w:tcBorders>
              <w:right w:val="single" w:sz="4" w:space="0" w:color="auto"/>
            </w:tcBorders>
            <w:vAlign w:val="center"/>
          </w:tcPr>
          <w:p w14:paraId="1C8ED4F2" w14:textId="5E719869" w:rsidR="00C96BE9" w:rsidRPr="00E20618" w:rsidRDefault="007C290E" w:rsidP="003164CA">
            <w:pPr>
              <w:spacing w:after="0"/>
            </w:pPr>
            <w:r w:rsidRPr="00F67DB6">
              <w:rPr>
                <w:rFonts w:ascii="Calibri" w:hAnsi="Calibri"/>
              </w:rPr>
              <w:t> </w:t>
            </w:r>
          </w:p>
        </w:tc>
        <w:tc>
          <w:tcPr>
            <w:tcW w:w="0" w:type="dxa"/>
            <w:tcBorders>
              <w:top w:val="single" w:sz="4" w:space="0" w:color="000000" w:themeColor="text1"/>
              <w:left w:val="single" w:sz="4" w:space="0" w:color="auto"/>
              <w:bottom w:val="nil"/>
            </w:tcBorders>
            <w:vAlign w:val="center"/>
          </w:tcPr>
          <w:p w14:paraId="2E8C04AF" w14:textId="77777777" w:rsidR="00C96BE9" w:rsidRPr="00E20618" w:rsidRDefault="00C96BE9" w:rsidP="003164CA">
            <w:pPr>
              <w:spacing w:after="0"/>
            </w:pPr>
          </w:p>
        </w:tc>
      </w:tr>
      <w:tr w:rsidR="00F67DB6" w:rsidRPr="0080495D" w14:paraId="007E7F89" w14:textId="77777777" w:rsidTr="004C79D2">
        <w:trPr>
          <w:trHeight w:val="170"/>
        </w:trPr>
        <w:tc>
          <w:tcPr>
            <w:tcW w:w="0" w:type="dxa"/>
          </w:tcPr>
          <w:p w14:paraId="280D0CD5" w14:textId="77777777" w:rsidR="00C96BE9" w:rsidRPr="003164CA" w:rsidRDefault="00C96BE9" w:rsidP="004C79D2">
            <w:pPr>
              <w:pStyle w:val="TableTextLeft"/>
            </w:pPr>
            <w:r w:rsidRPr="003164CA">
              <w:t>New South Wales</w:t>
            </w:r>
          </w:p>
        </w:tc>
        <w:tc>
          <w:tcPr>
            <w:tcW w:w="0" w:type="dxa"/>
            <w:tcBorders>
              <w:top w:val="nil"/>
              <w:left w:val="nil"/>
              <w:bottom w:val="nil"/>
              <w:right w:val="nil"/>
            </w:tcBorders>
            <w:vAlign w:val="center"/>
          </w:tcPr>
          <w:p w14:paraId="17B21DB3" w14:textId="46F0E6B6" w:rsidR="00C96BE9" w:rsidRPr="00110162" w:rsidRDefault="007C290E" w:rsidP="004C79D2">
            <w:pPr>
              <w:pStyle w:val="TableTextRight"/>
            </w:pPr>
            <w:r w:rsidRPr="003164CA">
              <w:t>8,167</w:t>
            </w:r>
          </w:p>
        </w:tc>
        <w:tc>
          <w:tcPr>
            <w:tcW w:w="0" w:type="dxa"/>
            <w:tcBorders>
              <w:top w:val="nil"/>
              <w:left w:val="nil"/>
              <w:bottom w:val="nil"/>
              <w:right w:val="nil"/>
            </w:tcBorders>
            <w:shd w:val="clear" w:color="auto" w:fill="D2EDFF" w:themeFill="accent1" w:themeFillTint="1A"/>
            <w:vAlign w:val="center"/>
          </w:tcPr>
          <w:p w14:paraId="272A1919" w14:textId="22CFA38B" w:rsidR="00C96BE9" w:rsidRPr="00110162" w:rsidRDefault="007C290E" w:rsidP="004C79D2">
            <w:pPr>
              <w:pStyle w:val="TableTextRight"/>
            </w:pPr>
            <w:r w:rsidRPr="003164CA">
              <w:t>8,347</w:t>
            </w:r>
          </w:p>
        </w:tc>
        <w:tc>
          <w:tcPr>
            <w:tcW w:w="0" w:type="dxa"/>
            <w:tcBorders>
              <w:top w:val="nil"/>
              <w:left w:val="nil"/>
              <w:bottom w:val="nil"/>
              <w:right w:val="nil"/>
            </w:tcBorders>
            <w:vAlign w:val="center"/>
          </w:tcPr>
          <w:p w14:paraId="151188FC" w14:textId="4233C807" w:rsidR="00C96BE9" w:rsidRPr="00110162" w:rsidRDefault="007C290E" w:rsidP="004C79D2">
            <w:pPr>
              <w:pStyle w:val="TableTextRight"/>
            </w:pPr>
            <w:r w:rsidRPr="003164CA">
              <w:t>8,</w:t>
            </w:r>
            <w:r w:rsidR="00EB6320">
              <w:rPr>
                <w:rFonts w:cs="Calibri"/>
              </w:rPr>
              <w:t>485</w:t>
            </w:r>
          </w:p>
        </w:tc>
        <w:tc>
          <w:tcPr>
            <w:tcW w:w="0" w:type="dxa"/>
            <w:tcBorders>
              <w:top w:val="nil"/>
              <w:left w:val="nil"/>
              <w:bottom w:val="nil"/>
              <w:right w:val="nil"/>
            </w:tcBorders>
            <w:vAlign w:val="center"/>
          </w:tcPr>
          <w:p w14:paraId="5CC0E82A" w14:textId="578D9C64" w:rsidR="00C96BE9" w:rsidRPr="00110162" w:rsidRDefault="007C290E" w:rsidP="004C79D2">
            <w:pPr>
              <w:pStyle w:val="TableTextRight"/>
            </w:pPr>
            <w:r w:rsidRPr="003164CA">
              <w:t>8,</w:t>
            </w:r>
            <w:r w:rsidR="00EB6320">
              <w:rPr>
                <w:rFonts w:cs="Calibri"/>
              </w:rPr>
              <w:t>586</w:t>
            </w:r>
          </w:p>
        </w:tc>
        <w:tc>
          <w:tcPr>
            <w:tcW w:w="0" w:type="dxa"/>
            <w:tcBorders>
              <w:top w:val="nil"/>
              <w:left w:val="nil"/>
              <w:bottom w:val="nil"/>
              <w:right w:val="single" w:sz="4" w:space="0" w:color="auto"/>
            </w:tcBorders>
            <w:vAlign w:val="center"/>
          </w:tcPr>
          <w:p w14:paraId="6F976B12" w14:textId="6EB59F16" w:rsidR="00C96BE9" w:rsidRPr="00110162" w:rsidRDefault="007C290E" w:rsidP="004C79D2">
            <w:pPr>
              <w:pStyle w:val="TableTextRight"/>
            </w:pPr>
            <w:r w:rsidRPr="003164CA">
              <w:t>8,</w:t>
            </w:r>
            <w:r w:rsidR="00EB6320">
              <w:rPr>
                <w:rFonts w:cs="Calibri"/>
              </w:rPr>
              <w:t>694</w:t>
            </w:r>
          </w:p>
        </w:tc>
        <w:tc>
          <w:tcPr>
            <w:tcW w:w="0" w:type="dxa"/>
            <w:tcBorders>
              <w:top w:val="nil"/>
              <w:left w:val="single" w:sz="4" w:space="0" w:color="auto"/>
              <w:bottom w:val="nil"/>
              <w:right w:val="nil"/>
            </w:tcBorders>
            <w:vAlign w:val="center"/>
          </w:tcPr>
          <w:p w14:paraId="1EF38D3F" w14:textId="48A50B5F" w:rsidR="00C96BE9" w:rsidRPr="00110162" w:rsidRDefault="007C290E" w:rsidP="004C79D2">
            <w:pPr>
              <w:pStyle w:val="TableTextRight"/>
            </w:pPr>
            <w:r w:rsidRPr="003164CA">
              <w:t>9,</w:t>
            </w:r>
            <w:r w:rsidR="00EB6320">
              <w:rPr>
                <w:rFonts w:cs="Calibri"/>
              </w:rPr>
              <w:t>471</w:t>
            </w:r>
          </w:p>
        </w:tc>
      </w:tr>
      <w:tr w:rsidR="00F67DB6" w:rsidRPr="0080495D" w14:paraId="66B9D18B" w14:textId="77777777" w:rsidTr="004C79D2">
        <w:trPr>
          <w:trHeight w:val="170"/>
        </w:trPr>
        <w:tc>
          <w:tcPr>
            <w:tcW w:w="0" w:type="dxa"/>
          </w:tcPr>
          <w:p w14:paraId="0FEF4F7D" w14:textId="77777777" w:rsidR="00C96BE9" w:rsidRPr="003164CA" w:rsidRDefault="00C96BE9" w:rsidP="004C79D2">
            <w:pPr>
              <w:pStyle w:val="Tabletextleftindent"/>
            </w:pPr>
            <w:r w:rsidRPr="003164CA">
              <w:t xml:space="preserve">Greater Sydney </w:t>
            </w:r>
          </w:p>
        </w:tc>
        <w:tc>
          <w:tcPr>
            <w:tcW w:w="0" w:type="dxa"/>
            <w:tcBorders>
              <w:top w:val="nil"/>
              <w:left w:val="nil"/>
              <w:bottom w:val="nil"/>
              <w:right w:val="nil"/>
            </w:tcBorders>
            <w:vAlign w:val="center"/>
          </w:tcPr>
          <w:p w14:paraId="6AC92209" w14:textId="3D5F98D4" w:rsidR="00C96BE9" w:rsidRPr="00110162" w:rsidRDefault="007C290E" w:rsidP="004C79D2">
            <w:pPr>
              <w:pStyle w:val="TableTextRight"/>
            </w:pPr>
            <w:r w:rsidRPr="003164CA">
              <w:t>5,303</w:t>
            </w:r>
          </w:p>
        </w:tc>
        <w:tc>
          <w:tcPr>
            <w:tcW w:w="0" w:type="dxa"/>
            <w:tcBorders>
              <w:top w:val="nil"/>
              <w:left w:val="nil"/>
              <w:bottom w:val="nil"/>
              <w:right w:val="nil"/>
            </w:tcBorders>
            <w:shd w:val="clear" w:color="auto" w:fill="D2EDFF" w:themeFill="accent1" w:themeFillTint="1A"/>
            <w:vAlign w:val="center"/>
          </w:tcPr>
          <w:p w14:paraId="412B9E61" w14:textId="1776BFB4" w:rsidR="00C96BE9" w:rsidRPr="00110162" w:rsidRDefault="007C290E" w:rsidP="004C79D2">
            <w:pPr>
              <w:pStyle w:val="TableTextRight"/>
            </w:pPr>
            <w:r w:rsidRPr="003164CA">
              <w:t>5,456</w:t>
            </w:r>
          </w:p>
        </w:tc>
        <w:tc>
          <w:tcPr>
            <w:tcW w:w="0" w:type="dxa"/>
            <w:tcBorders>
              <w:top w:val="nil"/>
              <w:left w:val="nil"/>
              <w:bottom w:val="nil"/>
              <w:right w:val="nil"/>
            </w:tcBorders>
            <w:vAlign w:val="center"/>
          </w:tcPr>
          <w:p w14:paraId="4167CF12" w14:textId="7EB2296E" w:rsidR="00C96BE9" w:rsidRPr="00110162" w:rsidRDefault="007C290E" w:rsidP="004C79D2">
            <w:pPr>
              <w:pStyle w:val="TableTextRight"/>
            </w:pPr>
            <w:r w:rsidRPr="003164CA">
              <w:t>5,</w:t>
            </w:r>
            <w:r w:rsidR="00EB6320">
              <w:rPr>
                <w:rFonts w:cs="Calibri"/>
              </w:rPr>
              <w:t>570</w:t>
            </w:r>
          </w:p>
        </w:tc>
        <w:tc>
          <w:tcPr>
            <w:tcW w:w="0" w:type="dxa"/>
            <w:tcBorders>
              <w:top w:val="nil"/>
              <w:left w:val="nil"/>
              <w:bottom w:val="nil"/>
              <w:right w:val="nil"/>
            </w:tcBorders>
            <w:vAlign w:val="center"/>
          </w:tcPr>
          <w:p w14:paraId="467FCB97" w14:textId="13EC4CB6" w:rsidR="00C96BE9" w:rsidRPr="00110162" w:rsidRDefault="007C290E" w:rsidP="004C79D2">
            <w:pPr>
              <w:pStyle w:val="TableTextRight"/>
            </w:pPr>
            <w:r w:rsidRPr="003164CA">
              <w:t>5,</w:t>
            </w:r>
            <w:r w:rsidR="00EB6320">
              <w:rPr>
                <w:rFonts w:cs="Calibri"/>
              </w:rPr>
              <w:t>650</w:t>
            </w:r>
          </w:p>
        </w:tc>
        <w:tc>
          <w:tcPr>
            <w:tcW w:w="0" w:type="dxa"/>
            <w:tcBorders>
              <w:top w:val="nil"/>
              <w:left w:val="nil"/>
              <w:bottom w:val="nil"/>
              <w:right w:val="single" w:sz="4" w:space="0" w:color="auto"/>
            </w:tcBorders>
            <w:vAlign w:val="center"/>
          </w:tcPr>
          <w:p w14:paraId="2FB248D5" w14:textId="6B479D62" w:rsidR="00C96BE9" w:rsidRPr="00110162" w:rsidRDefault="007C290E" w:rsidP="004C79D2">
            <w:pPr>
              <w:pStyle w:val="TableTextRight"/>
            </w:pPr>
            <w:r w:rsidRPr="003164CA">
              <w:t>5,</w:t>
            </w:r>
            <w:r w:rsidR="00EB6320">
              <w:rPr>
                <w:rFonts w:cs="Calibri"/>
              </w:rPr>
              <w:t>737</w:t>
            </w:r>
          </w:p>
        </w:tc>
        <w:tc>
          <w:tcPr>
            <w:tcW w:w="0" w:type="dxa"/>
            <w:tcBorders>
              <w:top w:val="nil"/>
              <w:left w:val="single" w:sz="4" w:space="0" w:color="auto"/>
              <w:bottom w:val="nil"/>
              <w:right w:val="nil"/>
            </w:tcBorders>
            <w:vAlign w:val="center"/>
          </w:tcPr>
          <w:p w14:paraId="65A0D936" w14:textId="356DAC71" w:rsidR="00C96BE9" w:rsidRPr="00110162" w:rsidRDefault="007C290E" w:rsidP="004C79D2">
            <w:pPr>
              <w:pStyle w:val="TableTextRight"/>
            </w:pPr>
            <w:r w:rsidRPr="003164CA">
              <w:t>6,</w:t>
            </w:r>
            <w:r w:rsidR="00EB6320">
              <w:rPr>
                <w:rFonts w:cs="Calibri"/>
              </w:rPr>
              <w:t>360</w:t>
            </w:r>
          </w:p>
        </w:tc>
      </w:tr>
      <w:tr w:rsidR="00F67DB6" w:rsidRPr="0080495D" w14:paraId="7DD5DD8A" w14:textId="77777777" w:rsidTr="004C79D2">
        <w:trPr>
          <w:trHeight w:val="170"/>
        </w:trPr>
        <w:tc>
          <w:tcPr>
            <w:tcW w:w="0" w:type="dxa"/>
          </w:tcPr>
          <w:p w14:paraId="01A8B50A" w14:textId="77777777" w:rsidR="00C96BE9" w:rsidRPr="003164CA" w:rsidRDefault="00C96BE9" w:rsidP="004C79D2">
            <w:pPr>
              <w:pStyle w:val="Tabletextleftindent"/>
            </w:pPr>
            <w:r w:rsidRPr="003164CA">
              <w:t>Rest of New South Wales</w:t>
            </w:r>
          </w:p>
        </w:tc>
        <w:tc>
          <w:tcPr>
            <w:tcW w:w="0" w:type="dxa"/>
            <w:tcBorders>
              <w:top w:val="nil"/>
              <w:left w:val="nil"/>
              <w:bottom w:val="nil"/>
              <w:right w:val="nil"/>
            </w:tcBorders>
            <w:vAlign w:val="center"/>
          </w:tcPr>
          <w:p w14:paraId="4035F78E" w14:textId="1C97CF89" w:rsidR="00C96BE9" w:rsidRPr="00110162" w:rsidRDefault="007C290E" w:rsidP="004C79D2">
            <w:pPr>
              <w:pStyle w:val="TableTextRight"/>
            </w:pPr>
            <w:r w:rsidRPr="003164CA">
              <w:t>2,863</w:t>
            </w:r>
          </w:p>
        </w:tc>
        <w:tc>
          <w:tcPr>
            <w:tcW w:w="0" w:type="dxa"/>
            <w:tcBorders>
              <w:top w:val="nil"/>
              <w:left w:val="nil"/>
              <w:bottom w:val="nil"/>
              <w:right w:val="nil"/>
            </w:tcBorders>
            <w:shd w:val="clear" w:color="auto" w:fill="D2EDFF" w:themeFill="accent1" w:themeFillTint="1A"/>
            <w:vAlign w:val="center"/>
          </w:tcPr>
          <w:p w14:paraId="7166E1E5" w14:textId="070184CD" w:rsidR="00C96BE9" w:rsidRPr="00110162" w:rsidRDefault="007C290E" w:rsidP="004C79D2">
            <w:pPr>
              <w:pStyle w:val="TableTextRight"/>
            </w:pPr>
            <w:r w:rsidRPr="003164CA">
              <w:t>2,891</w:t>
            </w:r>
          </w:p>
        </w:tc>
        <w:tc>
          <w:tcPr>
            <w:tcW w:w="0" w:type="dxa"/>
            <w:tcBorders>
              <w:top w:val="nil"/>
              <w:left w:val="nil"/>
              <w:bottom w:val="nil"/>
              <w:right w:val="nil"/>
            </w:tcBorders>
            <w:vAlign w:val="center"/>
          </w:tcPr>
          <w:p w14:paraId="12F4F54C" w14:textId="4B7D3DFF" w:rsidR="00C96BE9" w:rsidRPr="00110162" w:rsidRDefault="007C290E" w:rsidP="004C79D2">
            <w:pPr>
              <w:pStyle w:val="TableTextRight"/>
            </w:pPr>
            <w:r w:rsidRPr="003164CA">
              <w:t>2,</w:t>
            </w:r>
            <w:r w:rsidR="00EB6320">
              <w:rPr>
                <w:rFonts w:cs="Calibri"/>
              </w:rPr>
              <w:t>915</w:t>
            </w:r>
          </w:p>
        </w:tc>
        <w:tc>
          <w:tcPr>
            <w:tcW w:w="0" w:type="dxa"/>
            <w:tcBorders>
              <w:top w:val="nil"/>
              <w:left w:val="nil"/>
              <w:bottom w:val="nil"/>
              <w:right w:val="nil"/>
            </w:tcBorders>
            <w:vAlign w:val="center"/>
          </w:tcPr>
          <w:p w14:paraId="5A7315B0" w14:textId="1EC03C66" w:rsidR="00C96BE9" w:rsidRPr="00110162" w:rsidRDefault="007C290E" w:rsidP="004C79D2">
            <w:pPr>
              <w:pStyle w:val="TableTextRight"/>
            </w:pPr>
            <w:r w:rsidRPr="003164CA">
              <w:t>2,</w:t>
            </w:r>
            <w:r w:rsidR="00EB6320">
              <w:rPr>
                <w:rFonts w:cs="Calibri"/>
              </w:rPr>
              <w:t>936</w:t>
            </w:r>
          </w:p>
        </w:tc>
        <w:tc>
          <w:tcPr>
            <w:tcW w:w="0" w:type="dxa"/>
            <w:tcBorders>
              <w:top w:val="nil"/>
              <w:left w:val="nil"/>
              <w:bottom w:val="nil"/>
              <w:right w:val="single" w:sz="4" w:space="0" w:color="auto"/>
            </w:tcBorders>
            <w:vAlign w:val="center"/>
          </w:tcPr>
          <w:p w14:paraId="0C13D9CE" w14:textId="4FD9E9F3" w:rsidR="00C96BE9" w:rsidRPr="00110162" w:rsidRDefault="007C290E" w:rsidP="004C79D2">
            <w:pPr>
              <w:pStyle w:val="TableTextRight"/>
            </w:pPr>
            <w:r w:rsidRPr="003164CA">
              <w:t>2,</w:t>
            </w:r>
            <w:r w:rsidR="00EB6320">
              <w:rPr>
                <w:rFonts w:cs="Calibri"/>
              </w:rPr>
              <w:t>958</w:t>
            </w:r>
          </w:p>
        </w:tc>
        <w:tc>
          <w:tcPr>
            <w:tcW w:w="0" w:type="dxa"/>
            <w:tcBorders>
              <w:top w:val="nil"/>
              <w:left w:val="single" w:sz="4" w:space="0" w:color="auto"/>
              <w:bottom w:val="nil"/>
              <w:right w:val="nil"/>
            </w:tcBorders>
            <w:vAlign w:val="center"/>
          </w:tcPr>
          <w:p w14:paraId="709777A5" w14:textId="75F0E165" w:rsidR="00C96BE9" w:rsidRPr="00110162" w:rsidRDefault="007C290E" w:rsidP="004C79D2">
            <w:pPr>
              <w:pStyle w:val="TableTextRight"/>
            </w:pPr>
            <w:r w:rsidRPr="003164CA">
              <w:t>3,</w:t>
            </w:r>
            <w:r w:rsidR="00EB6320">
              <w:rPr>
                <w:rFonts w:cs="Calibri"/>
              </w:rPr>
              <w:t>111</w:t>
            </w:r>
          </w:p>
        </w:tc>
      </w:tr>
      <w:tr w:rsidR="00F67DB6" w:rsidRPr="0080495D" w14:paraId="4E170667" w14:textId="77777777" w:rsidTr="004C79D2">
        <w:trPr>
          <w:trHeight w:val="170"/>
        </w:trPr>
        <w:tc>
          <w:tcPr>
            <w:tcW w:w="0" w:type="dxa"/>
          </w:tcPr>
          <w:p w14:paraId="10A0E6DB" w14:textId="77777777" w:rsidR="00C96BE9" w:rsidRPr="003164CA" w:rsidRDefault="00C96BE9" w:rsidP="004C79D2">
            <w:pPr>
              <w:pStyle w:val="TableColumnHeadingLeft"/>
            </w:pPr>
            <w:r w:rsidRPr="003164CA">
              <w:t>Population growth (per cent)</w:t>
            </w:r>
          </w:p>
        </w:tc>
        <w:tc>
          <w:tcPr>
            <w:tcW w:w="0" w:type="dxa"/>
            <w:tcBorders>
              <w:top w:val="nil"/>
              <w:left w:val="nil"/>
              <w:bottom w:val="nil"/>
              <w:right w:val="nil"/>
            </w:tcBorders>
            <w:vAlign w:val="center"/>
          </w:tcPr>
          <w:p w14:paraId="07C50C72" w14:textId="77777777" w:rsidR="00C96BE9" w:rsidRPr="00110162" w:rsidRDefault="00C96BE9" w:rsidP="004C79D2">
            <w:pPr>
              <w:pStyle w:val="TableTextRight"/>
            </w:pPr>
          </w:p>
        </w:tc>
        <w:tc>
          <w:tcPr>
            <w:tcW w:w="0" w:type="dxa"/>
            <w:tcBorders>
              <w:top w:val="nil"/>
              <w:left w:val="nil"/>
              <w:bottom w:val="nil"/>
              <w:right w:val="nil"/>
            </w:tcBorders>
            <w:shd w:val="clear" w:color="auto" w:fill="D2EDFF" w:themeFill="accent1" w:themeFillTint="1A"/>
            <w:vAlign w:val="center"/>
          </w:tcPr>
          <w:p w14:paraId="2D7B1D53" w14:textId="74B3F42A" w:rsidR="00C96BE9" w:rsidRPr="00110162" w:rsidRDefault="007C290E" w:rsidP="004C79D2">
            <w:pPr>
              <w:pStyle w:val="TableTextRight"/>
            </w:pPr>
            <w:r w:rsidRPr="003164CA">
              <w:t> </w:t>
            </w:r>
          </w:p>
        </w:tc>
        <w:tc>
          <w:tcPr>
            <w:tcW w:w="0" w:type="dxa"/>
            <w:tcBorders>
              <w:top w:val="nil"/>
              <w:left w:val="nil"/>
              <w:bottom w:val="nil"/>
              <w:right w:val="nil"/>
            </w:tcBorders>
            <w:vAlign w:val="center"/>
          </w:tcPr>
          <w:p w14:paraId="6720BD8F" w14:textId="77777777" w:rsidR="00C96BE9" w:rsidRPr="00110162" w:rsidRDefault="00C96BE9" w:rsidP="004C79D2">
            <w:pPr>
              <w:pStyle w:val="TableTextRight"/>
            </w:pPr>
          </w:p>
        </w:tc>
        <w:tc>
          <w:tcPr>
            <w:tcW w:w="0" w:type="dxa"/>
            <w:tcBorders>
              <w:top w:val="nil"/>
              <w:left w:val="nil"/>
              <w:bottom w:val="nil"/>
              <w:right w:val="nil"/>
            </w:tcBorders>
            <w:vAlign w:val="center"/>
          </w:tcPr>
          <w:p w14:paraId="6E1510EE" w14:textId="77777777" w:rsidR="00C96BE9" w:rsidRPr="00110162" w:rsidRDefault="00C96BE9" w:rsidP="004C79D2">
            <w:pPr>
              <w:pStyle w:val="TableTextRight"/>
            </w:pPr>
          </w:p>
        </w:tc>
        <w:tc>
          <w:tcPr>
            <w:tcW w:w="0" w:type="dxa"/>
            <w:tcBorders>
              <w:top w:val="nil"/>
              <w:left w:val="nil"/>
              <w:bottom w:val="nil"/>
              <w:right w:val="single" w:sz="4" w:space="0" w:color="auto"/>
            </w:tcBorders>
            <w:vAlign w:val="center"/>
          </w:tcPr>
          <w:p w14:paraId="39376F93" w14:textId="36AAEAE4" w:rsidR="00C96BE9" w:rsidRPr="00110162" w:rsidRDefault="007C290E" w:rsidP="004C79D2">
            <w:pPr>
              <w:pStyle w:val="TableTextRight"/>
            </w:pPr>
            <w:r w:rsidRPr="003164CA">
              <w:t> </w:t>
            </w:r>
          </w:p>
        </w:tc>
        <w:tc>
          <w:tcPr>
            <w:tcW w:w="0" w:type="dxa"/>
            <w:tcBorders>
              <w:top w:val="nil"/>
              <w:left w:val="single" w:sz="4" w:space="0" w:color="auto"/>
              <w:bottom w:val="nil"/>
              <w:right w:val="nil"/>
            </w:tcBorders>
            <w:vAlign w:val="center"/>
          </w:tcPr>
          <w:p w14:paraId="1EC030A6" w14:textId="77777777" w:rsidR="00C96BE9" w:rsidRPr="00110162" w:rsidRDefault="00C96BE9" w:rsidP="004C79D2">
            <w:pPr>
              <w:pStyle w:val="TableTextRight"/>
            </w:pPr>
          </w:p>
        </w:tc>
      </w:tr>
      <w:tr w:rsidR="00F67DB6" w:rsidRPr="0080495D" w14:paraId="5991277F" w14:textId="77777777" w:rsidTr="004C79D2">
        <w:trPr>
          <w:trHeight w:val="170"/>
        </w:trPr>
        <w:tc>
          <w:tcPr>
            <w:tcW w:w="0" w:type="dxa"/>
          </w:tcPr>
          <w:p w14:paraId="645D7CCD" w14:textId="77777777" w:rsidR="00C96BE9" w:rsidRPr="003164CA" w:rsidRDefault="00C96BE9" w:rsidP="004C79D2">
            <w:pPr>
              <w:pStyle w:val="TableTextLeft"/>
            </w:pPr>
            <w:r w:rsidRPr="003164CA">
              <w:t>New South Wales</w:t>
            </w:r>
          </w:p>
        </w:tc>
        <w:tc>
          <w:tcPr>
            <w:tcW w:w="0" w:type="dxa"/>
            <w:tcBorders>
              <w:top w:val="nil"/>
              <w:left w:val="nil"/>
              <w:bottom w:val="nil"/>
              <w:right w:val="nil"/>
            </w:tcBorders>
            <w:vAlign w:val="center"/>
          </w:tcPr>
          <w:p w14:paraId="7189A713" w14:textId="5601FB94" w:rsidR="00C96BE9" w:rsidRPr="00110162" w:rsidRDefault="007C290E" w:rsidP="004C79D2">
            <w:pPr>
              <w:pStyle w:val="TableTextRight"/>
            </w:pPr>
            <w:r w:rsidRPr="003164CA">
              <w:t>0.9</w:t>
            </w:r>
          </w:p>
        </w:tc>
        <w:tc>
          <w:tcPr>
            <w:tcW w:w="0" w:type="dxa"/>
            <w:tcBorders>
              <w:top w:val="nil"/>
              <w:left w:val="nil"/>
              <w:bottom w:val="nil"/>
              <w:right w:val="nil"/>
            </w:tcBorders>
            <w:shd w:val="clear" w:color="auto" w:fill="D2EDFF" w:themeFill="accent1" w:themeFillTint="1A"/>
            <w:vAlign w:val="center"/>
          </w:tcPr>
          <w:p w14:paraId="48DB859A" w14:textId="251D32EF" w:rsidR="00C96BE9" w:rsidRPr="00110162" w:rsidRDefault="007C290E" w:rsidP="004C79D2">
            <w:pPr>
              <w:pStyle w:val="TableTextRight"/>
            </w:pPr>
            <w:r w:rsidRPr="003164CA">
              <w:t>2.2</w:t>
            </w:r>
          </w:p>
        </w:tc>
        <w:tc>
          <w:tcPr>
            <w:tcW w:w="0" w:type="dxa"/>
            <w:tcBorders>
              <w:top w:val="nil"/>
              <w:left w:val="nil"/>
              <w:bottom w:val="nil"/>
              <w:right w:val="nil"/>
            </w:tcBorders>
            <w:vAlign w:val="center"/>
          </w:tcPr>
          <w:p w14:paraId="28A14EF8" w14:textId="3503E2E4" w:rsidR="00C96BE9" w:rsidRPr="00110162" w:rsidRDefault="007C290E" w:rsidP="004C79D2">
            <w:pPr>
              <w:pStyle w:val="TableTextRight"/>
            </w:pPr>
            <w:r w:rsidRPr="003164CA">
              <w:t>1.</w:t>
            </w:r>
            <w:r w:rsidR="00EB6320">
              <w:rPr>
                <w:rFonts w:cs="Calibri"/>
              </w:rPr>
              <w:t>7</w:t>
            </w:r>
          </w:p>
        </w:tc>
        <w:tc>
          <w:tcPr>
            <w:tcW w:w="0" w:type="dxa"/>
            <w:tcBorders>
              <w:top w:val="nil"/>
              <w:left w:val="nil"/>
              <w:bottom w:val="nil"/>
              <w:right w:val="nil"/>
            </w:tcBorders>
            <w:vAlign w:val="center"/>
          </w:tcPr>
          <w:p w14:paraId="4F5F5AC2" w14:textId="712420C3" w:rsidR="00C96BE9" w:rsidRPr="00110162" w:rsidRDefault="007C290E" w:rsidP="004C79D2">
            <w:pPr>
              <w:pStyle w:val="TableTextRight"/>
            </w:pPr>
            <w:r w:rsidRPr="003164CA">
              <w:t>1.</w:t>
            </w:r>
            <w:r w:rsidR="00EB6320">
              <w:rPr>
                <w:rFonts w:cs="Calibri"/>
              </w:rPr>
              <w:t>2</w:t>
            </w:r>
          </w:p>
        </w:tc>
        <w:tc>
          <w:tcPr>
            <w:tcW w:w="0" w:type="dxa"/>
            <w:tcBorders>
              <w:top w:val="nil"/>
              <w:left w:val="nil"/>
              <w:bottom w:val="nil"/>
              <w:right w:val="single" w:sz="4" w:space="0" w:color="auto"/>
            </w:tcBorders>
            <w:vAlign w:val="center"/>
          </w:tcPr>
          <w:p w14:paraId="18299614" w14:textId="1209D42D" w:rsidR="00C96BE9" w:rsidRPr="00110162" w:rsidRDefault="007C290E" w:rsidP="004C79D2">
            <w:pPr>
              <w:pStyle w:val="TableTextRight"/>
            </w:pPr>
            <w:r w:rsidRPr="003164CA">
              <w:t>1.</w:t>
            </w:r>
            <w:r w:rsidR="00EB6320">
              <w:rPr>
                <w:rFonts w:cs="Calibri"/>
              </w:rPr>
              <w:t>3</w:t>
            </w:r>
          </w:p>
        </w:tc>
        <w:tc>
          <w:tcPr>
            <w:tcW w:w="0" w:type="dxa"/>
            <w:tcBorders>
              <w:top w:val="nil"/>
              <w:left w:val="single" w:sz="4" w:space="0" w:color="auto"/>
              <w:bottom w:val="nil"/>
              <w:right w:val="nil"/>
            </w:tcBorders>
            <w:vAlign w:val="center"/>
          </w:tcPr>
          <w:p w14:paraId="0E6F2954" w14:textId="123D072A" w:rsidR="00C96BE9" w:rsidRPr="00110162" w:rsidRDefault="007C290E" w:rsidP="004C79D2">
            <w:pPr>
              <w:pStyle w:val="TableTextRight"/>
            </w:pPr>
            <w:r w:rsidRPr="003164CA">
              <w:t>1.0</w:t>
            </w:r>
          </w:p>
        </w:tc>
      </w:tr>
      <w:tr w:rsidR="00F67DB6" w:rsidRPr="0080495D" w14:paraId="5603DE62" w14:textId="77777777" w:rsidTr="004C79D2">
        <w:trPr>
          <w:trHeight w:val="170"/>
        </w:trPr>
        <w:tc>
          <w:tcPr>
            <w:tcW w:w="0" w:type="dxa"/>
          </w:tcPr>
          <w:p w14:paraId="30A524E1" w14:textId="77777777" w:rsidR="00C96BE9" w:rsidRPr="003164CA" w:rsidRDefault="00C96BE9" w:rsidP="004C79D2">
            <w:pPr>
              <w:pStyle w:val="Tabletextleftindent"/>
            </w:pPr>
            <w:r w:rsidRPr="003164CA">
              <w:t xml:space="preserve">Greater Sydney </w:t>
            </w:r>
          </w:p>
        </w:tc>
        <w:tc>
          <w:tcPr>
            <w:tcW w:w="0" w:type="dxa"/>
            <w:tcBorders>
              <w:top w:val="nil"/>
              <w:left w:val="nil"/>
              <w:bottom w:val="nil"/>
              <w:right w:val="nil"/>
            </w:tcBorders>
            <w:vAlign w:val="center"/>
          </w:tcPr>
          <w:p w14:paraId="4A849B3D" w14:textId="4A488816" w:rsidR="00C96BE9" w:rsidRPr="00110162" w:rsidRDefault="007C290E" w:rsidP="004C79D2">
            <w:pPr>
              <w:pStyle w:val="TableTextRight"/>
            </w:pPr>
            <w:r w:rsidRPr="003164CA">
              <w:t>0.8</w:t>
            </w:r>
          </w:p>
        </w:tc>
        <w:tc>
          <w:tcPr>
            <w:tcW w:w="0" w:type="dxa"/>
            <w:tcBorders>
              <w:top w:val="nil"/>
              <w:left w:val="nil"/>
              <w:bottom w:val="nil"/>
              <w:right w:val="nil"/>
            </w:tcBorders>
            <w:shd w:val="clear" w:color="auto" w:fill="D2EDFF" w:themeFill="accent1" w:themeFillTint="1A"/>
            <w:vAlign w:val="center"/>
          </w:tcPr>
          <w:p w14:paraId="5C444248" w14:textId="5B9985D0" w:rsidR="00C96BE9" w:rsidRPr="00110162" w:rsidRDefault="007C290E" w:rsidP="004C79D2">
            <w:pPr>
              <w:pStyle w:val="TableTextRight"/>
            </w:pPr>
            <w:r w:rsidRPr="003164CA">
              <w:t>2.9</w:t>
            </w:r>
          </w:p>
        </w:tc>
        <w:tc>
          <w:tcPr>
            <w:tcW w:w="0" w:type="dxa"/>
            <w:tcBorders>
              <w:top w:val="nil"/>
              <w:left w:val="nil"/>
              <w:bottom w:val="nil"/>
              <w:right w:val="nil"/>
            </w:tcBorders>
            <w:vAlign w:val="center"/>
          </w:tcPr>
          <w:p w14:paraId="41AFBD2A" w14:textId="1E1D753A" w:rsidR="00C96BE9" w:rsidRPr="00110162" w:rsidRDefault="007C290E" w:rsidP="004C79D2">
            <w:pPr>
              <w:pStyle w:val="TableTextRight"/>
            </w:pPr>
            <w:r w:rsidRPr="003164CA">
              <w:t>2.</w:t>
            </w:r>
            <w:r w:rsidR="00EB6320">
              <w:rPr>
                <w:rFonts w:cs="Calibri"/>
              </w:rPr>
              <w:t>1</w:t>
            </w:r>
          </w:p>
        </w:tc>
        <w:tc>
          <w:tcPr>
            <w:tcW w:w="0" w:type="dxa"/>
            <w:tcBorders>
              <w:top w:val="nil"/>
              <w:left w:val="nil"/>
              <w:bottom w:val="nil"/>
              <w:right w:val="nil"/>
            </w:tcBorders>
            <w:vAlign w:val="center"/>
          </w:tcPr>
          <w:p w14:paraId="0DF8DB83" w14:textId="6B26F25B" w:rsidR="00C96BE9" w:rsidRPr="00110162" w:rsidRDefault="007C290E" w:rsidP="004C79D2">
            <w:pPr>
              <w:pStyle w:val="TableTextRight"/>
            </w:pPr>
            <w:r w:rsidRPr="003164CA">
              <w:t>1.</w:t>
            </w:r>
            <w:r w:rsidR="00EB6320">
              <w:rPr>
                <w:rFonts w:cs="Calibri"/>
              </w:rPr>
              <w:t>4</w:t>
            </w:r>
          </w:p>
        </w:tc>
        <w:tc>
          <w:tcPr>
            <w:tcW w:w="0" w:type="dxa"/>
            <w:tcBorders>
              <w:top w:val="nil"/>
              <w:left w:val="nil"/>
              <w:bottom w:val="nil"/>
              <w:right w:val="single" w:sz="4" w:space="0" w:color="auto"/>
            </w:tcBorders>
            <w:vAlign w:val="center"/>
          </w:tcPr>
          <w:p w14:paraId="1F09EF9B" w14:textId="502C876A" w:rsidR="00C96BE9" w:rsidRPr="00110162" w:rsidRDefault="007C290E" w:rsidP="004C79D2">
            <w:pPr>
              <w:pStyle w:val="TableTextRight"/>
            </w:pPr>
            <w:r w:rsidRPr="003164CA">
              <w:t>1.</w:t>
            </w:r>
            <w:r w:rsidR="00EB6320">
              <w:rPr>
                <w:rFonts w:cs="Calibri"/>
              </w:rPr>
              <w:t>5</w:t>
            </w:r>
          </w:p>
        </w:tc>
        <w:tc>
          <w:tcPr>
            <w:tcW w:w="0" w:type="dxa"/>
            <w:tcBorders>
              <w:top w:val="nil"/>
              <w:left w:val="single" w:sz="4" w:space="0" w:color="auto"/>
              <w:bottom w:val="nil"/>
              <w:right w:val="nil"/>
            </w:tcBorders>
            <w:vAlign w:val="center"/>
          </w:tcPr>
          <w:p w14:paraId="5B39DDEE" w14:textId="08A7C81E" w:rsidR="00C96BE9" w:rsidRPr="00110162" w:rsidRDefault="007C290E" w:rsidP="004C79D2">
            <w:pPr>
              <w:pStyle w:val="TableTextRight"/>
            </w:pPr>
            <w:r w:rsidRPr="003164CA">
              <w:t>1.2</w:t>
            </w:r>
          </w:p>
        </w:tc>
      </w:tr>
      <w:tr w:rsidR="00F67DB6" w:rsidRPr="0080495D" w14:paraId="698FC6A9" w14:textId="77777777" w:rsidTr="004C79D2">
        <w:trPr>
          <w:trHeight w:val="170"/>
        </w:trPr>
        <w:tc>
          <w:tcPr>
            <w:tcW w:w="0" w:type="dxa"/>
          </w:tcPr>
          <w:p w14:paraId="6D773728" w14:textId="77777777" w:rsidR="00C96BE9" w:rsidRPr="003164CA" w:rsidRDefault="00C96BE9" w:rsidP="004C79D2">
            <w:pPr>
              <w:pStyle w:val="Tabletextleftindent"/>
            </w:pPr>
            <w:r w:rsidRPr="003164CA">
              <w:t>Rest of New South Wales</w:t>
            </w:r>
          </w:p>
        </w:tc>
        <w:tc>
          <w:tcPr>
            <w:tcW w:w="0" w:type="dxa"/>
            <w:tcBorders>
              <w:top w:val="nil"/>
              <w:left w:val="nil"/>
              <w:bottom w:val="nil"/>
              <w:right w:val="nil"/>
            </w:tcBorders>
            <w:vAlign w:val="center"/>
          </w:tcPr>
          <w:p w14:paraId="118BE668" w14:textId="27B4CF36" w:rsidR="00C96BE9" w:rsidRPr="00110162" w:rsidRDefault="007C290E" w:rsidP="004C79D2">
            <w:pPr>
              <w:pStyle w:val="TableTextRight"/>
            </w:pPr>
            <w:r w:rsidRPr="003164CA">
              <w:t>1.0</w:t>
            </w:r>
          </w:p>
        </w:tc>
        <w:tc>
          <w:tcPr>
            <w:tcW w:w="0" w:type="dxa"/>
            <w:tcBorders>
              <w:top w:val="nil"/>
              <w:left w:val="nil"/>
              <w:bottom w:val="nil"/>
              <w:right w:val="nil"/>
            </w:tcBorders>
            <w:shd w:val="clear" w:color="auto" w:fill="D2EDFF" w:themeFill="accent1" w:themeFillTint="1A"/>
            <w:vAlign w:val="center"/>
          </w:tcPr>
          <w:p w14:paraId="3F12D469" w14:textId="5E7E19D1" w:rsidR="00C96BE9" w:rsidRPr="00110162" w:rsidRDefault="007C290E" w:rsidP="004C79D2">
            <w:pPr>
              <w:pStyle w:val="TableTextRight"/>
            </w:pPr>
            <w:r w:rsidRPr="003164CA">
              <w:t>1.0</w:t>
            </w:r>
          </w:p>
        </w:tc>
        <w:tc>
          <w:tcPr>
            <w:tcW w:w="0" w:type="dxa"/>
            <w:tcBorders>
              <w:top w:val="nil"/>
              <w:left w:val="nil"/>
              <w:bottom w:val="nil"/>
              <w:right w:val="nil"/>
            </w:tcBorders>
            <w:vAlign w:val="center"/>
          </w:tcPr>
          <w:p w14:paraId="506B9590" w14:textId="5753DF2C" w:rsidR="00C96BE9" w:rsidRPr="00110162" w:rsidRDefault="007C290E" w:rsidP="004C79D2">
            <w:pPr>
              <w:pStyle w:val="TableTextRight"/>
            </w:pPr>
            <w:r w:rsidRPr="003164CA">
              <w:t>0.</w:t>
            </w:r>
            <w:r w:rsidR="00EB6320">
              <w:rPr>
                <w:rFonts w:cs="Calibri"/>
              </w:rPr>
              <w:t>8</w:t>
            </w:r>
          </w:p>
        </w:tc>
        <w:tc>
          <w:tcPr>
            <w:tcW w:w="0" w:type="dxa"/>
            <w:tcBorders>
              <w:top w:val="nil"/>
              <w:left w:val="nil"/>
              <w:bottom w:val="nil"/>
              <w:right w:val="nil"/>
            </w:tcBorders>
            <w:vAlign w:val="center"/>
          </w:tcPr>
          <w:p w14:paraId="4A5591D9" w14:textId="47A589E1" w:rsidR="00C96BE9" w:rsidRPr="00110162" w:rsidRDefault="007C290E" w:rsidP="004C79D2">
            <w:pPr>
              <w:pStyle w:val="TableTextRight"/>
            </w:pPr>
            <w:r w:rsidRPr="003164CA">
              <w:t>0.</w:t>
            </w:r>
            <w:r w:rsidR="00EB6320">
              <w:rPr>
                <w:rFonts w:cs="Calibri"/>
              </w:rPr>
              <w:t>7</w:t>
            </w:r>
          </w:p>
        </w:tc>
        <w:tc>
          <w:tcPr>
            <w:tcW w:w="0" w:type="dxa"/>
            <w:tcBorders>
              <w:top w:val="nil"/>
              <w:left w:val="nil"/>
              <w:bottom w:val="nil"/>
              <w:right w:val="single" w:sz="4" w:space="0" w:color="auto"/>
            </w:tcBorders>
            <w:vAlign w:val="center"/>
          </w:tcPr>
          <w:p w14:paraId="4FC9182F" w14:textId="34A74FFC" w:rsidR="00C96BE9" w:rsidRPr="00110162" w:rsidRDefault="007C290E" w:rsidP="004C79D2">
            <w:pPr>
              <w:pStyle w:val="TableTextRight"/>
            </w:pPr>
            <w:r w:rsidRPr="003164CA">
              <w:t>0.</w:t>
            </w:r>
            <w:r w:rsidR="00EB6320">
              <w:rPr>
                <w:rFonts w:cs="Calibri"/>
              </w:rPr>
              <w:t>7</w:t>
            </w:r>
          </w:p>
        </w:tc>
        <w:tc>
          <w:tcPr>
            <w:tcW w:w="0" w:type="dxa"/>
            <w:tcBorders>
              <w:top w:val="nil"/>
              <w:left w:val="single" w:sz="4" w:space="0" w:color="auto"/>
              <w:bottom w:val="nil"/>
              <w:right w:val="nil"/>
            </w:tcBorders>
            <w:vAlign w:val="center"/>
          </w:tcPr>
          <w:p w14:paraId="70B1A18E" w14:textId="19E3AEF9" w:rsidR="00C96BE9" w:rsidRPr="00110162" w:rsidRDefault="007C290E" w:rsidP="004C79D2">
            <w:pPr>
              <w:pStyle w:val="TableTextRight"/>
            </w:pPr>
            <w:r w:rsidRPr="003164CA">
              <w:t>0.6</w:t>
            </w:r>
          </w:p>
        </w:tc>
      </w:tr>
      <w:tr w:rsidR="00F67DB6" w:rsidRPr="0080495D" w14:paraId="60CC6868" w14:textId="77777777" w:rsidTr="004C79D2">
        <w:trPr>
          <w:trHeight w:val="170"/>
        </w:trPr>
        <w:tc>
          <w:tcPr>
            <w:tcW w:w="0" w:type="dxa"/>
          </w:tcPr>
          <w:p w14:paraId="4BC527D2" w14:textId="65DFE376" w:rsidR="00C96BE9" w:rsidRPr="003164CA" w:rsidRDefault="00C96BE9" w:rsidP="004C79D2">
            <w:pPr>
              <w:pStyle w:val="TableColumnHeadingLeft"/>
            </w:pPr>
            <w:r w:rsidRPr="003164CA">
              <w:t>Population growth (</w:t>
            </w:r>
            <w:r w:rsidR="004B14AB" w:rsidRPr="003164CA">
              <w:t>‘</w:t>
            </w:r>
            <w:r w:rsidRPr="003164CA">
              <w:t>000)</w:t>
            </w:r>
          </w:p>
        </w:tc>
        <w:tc>
          <w:tcPr>
            <w:tcW w:w="0" w:type="dxa"/>
            <w:tcBorders>
              <w:top w:val="nil"/>
              <w:left w:val="nil"/>
              <w:bottom w:val="nil"/>
              <w:right w:val="nil"/>
            </w:tcBorders>
            <w:vAlign w:val="center"/>
          </w:tcPr>
          <w:p w14:paraId="659588BD" w14:textId="77777777" w:rsidR="00C96BE9" w:rsidRPr="00110162" w:rsidRDefault="00C96BE9" w:rsidP="004C79D2">
            <w:pPr>
              <w:pStyle w:val="TableTextRight"/>
            </w:pPr>
          </w:p>
        </w:tc>
        <w:tc>
          <w:tcPr>
            <w:tcW w:w="0" w:type="dxa"/>
            <w:tcBorders>
              <w:top w:val="nil"/>
              <w:left w:val="nil"/>
              <w:bottom w:val="nil"/>
              <w:right w:val="nil"/>
            </w:tcBorders>
            <w:shd w:val="clear" w:color="auto" w:fill="D2EDFF" w:themeFill="accent1" w:themeFillTint="1A"/>
            <w:vAlign w:val="center"/>
          </w:tcPr>
          <w:p w14:paraId="34ABB89E" w14:textId="4EBC446C" w:rsidR="00C96BE9" w:rsidRPr="00110162" w:rsidRDefault="007C290E" w:rsidP="004C79D2">
            <w:pPr>
              <w:pStyle w:val="TableTextRight"/>
            </w:pPr>
            <w:r w:rsidRPr="003164CA">
              <w:t> </w:t>
            </w:r>
          </w:p>
        </w:tc>
        <w:tc>
          <w:tcPr>
            <w:tcW w:w="0" w:type="dxa"/>
            <w:tcBorders>
              <w:top w:val="nil"/>
              <w:left w:val="nil"/>
              <w:bottom w:val="nil"/>
              <w:right w:val="nil"/>
            </w:tcBorders>
            <w:vAlign w:val="center"/>
          </w:tcPr>
          <w:p w14:paraId="3AD645D6" w14:textId="77777777" w:rsidR="00C96BE9" w:rsidRPr="00110162" w:rsidRDefault="00C96BE9" w:rsidP="004C79D2">
            <w:pPr>
              <w:pStyle w:val="TableTextRight"/>
            </w:pPr>
          </w:p>
        </w:tc>
        <w:tc>
          <w:tcPr>
            <w:tcW w:w="0" w:type="dxa"/>
            <w:tcBorders>
              <w:top w:val="nil"/>
              <w:left w:val="nil"/>
              <w:bottom w:val="nil"/>
              <w:right w:val="nil"/>
            </w:tcBorders>
            <w:vAlign w:val="center"/>
          </w:tcPr>
          <w:p w14:paraId="494204AC" w14:textId="77777777" w:rsidR="00C96BE9" w:rsidRPr="00110162" w:rsidRDefault="00C96BE9" w:rsidP="004C79D2">
            <w:pPr>
              <w:pStyle w:val="TableTextRight"/>
            </w:pPr>
          </w:p>
        </w:tc>
        <w:tc>
          <w:tcPr>
            <w:tcW w:w="0" w:type="dxa"/>
            <w:tcBorders>
              <w:top w:val="nil"/>
              <w:left w:val="nil"/>
              <w:bottom w:val="nil"/>
              <w:right w:val="single" w:sz="4" w:space="0" w:color="auto"/>
            </w:tcBorders>
            <w:vAlign w:val="center"/>
          </w:tcPr>
          <w:p w14:paraId="04BA23D6" w14:textId="2799C564" w:rsidR="00C96BE9" w:rsidRPr="00110162" w:rsidRDefault="007C290E" w:rsidP="004C79D2">
            <w:pPr>
              <w:pStyle w:val="TableTextRight"/>
            </w:pPr>
            <w:r w:rsidRPr="003164CA">
              <w:t> </w:t>
            </w:r>
          </w:p>
        </w:tc>
        <w:tc>
          <w:tcPr>
            <w:tcW w:w="0" w:type="dxa"/>
            <w:tcBorders>
              <w:top w:val="nil"/>
              <w:left w:val="single" w:sz="4" w:space="0" w:color="auto"/>
              <w:bottom w:val="nil"/>
              <w:right w:val="nil"/>
            </w:tcBorders>
            <w:vAlign w:val="center"/>
          </w:tcPr>
          <w:p w14:paraId="73FD8B0D" w14:textId="77777777" w:rsidR="00C96BE9" w:rsidRPr="00110162" w:rsidRDefault="00C96BE9" w:rsidP="004C79D2">
            <w:pPr>
              <w:pStyle w:val="TableTextRight"/>
            </w:pPr>
          </w:p>
        </w:tc>
      </w:tr>
      <w:tr w:rsidR="00F67DB6" w:rsidRPr="0080495D" w14:paraId="070D6228" w14:textId="77777777" w:rsidTr="004C79D2">
        <w:trPr>
          <w:trHeight w:val="170"/>
        </w:trPr>
        <w:tc>
          <w:tcPr>
            <w:tcW w:w="0" w:type="dxa"/>
          </w:tcPr>
          <w:p w14:paraId="1CCE5332" w14:textId="77777777" w:rsidR="00C96BE9" w:rsidRPr="003164CA" w:rsidRDefault="00C96BE9" w:rsidP="004C79D2">
            <w:pPr>
              <w:pStyle w:val="TableTextLeft"/>
              <w:rPr>
                <w:b/>
              </w:rPr>
            </w:pPr>
            <w:r w:rsidRPr="003164CA">
              <w:t>New South Wales</w:t>
            </w:r>
          </w:p>
        </w:tc>
        <w:tc>
          <w:tcPr>
            <w:tcW w:w="0" w:type="dxa"/>
            <w:tcBorders>
              <w:top w:val="nil"/>
              <w:left w:val="nil"/>
              <w:bottom w:val="nil"/>
              <w:right w:val="nil"/>
            </w:tcBorders>
            <w:vAlign w:val="center"/>
          </w:tcPr>
          <w:p w14:paraId="325A70D8" w14:textId="51366538" w:rsidR="00C96BE9" w:rsidRPr="00110162" w:rsidRDefault="007C290E" w:rsidP="004C79D2">
            <w:pPr>
              <w:pStyle w:val="TableTextRight"/>
            </w:pPr>
            <w:r w:rsidRPr="003164CA">
              <w:t>69.5</w:t>
            </w:r>
          </w:p>
        </w:tc>
        <w:tc>
          <w:tcPr>
            <w:tcW w:w="0" w:type="dxa"/>
            <w:tcBorders>
              <w:top w:val="nil"/>
              <w:left w:val="nil"/>
              <w:bottom w:val="nil"/>
              <w:right w:val="nil"/>
            </w:tcBorders>
            <w:shd w:val="clear" w:color="auto" w:fill="D2EDFF" w:themeFill="accent1" w:themeFillTint="1A"/>
            <w:vAlign w:val="center"/>
          </w:tcPr>
          <w:p w14:paraId="52A7D37A" w14:textId="2ED5F1A8" w:rsidR="00C96BE9" w:rsidRPr="00110162" w:rsidRDefault="007C290E" w:rsidP="004C79D2">
            <w:pPr>
              <w:pStyle w:val="TableTextRight"/>
            </w:pPr>
            <w:r w:rsidRPr="003164CA">
              <w:t>180.0</w:t>
            </w:r>
          </w:p>
        </w:tc>
        <w:tc>
          <w:tcPr>
            <w:tcW w:w="0" w:type="dxa"/>
            <w:tcBorders>
              <w:top w:val="nil"/>
              <w:left w:val="nil"/>
              <w:bottom w:val="nil"/>
              <w:right w:val="nil"/>
            </w:tcBorders>
            <w:vAlign w:val="center"/>
          </w:tcPr>
          <w:p w14:paraId="0B68D454" w14:textId="11B448D2" w:rsidR="00C96BE9" w:rsidRPr="00110162" w:rsidRDefault="00EB6320" w:rsidP="004C79D2">
            <w:pPr>
              <w:pStyle w:val="TableTextRight"/>
            </w:pPr>
            <w:r>
              <w:rPr>
                <w:rFonts w:cs="Calibri"/>
              </w:rPr>
              <w:t>138.9</w:t>
            </w:r>
          </w:p>
        </w:tc>
        <w:tc>
          <w:tcPr>
            <w:tcW w:w="0" w:type="dxa"/>
            <w:tcBorders>
              <w:top w:val="nil"/>
              <w:left w:val="nil"/>
              <w:bottom w:val="nil"/>
              <w:right w:val="nil"/>
            </w:tcBorders>
            <w:vAlign w:val="center"/>
          </w:tcPr>
          <w:p w14:paraId="4FA6484C" w14:textId="4C5A64B3" w:rsidR="00C96BE9" w:rsidRPr="00110162" w:rsidRDefault="00EB6320" w:rsidP="004C79D2">
            <w:pPr>
              <w:pStyle w:val="TableTextRight"/>
            </w:pPr>
            <w:r>
              <w:rPr>
                <w:rFonts w:cs="Calibri"/>
              </w:rPr>
              <w:t>100</w:t>
            </w:r>
            <w:r w:rsidR="007C290E" w:rsidRPr="003164CA">
              <w:t>.8</w:t>
            </w:r>
          </w:p>
        </w:tc>
        <w:tc>
          <w:tcPr>
            <w:tcW w:w="0" w:type="dxa"/>
            <w:tcBorders>
              <w:top w:val="nil"/>
              <w:left w:val="nil"/>
              <w:bottom w:val="nil"/>
              <w:right w:val="single" w:sz="4" w:space="0" w:color="auto"/>
            </w:tcBorders>
            <w:vAlign w:val="center"/>
          </w:tcPr>
          <w:p w14:paraId="393064C6" w14:textId="42D5FAA6" w:rsidR="00C96BE9" w:rsidRPr="00110162" w:rsidRDefault="00EB6320" w:rsidP="004C79D2">
            <w:pPr>
              <w:pStyle w:val="TableTextRight"/>
            </w:pPr>
            <w:r>
              <w:rPr>
                <w:rFonts w:cs="Calibri"/>
              </w:rPr>
              <w:t>108.0</w:t>
            </w:r>
          </w:p>
        </w:tc>
        <w:tc>
          <w:tcPr>
            <w:tcW w:w="0" w:type="dxa"/>
            <w:tcBorders>
              <w:top w:val="nil"/>
              <w:left w:val="single" w:sz="4" w:space="0" w:color="auto"/>
              <w:bottom w:val="nil"/>
              <w:right w:val="nil"/>
            </w:tcBorders>
            <w:vAlign w:val="center"/>
          </w:tcPr>
          <w:p w14:paraId="1096DF9E" w14:textId="25FD810E" w:rsidR="00C96BE9" w:rsidRPr="00110162" w:rsidRDefault="00EB6320" w:rsidP="004C79D2">
            <w:pPr>
              <w:pStyle w:val="TableTextRight"/>
            </w:pPr>
            <w:r>
              <w:rPr>
                <w:rFonts w:cs="Calibri"/>
              </w:rPr>
              <w:t>94.8</w:t>
            </w:r>
          </w:p>
        </w:tc>
      </w:tr>
      <w:tr w:rsidR="00F67DB6" w:rsidRPr="0080495D" w14:paraId="5248AEB1" w14:textId="77777777" w:rsidTr="004C79D2">
        <w:trPr>
          <w:trHeight w:val="170"/>
        </w:trPr>
        <w:tc>
          <w:tcPr>
            <w:tcW w:w="0" w:type="dxa"/>
          </w:tcPr>
          <w:p w14:paraId="277B3D06" w14:textId="77777777" w:rsidR="00C96BE9" w:rsidRPr="003164CA" w:rsidRDefault="00C96BE9" w:rsidP="004C79D2">
            <w:pPr>
              <w:pStyle w:val="Tabletextleftindent"/>
              <w:rPr>
                <w:b/>
              </w:rPr>
            </w:pPr>
            <w:r w:rsidRPr="003164CA">
              <w:t xml:space="preserve">Greater Sydney </w:t>
            </w:r>
          </w:p>
        </w:tc>
        <w:tc>
          <w:tcPr>
            <w:tcW w:w="0" w:type="dxa"/>
            <w:tcBorders>
              <w:top w:val="nil"/>
              <w:left w:val="nil"/>
              <w:bottom w:val="nil"/>
              <w:right w:val="nil"/>
            </w:tcBorders>
            <w:vAlign w:val="center"/>
          </w:tcPr>
          <w:p w14:paraId="3DE0D444" w14:textId="2B31876E" w:rsidR="00C96BE9" w:rsidRPr="00110162" w:rsidRDefault="007C290E" w:rsidP="004C79D2">
            <w:pPr>
              <w:pStyle w:val="TableTextRight"/>
            </w:pPr>
            <w:r w:rsidRPr="003164CA">
              <w:t>40.9</w:t>
            </w:r>
          </w:p>
        </w:tc>
        <w:tc>
          <w:tcPr>
            <w:tcW w:w="0" w:type="dxa"/>
            <w:tcBorders>
              <w:top w:val="nil"/>
              <w:left w:val="nil"/>
              <w:bottom w:val="nil"/>
              <w:right w:val="nil"/>
            </w:tcBorders>
            <w:shd w:val="clear" w:color="auto" w:fill="D2EDFF" w:themeFill="accent1" w:themeFillTint="1A"/>
            <w:vAlign w:val="center"/>
          </w:tcPr>
          <w:p w14:paraId="753BFA4F" w14:textId="262558EF" w:rsidR="00C96BE9" w:rsidRPr="00110162" w:rsidRDefault="007C290E" w:rsidP="004C79D2">
            <w:pPr>
              <w:pStyle w:val="TableTextRight"/>
            </w:pPr>
            <w:r w:rsidRPr="003164CA">
              <w:t>152.3</w:t>
            </w:r>
          </w:p>
        </w:tc>
        <w:tc>
          <w:tcPr>
            <w:tcW w:w="0" w:type="dxa"/>
            <w:tcBorders>
              <w:top w:val="nil"/>
              <w:left w:val="nil"/>
              <w:bottom w:val="nil"/>
              <w:right w:val="nil"/>
            </w:tcBorders>
            <w:vAlign w:val="center"/>
          </w:tcPr>
          <w:p w14:paraId="18FE9F17" w14:textId="094CCC42" w:rsidR="00C96BE9" w:rsidRPr="00110162" w:rsidRDefault="00EB6320" w:rsidP="004C79D2">
            <w:pPr>
              <w:pStyle w:val="TableTextRight"/>
            </w:pPr>
            <w:r>
              <w:rPr>
                <w:rFonts w:cs="Calibri"/>
              </w:rPr>
              <w:t>114.6</w:t>
            </w:r>
          </w:p>
        </w:tc>
        <w:tc>
          <w:tcPr>
            <w:tcW w:w="0" w:type="dxa"/>
            <w:tcBorders>
              <w:top w:val="nil"/>
              <w:left w:val="nil"/>
              <w:bottom w:val="nil"/>
              <w:right w:val="nil"/>
            </w:tcBorders>
            <w:vAlign w:val="center"/>
          </w:tcPr>
          <w:p w14:paraId="7B29E887" w14:textId="6244AF1B" w:rsidR="00C96BE9" w:rsidRPr="00110162" w:rsidRDefault="00EB6320" w:rsidP="004C79D2">
            <w:pPr>
              <w:pStyle w:val="TableTextRight"/>
            </w:pPr>
            <w:r>
              <w:rPr>
                <w:rFonts w:cs="Calibri"/>
              </w:rPr>
              <w:t>80.0</w:t>
            </w:r>
          </w:p>
        </w:tc>
        <w:tc>
          <w:tcPr>
            <w:tcW w:w="0" w:type="dxa"/>
            <w:tcBorders>
              <w:top w:val="nil"/>
              <w:left w:val="nil"/>
              <w:bottom w:val="nil"/>
              <w:right w:val="single" w:sz="4" w:space="0" w:color="auto"/>
            </w:tcBorders>
            <w:vAlign w:val="center"/>
          </w:tcPr>
          <w:p w14:paraId="11CA8592" w14:textId="7FFE824F" w:rsidR="00C96BE9" w:rsidRPr="00110162" w:rsidRDefault="00EB6320" w:rsidP="004C79D2">
            <w:pPr>
              <w:pStyle w:val="TableTextRight"/>
            </w:pPr>
            <w:r>
              <w:rPr>
                <w:rFonts w:cs="Calibri"/>
              </w:rPr>
              <w:t>86.3</w:t>
            </w:r>
          </w:p>
        </w:tc>
        <w:tc>
          <w:tcPr>
            <w:tcW w:w="0" w:type="dxa"/>
            <w:tcBorders>
              <w:top w:val="nil"/>
              <w:left w:val="single" w:sz="4" w:space="0" w:color="auto"/>
              <w:bottom w:val="nil"/>
              <w:right w:val="nil"/>
            </w:tcBorders>
            <w:vAlign w:val="center"/>
          </w:tcPr>
          <w:p w14:paraId="2172F5B4" w14:textId="61DA194B" w:rsidR="00C96BE9" w:rsidRPr="00110162" w:rsidRDefault="00EB6320" w:rsidP="004C79D2">
            <w:pPr>
              <w:pStyle w:val="TableTextRight"/>
            </w:pPr>
            <w:r>
              <w:rPr>
                <w:rFonts w:cs="Calibri"/>
              </w:rPr>
              <w:t>77.0</w:t>
            </w:r>
          </w:p>
        </w:tc>
      </w:tr>
      <w:tr w:rsidR="00F67DB6" w:rsidRPr="0080495D" w14:paraId="609F4CD1" w14:textId="77777777" w:rsidTr="004C79D2">
        <w:trPr>
          <w:trHeight w:val="170"/>
        </w:trPr>
        <w:tc>
          <w:tcPr>
            <w:tcW w:w="0" w:type="dxa"/>
            <w:tcBorders>
              <w:bottom w:val="single" w:sz="4" w:space="0" w:color="auto"/>
            </w:tcBorders>
          </w:tcPr>
          <w:p w14:paraId="49628DE6" w14:textId="77777777" w:rsidR="00C96BE9" w:rsidRPr="003164CA" w:rsidRDefault="00C96BE9" w:rsidP="004C79D2">
            <w:pPr>
              <w:pStyle w:val="Tabletextleftindent"/>
              <w:rPr>
                <w:b/>
              </w:rPr>
            </w:pPr>
            <w:r w:rsidRPr="003164CA">
              <w:t>Rest of New South Wales</w:t>
            </w:r>
          </w:p>
        </w:tc>
        <w:tc>
          <w:tcPr>
            <w:tcW w:w="0" w:type="dxa"/>
            <w:tcBorders>
              <w:top w:val="nil"/>
              <w:left w:val="nil"/>
              <w:bottom w:val="single" w:sz="4" w:space="0" w:color="auto"/>
              <w:right w:val="nil"/>
            </w:tcBorders>
            <w:vAlign w:val="center"/>
          </w:tcPr>
          <w:p w14:paraId="64EA82F9" w14:textId="4AE425E9" w:rsidR="00C96BE9" w:rsidRPr="00110162" w:rsidRDefault="007C290E" w:rsidP="004C79D2">
            <w:pPr>
              <w:pStyle w:val="TableTextRight"/>
            </w:pPr>
            <w:r w:rsidRPr="003164CA">
              <w:t>27.7</w:t>
            </w:r>
          </w:p>
        </w:tc>
        <w:tc>
          <w:tcPr>
            <w:tcW w:w="0" w:type="dxa"/>
            <w:tcBorders>
              <w:top w:val="nil"/>
              <w:left w:val="nil"/>
              <w:bottom w:val="single" w:sz="4" w:space="0" w:color="auto"/>
              <w:right w:val="nil"/>
            </w:tcBorders>
            <w:shd w:val="clear" w:color="auto" w:fill="D2EDFF" w:themeFill="accent1" w:themeFillTint="1A"/>
            <w:vAlign w:val="center"/>
          </w:tcPr>
          <w:p w14:paraId="13AF832B" w14:textId="2D8F387B" w:rsidR="00C96BE9" w:rsidRPr="00110162" w:rsidRDefault="007C290E" w:rsidP="004C79D2">
            <w:pPr>
              <w:pStyle w:val="TableTextRight"/>
            </w:pPr>
            <w:r w:rsidRPr="003164CA">
              <w:t>27.7</w:t>
            </w:r>
          </w:p>
        </w:tc>
        <w:tc>
          <w:tcPr>
            <w:tcW w:w="0" w:type="dxa"/>
            <w:tcBorders>
              <w:top w:val="nil"/>
              <w:left w:val="nil"/>
              <w:bottom w:val="single" w:sz="4" w:space="0" w:color="auto"/>
              <w:right w:val="nil"/>
            </w:tcBorders>
            <w:vAlign w:val="center"/>
          </w:tcPr>
          <w:p w14:paraId="4F47D400" w14:textId="0709312F" w:rsidR="00C96BE9" w:rsidRPr="00110162" w:rsidRDefault="00EB6320" w:rsidP="004C79D2">
            <w:pPr>
              <w:pStyle w:val="TableTextRight"/>
            </w:pPr>
            <w:r>
              <w:rPr>
                <w:rFonts w:cs="Calibri"/>
              </w:rPr>
              <w:t>24.3</w:t>
            </w:r>
          </w:p>
        </w:tc>
        <w:tc>
          <w:tcPr>
            <w:tcW w:w="0" w:type="dxa"/>
            <w:tcBorders>
              <w:top w:val="nil"/>
              <w:left w:val="nil"/>
              <w:bottom w:val="single" w:sz="4" w:space="0" w:color="auto"/>
              <w:right w:val="nil"/>
            </w:tcBorders>
            <w:vAlign w:val="center"/>
          </w:tcPr>
          <w:p w14:paraId="119CD381" w14:textId="06B090E0" w:rsidR="00C96BE9" w:rsidRPr="00110162" w:rsidRDefault="00EB6320" w:rsidP="004C79D2">
            <w:pPr>
              <w:pStyle w:val="TableTextRight"/>
            </w:pPr>
            <w:r>
              <w:rPr>
                <w:rFonts w:cs="Calibri"/>
              </w:rPr>
              <w:t>20.7</w:t>
            </w:r>
          </w:p>
        </w:tc>
        <w:tc>
          <w:tcPr>
            <w:tcW w:w="0" w:type="dxa"/>
            <w:tcBorders>
              <w:top w:val="nil"/>
              <w:left w:val="nil"/>
              <w:bottom w:val="single" w:sz="4" w:space="0" w:color="auto"/>
              <w:right w:val="single" w:sz="4" w:space="0" w:color="auto"/>
            </w:tcBorders>
            <w:vAlign w:val="center"/>
          </w:tcPr>
          <w:p w14:paraId="486AA4A0" w14:textId="3EB288B6" w:rsidR="00C96BE9" w:rsidRPr="00110162" w:rsidRDefault="00EB6320" w:rsidP="004C79D2">
            <w:pPr>
              <w:pStyle w:val="TableTextRight"/>
            </w:pPr>
            <w:r>
              <w:rPr>
                <w:rFonts w:cs="Calibri"/>
              </w:rPr>
              <w:t>21.7</w:t>
            </w:r>
          </w:p>
        </w:tc>
        <w:tc>
          <w:tcPr>
            <w:tcW w:w="0" w:type="dxa"/>
            <w:tcBorders>
              <w:top w:val="nil"/>
              <w:left w:val="single" w:sz="4" w:space="0" w:color="auto"/>
              <w:bottom w:val="single" w:sz="4" w:space="0" w:color="auto"/>
              <w:right w:val="nil"/>
            </w:tcBorders>
            <w:vAlign w:val="center"/>
          </w:tcPr>
          <w:p w14:paraId="3E3A60C5" w14:textId="623395D1" w:rsidR="00C96BE9" w:rsidRPr="00110162" w:rsidRDefault="00EB6320" w:rsidP="004C79D2">
            <w:pPr>
              <w:pStyle w:val="TableTextRight"/>
            </w:pPr>
            <w:r>
              <w:rPr>
                <w:rFonts w:cs="Calibri"/>
              </w:rPr>
              <w:t>17.9</w:t>
            </w:r>
          </w:p>
        </w:tc>
      </w:tr>
      <w:tr w:rsidR="00F67DB6" w:rsidRPr="0080495D" w14:paraId="3BCE12A4" w14:textId="77777777" w:rsidTr="004C79D2">
        <w:trPr>
          <w:trHeight w:val="170"/>
        </w:trPr>
        <w:tc>
          <w:tcPr>
            <w:tcW w:w="0" w:type="dxa"/>
            <w:tcBorders>
              <w:top w:val="single" w:sz="4" w:space="0" w:color="auto"/>
              <w:bottom w:val="nil"/>
            </w:tcBorders>
          </w:tcPr>
          <w:p w14:paraId="5A52D34D" w14:textId="25A3C854" w:rsidR="00C96BE9" w:rsidRPr="003164CA" w:rsidRDefault="00C96BE9" w:rsidP="004C79D2">
            <w:pPr>
              <w:pStyle w:val="TableColumnHeadingLeft"/>
            </w:pPr>
            <w:r w:rsidRPr="003164CA">
              <w:t>Natural increase (</w:t>
            </w:r>
            <w:r w:rsidR="004B14AB" w:rsidRPr="003164CA">
              <w:t>‘</w:t>
            </w:r>
            <w:r w:rsidRPr="003164CA">
              <w:t>000)</w:t>
            </w:r>
          </w:p>
        </w:tc>
        <w:tc>
          <w:tcPr>
            <w:tcW w:w="0" w:type="dxa"/>
            <w:tcBorders>
              <w:top w:val="single" w:sz="4" w:space="0" w:color="auto"/>
              <w:left w:val="nil"/>
              <w:bottom w:val="nil"/>
              <w:right w:val="nil"/>
            </w:tcBorders>
            <w:vAlign w:val="center"/>
          </w:tcPr>
          <w:p w14:paraId="368127F6" w14:textId="77777777" w:rsidR="00C96BE9" w:rsidRPr="00110162" w:rsidRDefault="00C96BE9" w:rsidP="004C79D2">
            <w:pPr>
              <w:pStyle w:val="TableTextRight"/>
            </w:pPr>
          </w:p>
        </w:tc>
        <w:tc>
          <w:tcPr>
            <w:tcW w:w="0" w:type="dxa"/>
            <w:tcBorders>
              <w:top w:val="single" w:sz="4" w:space="0" w:color="auto"/>
              <w:left w:val="nil"/>
              <w:bottom w:val="nil"/>
              <w:right w:val="nil"/>
            </w:tcBorders>
            <w:shd w:val="clear" w:color="auto" w:fill="D2EDFF" w:themeFill="accent1" w:themeFillTint="1A"/>
            <w:vAlign w:val="center"/>
          </w:tcPr>
          <w:p w14:paraId="13E6CCEE" w14:textId="5C79FD0F" w:rsidR="00C96BE9" w:rsidRPr="00110162" w:rsidRDefault="007C290E" w:rsidP="004C79D2">
            <w:pPr>
              <w:pStyle w:val="TableTextRight"/>
            </w:pPr>
            <w:r w:rsidRPr="003164CA">
              <w:t> </w:t>
            </w:r>
          </w:p>
        </w:tc>
        <w:tc>
          <w:tcPr>
            <w:tcW w:w="0" w:type="dxa"/>
            <w:tcBorders>
              <w:top w:val="single" w:sz="4" w:space="0" w:color="auto"/>
              <w:left w:val="nil"/>
              <w:bottom w:val="nil"/>
              <w:right w:val="nil"/>
            </w:tcBorders>
            <w:vAlign w:val="center"/>
          </w:tcPr>
          <w:p w14:paraId="185081A8" w14:textId="77777777" w:rsidR="00C96BE9" w:rsidRPr="00110162" w:rsidRDefault="00C96BE9" w:rsidP="004C79D2">
            <w:pPr>
              <w:pStyle w:val="TableTextRight"/>
            </w:pPr>
          </w:p>
        </w:tc>
        <w:tc>
          <w:tcPr>
            <w:tcW w:w="0" w:type="dxa"/>
            <w:tcBorders>
              <w:top w:val="single" w:sz="4" w:space="0" w:color="auto"/>
              <w:left w:val="nil"/>
              <w:bottom w:val="nil"/>
              <w:right w:val="nil"/>
            </w:tcBorders>
            <w:vAlign w:val="center"/>
          </w:tcPr>
          <w:p w14:paraId="638AD089" w14:textId="77777777" w:rsidR="00C96BE9" w:rsidRPr="00110162" w:rsidRDefault="00C96BE9" w:rsidP="004C79D2">
            <w:pPr>
              <w:pStyle w:val="TableTextRight"/>
            </w:pPr>
          </w:p>
        </w:tc>
        <w:tc>
          <w:tcPr>
            <w:tcW w:w="0" w:type="dxa"/>
            <w:tcBorders>
              <w:top w:val="single" w:sz="4" w:space="0" w:color="auto"/>
              <w:left w:val="nil"/>
              <w:bottom w:val="nil"/>
              <w:right w:val="single" w:sz="4" w:space="0" w:color="auto"/>
            </w:tcBorders>
            <w:vAlign w:val="center"/>
          </w:tcPr>
          <w:p w14:paraId="5F6F150C" w14:textId="4EEE0788" w:rsidR="00C96BE9" w:rsidRPr="00110162" w:rsidRDefault="007C290E" w:rsidP="004C79D2">
            <w:pPr>
              <w:pStyle w:val="TableTextRight"/>
            </w:pPr>
            <w:r w:rsidRPr="003164CA">
              <w:t> </w:t>
            </w:r>
          </w:p>
        </w:tc>
        <w:tc>
          <w:tcPr>
            <w:tcW w:w="0" w:type="dxa"/>
            <w:tcBorders>
              <w:top w:val="single" w:sz="4" w:space="0" w:color="auto"/>
              <w:left w:val="single" w:sz="4" w:space="0" w:color="auto"/>
              <w:bottom w:val="nil"/>
              <w:right w:val="nil"/>
            </w:tcBorders>
            <w:vAlign w:val="center"/>
          </w:tcPr>
          <w:p w14:paraId="4387622C" w14:textId="77777777" w:rsidR="00C96BE9" w:rsidRPr="00110162" w:rsidRDefault="00C96BE9" w:rsidP="004C79D2">
            <w:pPr>
              <w:pStyle w:val="TableTextRight"/>
            </w:pPr>
          </w:p>
        </w:tc>
      </w:tr>
      <w:tr w:rsidR="00F67DB6" w:rsidRPr="0080495D" w14:paraId="36FAEBCD" w14:textId="77777777" w:rsidTr="004C79D2">
        <w:trPr>
          <w:trHeight w:val="170"/>
        </w:trPr>
        <w:tc>
          <w:tcPr>
            <w:tcW w:w="0" w:type="dxa"/>
            <w:tcBorders>
              <w:top w:val="nil"/>
            </w:tcBorders>
          </w:tcPr>
          <w:p w14:paraId="6BAE038E" w14:textId="77777777" w:rsidR="00C96BE9" w:rsidRPr="003164CA" w:rsidRDefault="00C96BE9" w:rsidP="004C79D2">
            <w:pPr>
              <w:pStyle w:val="TableTextLeft"/>
              <w:rPr>
                <w:b/>
              </w:rPr>
            </w:pPr>
            <w:r w:rsidRPr="003164CA">
              <w:t>New South Wales</w:t>
            </w:r>
          </w:p>
        </w:tc>
        <w:tc>
          <w:tcPr>
            <w:tcW w:w="0" w:type="dxa"/>
            <w:tcBorders>
              <w:top w:val="nil"/>
              <w:left w:val="nil"/>
              <w:bottom w:val="nil"/>
              <w:right w:val="nil"/>
            </w:tcBorders>
            <w:vAlign w:val="center"/>
          </w:tcPr>
          <w:p w14:paraId="0DCB4098" w14:textId="1CA3D981" w:rsidR="00C96BE9" w:rsidRPr="00110162" w:rsidRDefault="007C290E" w:rsidP="004C79D2">
            <w:pPr>
              <w:pStyle w:val="TableTextRight"/>
            </w:pPr>
            <w:r w:rsidRPr="003164CA">
              <w:t>39.9</w:t>
            </w:r>
          </w:p>
        </w:tc>
        <w:tc>
          <w:tcPr>
            <w:tcW w:w="0" w:type="dxa"/>
            <w:tcBorders>
              <w:top w:val="nil"/>
              <w:left w:val="nil"/>
              <w:bottom w:val="nil"/>
              <w:right w:val="nil"/>
            </w:tcBorders>
            <w:shd w:val="clear" w:color="auto" w:fill="D2EDFF" w:themeFill="accent1" w:themeFillTint="1A"/>
            <w:vAlign w:val="center"/>
          </w:tcPr>
          <w:p w14:paraId="4979D12C" w14:textId="54DBEF52" w:rsidR="00C96BE9" w:rsidRPr="00110162" w:rsidRDefault="007C290E" w:rsidP="004C79D2">
            <w:pPr>
              <w:pStyle w:val="TableTextRight"/>
            </w:pPr>
            <w:r w:rsidRPr="003164CA">
              <w:t>38.1</w:t>
            </w:r>
          </w:p>
        </w:tc>
        <w:tc>
          <w:tcPr>
            <w:tcW w:w="0" w:type="dxa"/>
            <w:tcBorders>
              <w:top w:val="nil"/>
              <w:left w:val="nil"/>
              <w:bottom w:val="nil"/>
              <w:right w:val="nil"/>
            </w:tcBorders>
            <w:vAlign w:val="center"/>
          </w:tcPr>
          <w:p w14:paraId="615A6989" w14:textId="70075BBF" w:rsidR="00C96BE9" w:rsidRPr="00110162" w:rsidRDefault="007C290E" w:rsidP="004C79D2">
            <w:pPr>
              <w:pStyle w:val="TableTextRight"/>
            </w:pPr>
            <w:r w:rsidRPr="003164CA">
              <w:t>41.</w:t>
            </w:r>
            <w:r w:rsidR="00EB6320">
              <w:rPr>
                <w:rFonts w:cs="Calibri"/>
              </w:rPr>
              <w:t>7</w:t>
            </w:r>
          </w:p>
        </w:tc>
        <w:tc>
          <w:tcPr>
            <w:tcW w:w="0" w:type="dxa"/>
            <w:tcBorders>
              <w:top w:val="nil"/>
              <w:left w:val="nil"/>
              <w:bottom w:val="nil"/>
              <w:right w:val="nil"/>
            </w:tcBorders>
            <w:vAlign w:val="center"/>
          </w:tcPr>
          <w:p w14:paraId="648FA3D4" w14:textId="6557B302" w:rsidR="00C96BE9" w:rsidRPr="00110162" w:rsidRDefault="00EB6320" w:rsidP="004C79D2">
            <w:pPr>
              <w:pStyle w:val="TableTextRight"/>
            </w:pPr>
            <w:r>
              <w:rPr>
                <w:rFonts w:cs="Calibri"/>
              </w:rPr>
              <w:t>43.9</w:t>
            </w:r>
          </w:p>
        </w:tc>
        <w:tc>
          <w:tcPr>
            <w:tcW w:w="0" w:type="dxa"/>
            <w:tcBorders>
              <w:top w:val="nil"/>
              <w:left w:val="nil"/>
              <w:bottom w:val="nil"/>
              <w:right w:val="single" w:sz="4" w:space="0" w:color="auto"/>
            </w:tcBorders>
            <w:vAlign w:val="center"/>
          </w:tcPr>
          <w:p w14:paraId="758CEDE7" w14:textId="707B410B" w:rsidR="00C96BE9" w:rsidRPr="00110162" w:rsidRDefault="00EB6320" w:rsidP="004C79D2">
            <w:pPr>
              <w:pStyle w:val="TableTextRight"/>
            </w:pPr>
            <w:r>
              <w:rPr>
                <w:rFonts w:cs="Calibri"/>
              </w:rPr>
              <w:t>44.4</w:t>
            </w:r>
          </w:p>
        </w:tc>
        <w:tc>
          <w:tcPr>
            <w:tcW w:w="0" w:type="dxa"/>
            <w:tcBorders>
              <w:top w:val="nil"/>
              <w:left w:val="single" w:sz="4" w:space="0" w:color="auto"/>
              <w:bottom w:val="nil"/>
              <w:right w:val="nil"/>
            </w:tcBorders>
            <w:vAlign w:val="center"/>
          </w:tcPr>
          <w:p w14:paraId="3A8FBAB8" w14:textId="437B43B9" w:rsidR="00C96BE9" w:rsidRPr="00110162" w:rsidRDefault="00EB6320" w:rsidP="004C79D2">
            <w:pPr>
              <w:pStyle w:val="TableTextRight"/>
            </w:pPr>
            <w:r>
              <w:rPr>
                <w:rFonts w:cs="Calibri"/>
              </w:rPr>
              <w:t>39.3</w:t>
            </w:r>
          </w:p>
        </w:tc>
      </w:tr>
      <w:tr w:rsidR="00F67DB6" w:rsidRPr="0080495D" w14:paraId="092D636F" w14:textId="77777777" w:rsidTr="004C79D2">
        <w:trPr>
          <w:trHeight w:val="170"/>
        </w:trPr>
        <w:tc>
          <w:tcPr>
            <w:tcW w:w="0" w:type="dxa"/>
          </w:tcPr>
          <w:p w14:paraId="5334F1D6" w14:textId="77777777" w:rsidR="00C96BE9" w:rsidRPr="003164CA" w:rsidRDefault="00C96BE9" w:rsidP="004C79D2">
            <w:pPr>
              <w:pStyle w:val="Tabletextleftindent"/>
              <w:rPr>
                <w:b/>
              </w:rPr>
            </w:pPr>
            <w:r w:rsidRPr="003164CA">
              <w:t xml:space="preserve">Greater Sydney </w:t>
            </w:r>
          </w:p>
        </w:tc>
        <w:tc>
          <w:tcPr>
            <w:tcW w:w="0" w:type="dxa"/>
            <w:tcBorders>
              <w:top w:val="nil"/>
              <w:left w:val="nil"/>
              <w:bottom w:val="nil"/>
              <w:right w:val="nil"/>
            </w:tcBorders>
            <w:vAlign w:val="center"/>
          </w:tcPr>
          <w:p w14:paraId="312E7AD5" w14:textId="4B749319" w:rsidR="00C96BE9" w:rsidRPr="00110162" w:rsidRDefault="007C290E" w:rsidP="004C79D2">
            <w:pPr>
              <w:pStyle w:val="TableTextRight"/>
            </w:pPr>
            <w:r w:rsidRPr="003164CA">
              <w:t>34.2</w:t>
            </w:r>
          </w:p>
        </w:tc>
        <w:tc>
          <w:tcPr>
            <w:tcW w:w="0" w:type="dxa"/>
            <w:tcBorders>
              <w:top w:val="nil"/>
              <w:left w:val="nil"/>
              <w:bottom w:val="nil"/>
              <w:right w:val="nil"/>
            </w:tcBorders>
            <w:shd w:val="clear" w:color="auto" w:fill="D2EDFF" w:themeFill="accent1" w:themeFillTint="1A"/>
            <w:vAlign w:val="center"/>
          </w:tcPr>
          <w:p w14:paraId="5F2AF9EB" w14:textId="523BF31C" w:rsidR="00C96BE9" w:rsidRPr="00110162" w:rsidRDefault="007C290E" w:rsidP="004C79D2">
            <w:pPr>
              <w:pStyle w:val="TableTextRight"/>
            </w:pPr>
            <w:r w:rsidRPr="003164CA">
              <w:t>35.8</w:t>
            </w:r>
          </w:p>
        </w:tc>
        <w:tc>
          <w:tcPr>
            <w:tcW w:w="0" w:type="dxa"/>
            <w:tcBorders>
              <w:top w:val="nil"/>
              <w:left w:val="nil"/>
              <w:bottom w:val="nil"/>
              <w:right w:val="nil"/>
            </w:tcBorders>
            <w:vAlign w:val="center"/>
          </w:tcPr>
          <w:p w14:paraId="0EC2A396" w14:textId="6AE1EC71" w:rsidR="00C96BE9" w:rsidRPr="00110162" w:rsidRDefault="007C290E" w:rsidP="004C79D2">
            <w:pPr>
              <w:pStyle w:val="TableTextRight"/>
            </w:pPr>
            <w:r w:rsidRPr="003164CA">
              <w:t>38.</w:t>
            </w:r>
            <w:r w:rsidR="00EB6320">
              <w:rPr>
                <w:rFonts w:cs="Calibri"/>
              </w:rPr>
              <w:t>4</w:t>
            </w:r>
          </w:p>
        </w:tc>
        <w:tc>
          <w:tcPr>
            <w:tcW w:w="0" w:type="dxa"/>
            <w:tcBorders>
              <w:top w:val="nil"/>
              <w:left w:val="nil"/>
              <w:bottom w:val="nil"/>
              <w:right w:val="nil"/>
            </w:tcBorders>
            <w:vAlign w:val="center"/>
          </w:tcPr>
          <w:p w14:paraId="5C0A6498" w14:textId="78389BE4" w:rsidR="00C96BE9" w:rsidRPr="00110162" w:rsidRDefault="007C290E" w:rsidP="004C79D2">
            <w:pPr>
              <w:pStyle w:val="TableTextRight"/>
            </w:pPr>
            <w:r w:rsidRPr="003164CA">
              <w:t>40.</w:t>
            </w:r>
            <w:r w:rsidR="00EB6320">
              <w:rPr>
                <w:rFonts w:cs="Calibri"/>
              </w:rPr>
              <w:t>0</w:t>
            </w:r>
          </w:p>
        </w:tc>
        <w:tc>
          <w:tcPr>
            <w:tcW w:w="0" w:type="dxa"/>
            <w:tcBorders>
              <w:top w:val="nil"/>
              <w:left w:val="nil"/>
              <w:bottom w:val="nil"/>
              <w:right w:val="single" w:sz="4" w:space="0" w:color="auto"/>
            </w:tcBorders>
            <w:vAlign w:val="center"/>
          </w:tcPr>
          <w:p w14:paraId="15C1F06A" w14:textId="2EC168F3" w:rsidR="00C96BE9" w:rsidRPr="00110162" w:rsidRDefault="00EB6320" w:rsidP="004C79D2">
            <w:pPr>
              <w:pStyle w:val="TableTextRight"/>
            </w:pPr>
            <w:r>
              <w:rPr>
                <w:rFonts w:cs="Calibri"/>
              </w:rPr>
              <w:t>40.6</w:t>
            </w:r>
          </w:p>
        </w:tc>
        <w:tc>
          <w:tcPr>
            <w:tcW w:w="0" w:type="dxa"/>
            <w:tcBorders>
              <w:top w:val="nil"/>
              <w:left w:val="single" w:sz="4" w:space="0" w:color="auto"/>
              <w:bottom w:val="nil"/>
              <w:right w:val="nil"/>
            </w:tcBorders>
            <w:vAlign w:val="center"/>
          </w:tcPr>
          <w:p w14:paraId="4C30DA24" w14:textId="4CE3F424" w:rsidR="00C96BE9" w:rsidRPr="00110162" w:rsidRDefault="00EB6320" w:rsidP="004C79D2">
            <w:pPr>
              <w:pStyle w:val="TableTextRight"/>
            </w:pPr>
            <w:r>
              <w:rPr>
                <w:rFonts w:cs="Calibri"/>
              </w:rPr>
              <w:t>40.6</w:t>
            </w:r>
          </w:p>
        </w:tc>
      </w:tr>
      <w:tr w:rsidR="00F67DB6" w:rsidRPr="0080495D" w14:paraId="20467C9C" w14:textId="77777777" w:rsidTr="004C79D2">
        <w:trPr>
          <w:trHeight w:val="170"/>
        </w:trPr>
        <w:tc>
          <w:tcPr>
            <w:tcW w:w="0" w:type="dxa"/>
          </w:tcPr>
          <w:p w14:paraId="2D4C5053" w14:textId="77777777" w:rsidR="00C96BE9" w:rsidRPr="003164CA" w:rsidRDefault="00C96BE9" w:rsidP="004C79D2">
            <w:pPr>
              <w:pStyle w:val="Tabletextleftindent"/>
              <w:rPr>
                <w:b/>
              </w:rPr>
            </w:pPr>
            <w:r w:rsidRPr="003164CA">
              <w:t>Rest of New South Wales</w:t>
            </w:r>
          </w:p>
        </w:tc>
        <w:tc>
          <w:tcPr>
            <w:tcW w:w="0" w:type="dxa"/>
            <w:tcBorders>
              <w:top w:val="nil"/>
              <w:left w:val="nil"/>
              <w:bottom w:val="nil"/>
              <w:right w:val="nil"/>
            </w:tcBorders>
            <w:vAlign w:val="center"/>
          </w:tcPr>
          <w:p w14:paraId="63B24010" w14:textId="10F2817E" w:rsidR="00C96BE9" w:rsidRPr="00110162" w:rsidRDefault="007C290E" w:rsidP="004C79D2">
            <w:pPr>
              <w:pStyle w:val="TableTextRight"/>
            </w:pPr>
            <w:r w:rsidRPr="003164CA">
              <w:t>6.2</w:t>
            </w:r>
          </w:p>
        </w:tc>
        <w:tc>
          <w:tcPr>
            <w:tcW w:w="0" w:type="dxa"/>
            <w:tcBorders>
              <w:top w:val="nil"/>
              <w:left w:val="nil"/>
              <w:bottom w:val="nil"/>
              <w:right w:val="nil"/>
            </w:tcBorders>
            <w:shd w:val="clear" w:color="auto" w:fill="D2EDFF" w:themeFill="accent1" w:themeFillTint="1A"/>
            <w:vAlign w:val="center"/>
          </w:tcPr>
          <w:p w14:paraId="4850A3B1" w14:textId="425E6BE1" w:rsidR="00C96BE9" w:rsidRPr="00110162" w:rsidRDefault="007C290E" w:rsidP="004C79D2">
            <w:pPr>
              <w:pStyle w:val="TableTextRight"/>
            </w:pPr>
            <w:r w:rsidRPr="003164CA">
              <w:t>2.3</w:t>
            </w:r>
          </w:p>
        </w:tc>
        <w:tc>
          <w:tcPr>
            <w:tcW w:w="0" w:type="dxa"/>
            <w:tcBorders>
              <w:top w:val="nil"/>
              <w:left w:val="nil"/>
              <w:bottom w:val="nil"/>
              <w:right w:val="nil"/>
            </w:tcBorders>
            <w:vAlign w:val="center"/>
          </w:tcPr>
          <w:p w14:paraId="58A49D22" w14:textId="6019D5F4" w:rsidR="00C96BE9" w:rsidRPr="00110162" w:rsidRDefault="007C290E" w:rsidP="004C79D2">
            <w:pPr>
              <w:pStyle w:val="TableTextRight"/>
            </w:pPr>
            <w:r w:rsidRPr="003164CA">
              <w:t>3.</w:t>
            </w:r>
            <w:r w:rsidR="00EB6320">
              <w:rPr>
                <w:rFonts w:cs="Calibri"/>
              </w:rPr>
              <w:t>3</w:t>
            </w:r>
          </w:p>
        </w:tc>
        <w:tc>
          <w:tcPr>
            <w:tcW w:w="0" w:type="dxa"/>
            <w:tcBorders>
              <w:top w:val="nil"/>
              <w:left w:val="nil"/>
              <w:bottom w:val="nil"/>
              <w:right w:val="nil"/>
            </w:tcBorders>
            <w:vAlign w:val="center"/>
          </w:tcPr>
          <w:p w14:paraId="3E2D0768" w14:textId="5A31D96A" w:rsidR="00C96BE9" w:rsidRPr="00110162" w:rsidRDefault="00EB6320" w:rsidP="004C79D2">
            <w:pPr>
              <w:pStyle w:val="TableTextRight"/>
            </w:pPr>
            <w:r>
              <w:rPr>
                <w:rFonts w:cs="Calibri"/>
              </w:rPr>
              <w:t>3.9</w:t>
            </w:r>
          </w:p>
        </w:tc>
        <w:tc>
          <w:tcPr>
            <w:tcW w:w="0" w:type="dxa"/>
            <w:tcBorders>
              <w:top w:val="nil"/>
              <w:left w:val="nil"/>
              <w:bottom w:val="nil"/>
              <w:right w:val="single" w:sz="4" w:space="0" w:color="auto"/>
            </w:tcBorders>
            <w:vAlign w:val="center"/>
          </w:tcPr>
          <w:p w14:paraId="6081E364" w14:textId="456EA74D" w:rsidR="00C96BE9" w:rsidRPr="00110162" w:rsidRDefault="007C290E" w:rsidP="004C79D2">
            <w:pPr>
              <w:pStyle w:val="TableTextRight"/>
            </w:pPr>
            <w:r w:rsidRPr="003164CA">
              <w:t>3.</w:t>
            </w:r>
            <w:r w:rsidR="00EB6320">
              <w:rPr>
                <w:rFonts w:cs="Calibri"/>
              </w:rPr>
              <w:t>8</w:t>
            </w:r>
          </w:p>
        </w:tc>
        <w:tc>
          <w:tcPr>
            <w:tcW w:w="0" w:type="dxa"/>
            <w:tcBorders>
              <w:top w:val="nil"/>
              <w:left w:val="single" w:sz="4" w:space="0" w:color="auto"/>
              <w:bottom w:val="nil"/>
              <w:right w:val="nil"/>
            </w:tcBorders>
            <w:vAlign w:val="center"/>
          </w:tcPr>
          <w:p w14:paraId="71FD5F86" w14:textId="5FF192B7" w:rsidR="00C96BE9" w:rsidRPr="00110162" w:rsidRDefault="00EB6320" w:rsidP="004C79D2">
            <w:pPr>
              <w:pStyle w:val="TableTextRight"/>
            </w:pPr>
            <w:r>
              <w:rPr>
                <w:rFonts w:cs="Calibri"/>
              </w:rPr>
              <w:t>-</w:t>
            </w:r>
            <w:r w:rsidR="007C290E" w:rsidRPr="003164CA">
              <w:t>1.</w:t>
            </w:r>
            <w:r>
              <w:rPr>
                <w:rFonts w:cs="Calibri"/>
              </w:rPr>
              <w:t>4</w:t>
            </w:r>
          </w:p>
        </w:tc>
      </w:tr>
      <w:tr w:rsidR="00F67DB6" w:rsidRPr="0080495D" w14:paraId="1D21E826" w14:textId="77777777" w:rsidTr="004C79D2">
        <w:trPr>
          <w:trHeight w:val="170"/>
        </w:trPr>
        <w:tc>
          <w:tcPr>
            <w:tcW w:w="0" w:type="dxa"/>
          </w:tcPr>
          <w:p w14:paraId="4B2739EC" w14:textId="66867747" w:rsidR="00C96BE9" w:rsidRPr="003164CA" w:rsidRDefault="00C96BE9" w:rsidP="004C79D2">
            <w:pPr>
              <w:pStyle w:val="TableColumnHeadingLeft"/>
            </w:pPr>
            <w:r w:rsidRPr="003164CA">
              <w:t>Net overseas migration (</w:t>
            </w:r>
            <w:r w:rsidR="004B14AB" w:rsidRPr="003164CA">
              <w:t>‘</w:t>
            </w:r>
            <w:r w:rsidRPr="003164CA">
              <w:t>000)</w:t>
            </w:r>
          </w:p>
        </w:tc>
        <w:tc>
          <w:tcPr>
            <w:tcW w:w="0" w:type="dxa"/>
            <w:tcBorders>
              <w:top w:val="nil"/>
              <w:left w:val="nil"/>
              <w:bottom w:val="nil"/>
              <w:right w:val="nil"/>
            </w:tcBorders>
            <w:vAlign w:val="center"/>
          </w:tcPr>
          <w:p w14:paraId="3AE5F6FD" w14:textId="77777777" w:rsidR="00C96BE9" w:rsidRPr="00110162" w:rsidRDefault="00C96BE9" w:rsidP="004C79D2">
            <w:pPr>
              <w:pStyle w:val="TableTextRight"/>
            </w:pPr>
          </w:p>
        </w:tc>
        <w:tc>
          <w:tcPr>
            <w:tcW w:w="0" w:type="dxa"/>
            <w:tcBorders>
              <w:top w:val="nil"/>
              <w:left w:val="nil"/>
              <w:bottom w:val="nil"/>
              <w:right w:val="nil"/>
            </w:tcBorders>
            <w:shd w:val="clear" w:color="auto" w:fill="D2EDFF" w:themeFill="accent1" w:themeFillTint="1A"/>
            <w:vAlign w:val="center"/>
          </w:tcPr>
          <w:p w14:paraId="2341231A" w14:textId="083E835C" w:rsidR="00C96BE9" w:rsidRPr="00110162" w:rsidRDefault="007C290E" w:rsidP="004C79D2">
            <w:pPr>
              <w:pStyle w:val="TableTextRight"/>
            </w:pPr>
            <w:r w:rsidRPr="003164CA">
              <w:t> </w:t>
            </w:r>
          </w:p>
        </w:tc>
        <w:tc>
          <w:tcPr>
            <w:tcW w:w="0" w:type="dxa"/>
            <w:tcBorders>
              <w:top w:val="nil"/>
              <w:left w:val="nil"/>
              <w:bottom w:val="nil"/>
              <w:right w:val="nil"/>
            </w:tcBorders>
            <w:vAlign w:val="center"/>
          </w:tcPr>
          <w:p w14:paraId="14EC5219" w14:textId="77777777" w:rsidR="00C96BE9" w:rsidRPr="00110162" w:rsidRDefault="00C96BE9" w:rsidP="004C79D2">
            <w:pPr>
              <w:pStyle w:val="TableTextRight"/>
            </w:pPr>
          </w:p>
        </w:tc>
        <w:tc>
          <w:tcPr>
            <w:tcW w:w="0" w:type="dxa"/>
            <w:tcBorders>
              <w:top w:val="nil"/>
              <w:left w:val="nil"/>
              <w:bottom w:val="nil"/>
              <w:right w:val="nil"/>
            </w:tcBorders>
            <w:vAlign w:val="center"/>
          </w:tcPr>
          <w:p w14:paraId="49163EA8" w14:textId="77777777" w:rsidR="00C96BE9" w:rsidRPr="00110162" w:rsidRDefault="00C96BE9" w:rsidP="004C79D2">
            <w:pPr>
              <w:pStyle w:val="TableTextRight"/>
            </w:pPr>
          </w:p>
        </w:tc>
        <w:tc>
          <w:tcPr>
            <w:tcW w:w="0" w:type="dxa"/>
            <w:tcBorders>
              <w:top w:val="nil"/>
              <w:left w:val="nil"/>
              <w:bottom w:val="nil"/>
              <w:right w:val="single" w:sz="4" w:space="0" w:color="auto"/>
            </w:tcBorders>
            <w:vAlign w:val="center"/>
          </w:tcPr>
          <w:p w14:paraId="756E87FF" w14:textId="6142231B" w:rsidR="00C96BE9" w:rsidRPr="00110162" w:rsidRDefault="007C290E" w:rsidP="004C79D2">
            <w:pPr>
              <w:pStyle w:val="TableTextRight"/>
            </w:pPr>
            <w:r w:rsidRPr="003164CA">
              <w:t> </w:t>
            </w:r>
          </w:p>
        </w:tc>
        <w:tc>
          <w:tcPr>
            <w:tcW w:w="0" w:type="dxa"/>
            <w:tcBorders>
              <w:top w:val="nil"/>
              <w:left w:val="single" w:sz="4" w:space="0" w:color="auto"/>
              <w:bottom w:val="nil"/>
              <w:right w:val="nil"/>
            </w:tcBorders>
            <w:vAlign w:val="center"/>
          </w:tcPr>
          <w:p w14:paraId="2C644117" w14:textId="77777777" w:rsidR="00C96BE9" w:rsidRPr="00110162" w:rsidRDefault="00C96BE9" w:rsidP="004C79D2">
            <w:pPr>
              <w:pStyle w:val="TableTextRight"/>
            </w:pPr>
          </w:p>
        </w:tc>
      </w:tr>
      <w:tr w:rsidR="00F67DB6" w:rsidRPr="0080495D" w14:paraId="2870EB93" w14:textId="77777777" w:rsidTr="004C79D2">
        <w:trPr>
          <w:trHeight w:val="170"/>
        </w:trPr>
        <w:tc>
          <w:tcPr>
            <w:tcW w:w="0" w:type="dxa"/>
          </w:tcPr>
          <w:p w14:paraId="38D3B6A6" w14:textId="77777777" w:rsidR="00C96BE9" w:rsidRPr="003164CA" w:rsidRDefault="00C96BE9" w:rsidP="004C79D2">
            <w:pPr>
              <w:pStyle w:val="TableTextLeft"/>
              <w:rPr>
                <w:b/>
              </w:rPr>
            </w:pPr>
            <w:r w:rsidRPr="003164CA">
              <w:t>New South Wales</w:t>
            </w:r>
          </w:p>
        </w:tc>
        <w:tc>
          <w:tcPr>
            <w:tcW w:w="0" w:type="dxa"/>
            <w:tcBorders>
              <w:top w:val="nil"/>
              <w:left w:val="nil"/>
              <w:bottom w:val="nil"/>
              <w:right w:val="nil"/>
            </w:tcBorders>
            <w:vAlign w:val="center"/>
          </w:tcPr>
          <w:p w14:paraId="2D12C4AA" w14:textId="4149B5F9" w:rsidR="00C96BE9" w:rsidRPr="00110162" w:rsidRDefault="007C290E" w:rsidP="004C79D2">
            <w:pPr>
              <w:pStyle w:val="TableTextRight"/>
            </w:pPr>
            <w:r w:rsidRPr="003164CA">
              <w:t>68.9</w:t>
            </w:r>
          </w:p>
        </w:tc>
        <w:tc>
          <w:tcPr>
            <w:tcW w:w="0" w:type="dxa"/>
            <w:tcBorders>
              <w:top w:val="nil"/>
              <w:left w:val="nil"/>
              <w:bottom w:val="nil"/>
              <w:right w:val="nil"/>
            </w:tcBorders>
            <w:shd w:val="clear" w:color="auto" w:fill="D2EDFF" w:themeFill="accent1" w:themeFillTint="1A"/>
            <w:vAlign w:val="center"/>
          </w:tcPr>
          <w:p w14:paraId="440F76BD" w14:textId="43D6F244" w:rsidR="00C96BE9" w:rsidRPr="00110162" w:rsidRDefault="007C290E" w:rsidP="004C79D2">
            <w:pPr>
              <w:pStyle w:val="TableTextRight"/>
            </w:pPr>
            <w:r w:rsidRPr="003164CA">
              <w:t>172.5</w:t>
            </w:r>
          </w:p>
        </w:tc>
        <w:tc>
          <w:tcPr>
            <w:tcW w:w="0" w:type="dxa"/>
            <w:tcBorders>
              <w:top w:val="nil"/>
              <w:left w:val="nil"/>
              <w:bottom w:val="nil"/>
              <w:right w:val="nil"/>
            </w:tcBorders>
            <w:vAlign w:val="center"/>
          </w:tcPr>
          <w:p w14:paraId="204B075B" w14:textId="519665C0" w:rsidR="00C96BE9" w:rsidRPr="00110162" w:rsidRDefault="00EB6320" w:rsidP="004C79D2">
            <w:pPr>
              <w:pStyle w:val="TableTextRight"/>
            </w:pPr>
            <w:r>
              <w:rPr>
                <w:rFonts w:cs="Calibri"/>
              </w:rPr>
              <w:t>124</w:t>
            </w:r>
            <w:r w:rsidR="007C290E" w:rsidRPr="003164CA">
              <w:t>.0</w:t>
            </w:r>
          </w:p>
        </w:tc>
        <w:tc>
          <w:tcPr>
            <w:tcW w:w="0" w:type="dxa"/>
            <w:tcBorders>
              <w:top w:val="nil"/>
              <w:left w:val="nil"/>
              <w:bottom w:val="nil"/>
              <w:right w:val="nil"/>
            </w:tcBorders>
            <w:vAlign w:val="center"/>
          </w:tcPr>
          <w:p w14:paraId="7965E79A" w14:textId="11CA467A" w:rsidR="00C96BE9" w:rsidRPr="00110162" w:rsidRDefault="00EB6320" w:rsidP="004C79D2">
            <w:pPr>
              <w:pStyle w:val="TableTextRight"/>
            </w:pPr>
            <w:r>
              <w:rPr>
                <w:rFonts w:cs="Calibri"/>
              </w:rPr>
              <w:t>80.0</w:t>
            </w:r>
          </w:p>
        </w:tc>
        <w:tc>
          <w:tcPr>
            <w:tcW w:w="0" w:type="dxa"/>
            <w:tcBorders>
              <w:top w:val="nil"/>
              <w:left w:val="nil"/>
              <w:bottom w:val="nil"/>
              <w:right w:val="single" w:sz="4" w:space="0" w:color="auto"/>
            </w:tcBorders>
            <w:vAlign w:val="center"/>
          </w:tcPr>
          <w:p w14:paraId="5572EBF7" w14:textId="17FE73FD" w:rsidR="00C96BE9" w:rsidRPr="00110162" w:rsidRDefault="00EB6320" w:rsidP="004C79D2">
            <w:pPr>
              <w:pStyle w:val="TableTextRight"/>
            </w:pPr>
            <w:r>
              <w:rPr>
                <w:rFonts w:cs="Calibri"/>
              </w:rPr>
              <w:t>82.9</w:t>
            </w:r>
          </w:p>
        </w:tc>
        <w:tc>
          <w:tcPr>
            <w:tcW w:w="0" w:type="dxa"/>
            <w:tcBorders>
              <w:top w:val="nil"/>
              <w:left w:val="single" w:sz="4" w:space="0" w:color="auto"/>
              <w:bottom w:val="nil"/>
              <w:right w:val="nil"/>
            </w:tcBorders>
            <w:vAlign w:val="center"/>
          </w:tcPr>
          <w:p w14:paraId="34D347A9" w14:textId="17B47732" w:rsidR="00C96BE9" w:rsidRPr="00110162" w:rsidRDefault="00EB6320" w:rsidP="004C79D2">
            <w:pPr>
              <w:pStyle w:val="TableTextRight"/>
            </w:pPr>
            <w:r>
              <w:rPr>
                <w:rFonts w:cs="Calibri"/>
              </w:rPr>
              <w:t>74</w:t>
            </w:r>
            <w:r w:rsidR="007C290E" w:rsidRPr="003164CA">
              <w:t>.8</w:t>
            </w:r>
          </w:p>
        </w:tc>
      </w:tr>
      <w:tr w:rsidR="00F67DB6" w:rsidRPr="0080495D" w14:paraId="185B182A" w14:textId="77777777" w:rsidTr="004C79D2">
        <w:trPr>
          <w:trHeight w:val="170"/>
        </w:trPr>
        <w:tc>
          <w:tcPr>
            <w:tcW w:w="0" w:type="dxa"/>
          </w:tcPr>
          <w:p w14:paraId="0F0A1D54" w14:textId="77777777" w:rsidR="00C96BE9" w:rsidRPr="003164CA" w:rsidRDefault="00C96BE9" w:rsidP="004C79D2">
            <w:pPr>
              <w:pStyle w:val="Tabletextleftindent"/>
              <w:rPr>
                <w:b/>
              </w:rPr>
            </w:pPr>
            <w:r w:rsidRPr="003164CA">
              <w:t xml:space="preserve">Greater Sydney </w:t>
            </w:r>
          </w:p>
        </w:tc>
        <w:tc>
          <w:tcPr>
            <w:tcW w:w="0" w:type="dxa"/>
            <w:tcBorders>
              <w:top w:val="nil"/>
              <w:left w:val="nil"/>
              <w:bottom w:val="nil"/>
              <w:right w:val="nil"/>
            </w:tcBorders>
            <w:vAlign w:val="center"/>
          </w:tcPr>
          <w:p w14:paraId="1213D877" w14:textId="06EDE8AB" w:rsidR="00C96BE9" w:rsidRPr="00110162" w:rsidRDefault="007C290E" w:rsidP="004C79D2">
            <w:pPr>
              <w:pStyle w:val="TableTextRight"/>
            </w:pPr>
            <w:r w:rsidRPr="003164CA">
              <w:t>56.6</w:t>
            </w:r>
          </w:p>
        </w:tc>
        <w:tc>
          <w:tcPr>
            <w:tcW w:w="0" w:type="dxa"/>
            <w:tcBorders>
              <w:top w:val="nil"/>
              <w:left w:val="nil"/>
              <w:bottom w:val="nil"/>
              <w:right w:val="nil"/>
            </w:tcBorders>
            <w:shd w:val="clear" w:color="auto" w:fill="D2EDFF" w:themeFill="accent1" w:themeFillTint="1A"/>
            <w:vAlign w:val="center"/>
          </w:tcPr>
          <w:p w14:paraId="1E640282" w14:textId="70039108" w:rsidR="00C96BE9" w:rsidRPr="00110162" w:rsidRDefault="007C290E" w:rsidP="004C79D2">
            <w:pPr>
              <w:pStyle w:val="TableTextRight"/>
            </w:pPr>
            <w:r w:rsidRPr="003164CA">
              <w:t>150.4</w:t>
            </w:r>
          </w:p>
        </w:tc>
        <w:tc>
          <w:tcPr>
            <w:tcW w:w="0" w:type="dxa"/>
            <w:tcBorders>
              <w:top w:val="nil"/>
              <w:left w:val="nil"/>
              <w:bottom w:val="nil"/>
              <w:right w:val="nil"/>
            </w:tcBorders>
            <w:vAlign w:val="center"/>
          </w:tcPr>
          <w:p w14:paraId="7DC0EE52" w14:textId="014D7B2E" w:rsidR="00C96BE9" w:rsidRPr="00110162" w:rsidRDefault="00EB6320" w:rsidP="004C79D2">
            <w:pPr>
              <w:pStyle w:val="TableTextRight"/>
            </w:pPr>
            <w:r>
              <w:rPr>
                <w:rFonts w:cs="Calibri"/>
              </w:rPr>
              <w:t>107.1</w:t>
            </w:r>
          </w:p>
        </w:tc>
        <w:tc>
          <w:tcPr>
            <w:tcW w:w="0" w:type="dxa"/>
            <w:tcBorders>
              <w:top w:val="nil"/>
              <w:left w:val="nil"/>
              <w:bottom w:val="nil"/>
              <w:right w:val="nil"/>
            </w:tcBorders>
            <w:vAlign w:val="center"/>
          </w:tcPr>
          <w:p w14:paraId="6D83A95C" w14:textId="147B482A" w:rsidR="00C96BE9" w:rsidRPr="00110162" w:rsidRDefault="00EB6320" w:rsidP="004C79D2">
            <w:pPr>
              <w:pStyle w:val="TableTextRight"/>
            </w:pPr>
            <w:r>
              <w:rPr>
                <w:rFonts w:cs="Calibri"/>
              </w:rPr>
              <w:t>67.9</w:t>
            </w:r>
          </w:p>
        </w:tc>
        <w:tc>
          <w:tcPr>
            <w:tcW w:w="0" w:type="dxa"/>
            <w:tcBorders>
              <w:top w:val="nil"/>
              <w:left w:val="nil"/>
              <w:bottom w:val="nil"/>
              <w:right w:val="single" w:sz="4" w:space="0" w:color="auto"/>
            </w:tcBorders>
            <w:vAlign w:val="center"/>
          </w:tcPr>
          <w:p w14:paraId="6F052C13" w14:textId="588C2C6E" w:rsidR="00C96BE9" w:rsidRPr="00110162" w:rsidRDefault="00EB6320" w:rsidP="004C79D2">
            <w:pPr>
              <w:pStyle w:val="TableTextRight"/>
            </w:pPr>
            <w:r>
              <w:rPr>
                <w:rFonts w:cs="Calibri"/>
              </w:rPr>
              <w:t>70</w:t>
            </w:r>
            <w:r w:rsidR="007C290E" w:rsidRPr="003164CA">
              <w:t>.5</w:t>
            </w:r>
          </w:p>
        </w:tc>
        <w:tc>
          <w:tcPr>
            <w:tcW w:w="0" w:type="dxa"/>
            <w:tcBorders>
              <w:top w:val="nil"/>
              <w:left w:val="single" w:sz="4" w:space="0" w:color="auto"/>
              <w:bottom w:val="nil"/>
              <w:right w:val="nil"/>
            </w:tcBorders>
            <w:vAlign w:val="center"/>
          </w:tcPr>
          <w:p w14:paraId="3478C645" w14:textId="3502F692" w:rsidR="00C96BE9" w:rsidRPr="00110162" w:rsidRDefault="00E06C28" w:rsidP="004C79D2">
            <w:pPr>
              <w:pStyle w:val="TableTextRight"/>
            </w:pPr>
            <w:r w:rsidRPr="00F67DB6">
              <w:t>63.3</w:t>
            </w:r>
          </w:p>
        </w:tc>
      </w:tr>
      <w:tr w:rsidR="00F67DB6" w:rsidRPr="0080495D" w14:paraId="2FD26D6F" w14:textId="77777777" w:rsidTr="004C79D2">
        <w:trPr>
          <w:trHeight w:val="170"/>
        </w:trPr>
        <w:tc>
          <w:tcPr>
            <w:tcW w:w="0" w:type="dxa"/>
          </w:tcPr>
          <w:p w14:paraId="79BAC797" w14:textId="100D861D" w:rsidR="00C96BE9" w:rsidRPr="003164CA" w:rsidRDefault="00C96BE9" w:rsidP="004C79D2">
            <w:pPr>
              <w:pStyle w:val="Tabletextleftindent"/>
              <w:rPr>
                <w:b/>
              </w:rPr>
            </w:pPr>
            <w:r w:rsidRPr="003164CA">
              <w:t>Rest</w:t>
            </w:r>
            <w:r w:rsidR="00B0567B">
              <w:t> </w:t>
            </w:r>
            <w:r w:rsidRPr="003164CA">
              <w:t>of</w:t>
            </w:r>
            <w:r w:rsidR="00B0567B">
              <w:t> </w:t>
            </w:r>
            <w:r w:rsidRPr="003164CA">
              <w:t>New</w:t>
            </w:r>
            <w:r w:rsidR="00B0567B">
              <w:t> </w:t>
            </w:r>
            <w:r w:rsidRPr="003164CA">
              <w:t>South</w:t>
            </w:r>
            <w:r w:rsidR="00B0567B">
              <w:t> </w:t>
            </w:r>
            <w:r w:rsidRPr="003164CA">
              <w:t>Wales</w:t>
            </w:r>
          </w:p>
        </w:tc>
        <w:tc>
          <w:tcPr>
            <w:tcW w:w="0" w:type="dxa"/>
            <w:tcBorders>
              <w:top w:val="nil"/>
              <w:left w:val="nil"/>
              <w:bottom w:val="nil"/>
              <w:right w:val="nil"/>
            </w:tcBorders>
            <w:vAlign w:val="center"/>
          </w:tcPr>
          <w:p w14:paraId="0D87DEE0" w14:textId="74EED41E" w:rsidR="00C96BE9" w:rsidRPr="00110162" w:rsidRDefault="007C290E" w:rsidP="004C79D2">
            <w:pPr>
              <w:pStyle w:val="TableTextRight"/>
            </w:pPr>
            <w:r w:rsidRPr="003164CA">
              <w:t>11.1</w:t>
            </w:r>
          </w:p>
        </w:tc>
        <w:tc>
          <w:tcPr>
            <w:tcW w:w="0" w:type="dxa"/>
            <w:tcBorders>
              <w:top w:val="nil"/>
              <w:left w:val="nil"/>
              <w:bottom w:val="nil"/>
              <w:right w:val="nil"/>
            </w:tcBorders>
            <w:shd w:val="clear" w:color="auto" w:fill="D2EDFF" w:themeFill="accent1" w:themeFillTint="1A"/>
            <w:vAlign w:val="center"/>
          </w:tcPr>
          <w:p w14:paraId="307DE3F5" w14:textId="094C6BA7" w:rsidR="00C96BE9" w:rsidRPr="00110162" w:rsidRDefault="007C290E" w:rsidP="004C79D2">
            <w:pPr>
              <w:pStyle w:val="TableTextRight"/>
            </w:pPr>
            <w:r w:rsidRPr="003164CA">
              <w:t>22.1</w:t>
            </w:r>
          </w:p>
        </w:tc>
        <w:tc>
          <w:tcPr>
            <w:tcW w:w="0" w:type="dxa"/>
            <w:tcBorders>
              <w:top w:val="nil"/>
              <w:left w:val="nil"/>
              <w:bottom w:val="nil"/>
              <w:right w:val="nil"/>
            </w:tcBorders>
            <w:vAlign w:val="center"/>
          </w:tcPr>
          <w:p w14:paraId="689F0AC3" w14:textId="71DEB67D" w:rsidR="00C96BE9" w:rsidRPr="00110162" w:rsidRDefault="00EB6320" w:rsidP="004C79D2">
            <w:pPr>
              <w:pStyle w:val="TableTextRight"/>
            </w:pPr>
            <w:r>
              <w:rPr>
                <w:rFonts w:cs="Calibri"/>
              </w:rPr>
              <w:t>17.0</w:t>
            </w:r>
          </w:p>
        </w:tc>
        <w:tc>
          <w:tcPr>
            <w:tcW w:w="0" w:type="dxa"/>
            <w:tcBorders>
              <w:top w:val="nil"/>
              <w:left w:val="nil"/>
              <w:bottom w:val="nil"/>
              <w:right w:val="nil"/>
            </w:tcBorders>
            <w:vAlign w:val="center"/>
          </w:tcPr>
          <w:p w14:paraId="386CD619" w14:textId="080BBCD8" w:rsidR="00C96BE9" w:rsidRPr="00110162" w:rsidRDefault="00EB6320" w:rsidP="004C79D2">
            <w:pPr>
              <w:pStyle w:val="TableTextRight"/>
            </w:pPr>
            <w:r>
              <w:rPr>
                <w:rFonts w:cs="Calibri"/>
              </w:rPr>
              <w:t>12.1</w:t>
            </w:r>
          </w:p>
        </w:tc>
        <w:tc>
          <w:tcPr>
            <w:tcW w:w="0" w:type="dxa"/>
            <w:tcBorders>
              <w:top w:val="nil"/>
              <w:left w:val="nil"/>
              <w:bottom w:val="nil"/>
              <w:right w:val="single" w:sz="4" w:space="0" w:color="auto"/>
            </w:tcBorders>
            <w:vAlign w:val="center"/>
          </w:tcPr>
          <w:p w14:paraId="425E4F34" w14:textId="45585F71" w:rsidR="00C96BE9" w:rsidRPr="00110162" w:rsidRDefault="00EB6320" w:rsidP="004C79D2">
            <w:pPr>
              <w:pStyle w:val="TableTextRight"/>
            </w:pPr>
            <w:r>
              <w:rPr>
                <w:rFonts w:cs="Calibri"/>
              </w:rPr>
              <w:t>12.5</w:t>
            </w:r>
          </w:p>
        </w:tc>
        <w:tc>
          <w:tcPr>
            <w:tcW w:w="0" w:type="dxa"/>
            <w:tcBorders>
              <w:top w:val="nil"/>
              <w:left w:val="single" w:sz="4" w:space="0" w:color="auto"/>
              <w:bottom w:val="nil"/>
              <w:right w:val="nil"/>
            </w:tcBorders>
            <w:vAlign w:val="center"/>
          </w:tcPr>
          <w:p w14:paraId="37115ABA" w14:textId="6A525BFF" w:rsidR="00C96BE9" w:rsidRPr="00110162" w:rsidRDefault="007C290E" w:rsidP="004C79D2">
            <w:pPr>
              <w:pStyle w:val="TableTextRight"/>
            </w:pPr>
            <w:r w:rsidRPr="003164CA">
              <w:t>11.</w:t>
            </w:r>
            <w:r w:rsidR="00EB6320">
              <w:rPr>
                <w:rFonts w:cs="Calibri"/>
              </w:rPr>
              <w:t>6</w:t>
            </w:r>
          </w:p>
        </w:tc>
      </w:tr>
      <w:tr w:rsidR="00F67DB6" w:rsidRPr="0080495D" w14:paraId="34A1727E" w14:textId="77777777" w:rsidTr="004C79D2">
        <w:trPr>
          <w:trHeight w:val="170"/>
        </w:trPr>
        <w:tc>
          <w:tcPr>
            <w:tcW w:w="0" w:type="dxa"/>
          </w:tcPr>
          <w:p w14:paraId="36BD0953" w14:textId="7F8FBAAA" w:rsidR="00C96BE9" w:rsidRPr="003164CA" w:rsidRDefault="00C96BE9" w:rsidP="004C79D2">
            <w:pPr>
              <w:pStyle w:val="TableColumnHeadingLeft"/>
            </w:pPr>
            <w:r w:rsidRPr="003164CA">
              <w:t>Net internal migration (</w:t>
            </w:r>
            <w:r w:rsidR="004B14AB" w:rsidRPr="003164CA">
              <w:t>‘</w:t>
            </w:r>
            <w:r w:rsidRPr="003164CA">
              <w:t>000)</w:t>
            </w:r>
          </w:p>
        </w:tc>
        <w:tc>
          <w:tcPr>
            <w:tcW w:w="0" w:type="dxa"/>
            <w:tcBorders>
              <w:top w:val="nil"/>
              <w:left w:val="nil"/>
              <w:bottom w:val="nil"/>
              <w:right w:val="nil"/>
            </w:tcBorders>
            <w:vAlign w:val="center"/>
          </w:tcPr>
          <w:p w14:paraId="0D1B925E" w14:textId="77777777" w:rsidR="00C96BE9" w:rsidRPr="00110162" w:rsidRDefault="00C96BE9" w:rsidP="004C79D2">
            <w:pPr>
              <w:pStyle w:val="TableTextRight"/>
            </w:pPr>
          </w:p>
        </w:tc>
        <w:tc>
          <w:tcPr>
            <w:tcW w:w="0" w:type="dxa"/>
            <w:tcBorders>
              <w:top w:val="nil"/>
              <w:left w:val="nil"/>
              <w:bottom w:val="nil"/>
              <w:right w:val="nil"/>
            </w:tcBorders>
            <w:shd w:val="clear" w:color="auto" w:fill="D2EDFF" w:themeFill="accent1" w:themeFillTint="1A"/>
            <w:vAlign w:val="center"/>
          </w:tcPr>
          <w:p w14:paraId="75CAD21F" w14:textId="675E4D18" w:rsidR="00C96BE9" w:rsidRPr="00110162" w:rsidRDefault="007C290E" w:rsidP="004C79D2">
            <w:pPr>
              <w:pStyle w:val="TableTextRight"/>
            </w:pPr>
            <w:r w:rsidRPr="003164CA">
              <w:t> </w:t>
            </w:r>
          </w:p>
        </w:tc>
        <w:tc>
          <w:tcPr>
            <w:tcW w:w="0" w:type="dxa"/>
            <w:tcBorders>
              <w:top w:val="nil"/>
              <w:left w:val="nil"/>
              <w:bottom w:val="nil"/>
              <w:right w:val="nil"/>
            </w:tcBorders>
            <w:vAlign w:val="center"/>
          </w:tcPr>
          <w:p w14:paraId="00EBF563" w14:textId="77777777" w:rsidR="00C96BE9" w:rsidRPr="00110162" w:rsidRDefault="00C96BE9" w:rsidP="004C79D2">
            <w:pPr>
              <w:pStyle w:val="TableTextRight"/>
            </w:pPr>
          </w:p>
        </w:tc>
        <w:tc>
          <w:tcPr>
            <w:tcW w:w="0" w:type="dxa"/>
            <w:tcBorders>
              <w:top w:val="nil"/>
              <w:left w:val="nil"/>
              <w:bottom w:val="nil"/>
              <w:right w:val="nil"/>
            </w:tcBorders>
            <w:vAlign w:val="center"/>
          </w:tcPr>
          <w:p w14:paraId="77318FD5" w14:textId="77777777" w:rsidR="00C96BE9" w:rsidRPr="00110162" w:rsidRDefault="00C96BE9" w:rsidP="004C79D2">
            <w:pPr>
              <w:pStyle w:val="TableTextRight"/>
            </w:pPr>
          </w:p>
        </w:tc>
        <w:tc>
          <w:tcPr>
            <w:tcW w:w="0" w:type="dxa"/>
            <w:tcBorders>
              <w:top w:val="nil"/>
              <w:left w:val="nil"/>
              <w:bottom w:val="nil"/>
              <w:right w:val="single" w:sz="4" w:space="0" w:color="auto"/>
            </w:tcBorders>
            <w:vAlign w:val="center"/>
          </w:tcPr>
          <w:p w14:paraId="4367D96A" w14:textId="27C08B41" w:rsidR="00C96BE9" w:rsidRPr="00110162" w:rsidRDefault="007C290E" w:rsidP="004C79D2">
            <w:pPr>
              <w:pStyle w:val="TableTextRight"/>
            </w:pPr>
            <w:r w:rsidRPr="003164CA">
              <w:t> </w:t>
            </w:r>
          </w:p>
        </w:tc>
        <w:tc>
          <w:tcPr>
            <w:tcW w:w="0" w:type="dxa"/>
            <w:tcBorders>
              <w:top w:val="nil"/>
              <w:left w:val="single" w:sz="4" w:space="0" w:color="auto"/>
              <w:bottom w:val="nil"/>
              <w:right w:val="nil"/>
            </w:tcBorders>
            <w:vAlign w:val="center"/>
          </w:tcPr>
          <w:p w14:paraId="020C8044" w14:textId="77777777" w:rsidR="00C96BE9" w:rsidRPr="00110162" w:rsidRDefault="00C96BE9" w:rsidP="004C79D2">
            <w:pPr>
              <w:pStyle w:val="TableTextRight"/>
            </w:pPr>
          </w:p>
        </w:tc>
      </w:tr>
      <w:tr w:rsidR="00F67DB6" w:rsidRPr="0080495D" w14:paraId="6141784E" w14:textId="77777777" w:rsidTr="004C79D2">
        <w:trPr>
          <w:trHeight w:val="170"/>
        </w:trPr>
        <w:tc>
          <w:tcPr>
            <w:tcW w:w="0" w:type="dxa"/>
          </w:tcPr>
          <w:p w14:paraId="30B211AF" w14:textId="77777777" w:rsidR="00C96BE9" w:rsidRPr="003164CA" w:rsidRDefault="00C96BE9" w:rsidP="004C79D2">
            <w:pPr>
              <w:pStyle w:val="TableTextLeft"/>
              <w:rPr>
                <w:b/>
              </w:rPr>
            </w:pPr>
            <w:r w:rsidRPr="003164CA">
              <w:t>New South Wales</w:t>
            </w:r>
          </w:p>
        </w:tc>
        <w:tc>
          <w:tcPr>
            <w:tcW w:w="0" w:type="dxa"/>
            <w:tcBorders>
              <w:top w:val="nil"/>
              <w:left w:val="nil"/>
              <w:bottom w:val="nil"/>
              <w:right w:val="nil"/>
            </w:tcBorders>
            <w:vAlign w:val="center"/>
          </w:tcPr>
          <w:p w14:paraId="3A5D431D" w14:textId="74A03FB1" w:rsidR="00C96BE9" w:rsidRPr="00110162" w:rsidRDefault="00EB6320" w:rsidP="004C79D2">
            <w:pPr>
              <w:pStyle w:val="TableTextRight"/>
            </w:pPr>
            <w:r>
              <w:rPr>
                <w:rFonts w:cs="Calibri"/>
              </w:rPr>
              <w:t>-</w:t>
            </w:r>
            <w:r w:rsidR="007C290E" w:rsidRPr="003164CA">
              <w:t>39.3</w:t>
            </w:r>
          </w:p>
        </w:tc>
        <w:tc>
          <w:tcPr>
            <w:tcW w:w="0" w:type="dxa"/>
            <w:tcBorders>
              <w:top w:val="nil"/>
              <w:left w:val="nil"/>
              <w:bottom w:val="nil"/>
              <w:right w:val="nil"/>
            </w:tcBorders>
            <w:shd w:val="clear" w:color="auto" w:fill="D2EDFF" w:themeFill="accent1" w:themeFillTint="1A"/>
            <w:vAlign w:val="center"/>
          </w:tcPr>
          <w:p w14:paraId="26E46F87" w14:textId="42B86562" w:rsidR="00C96BE9" w:rsidRPr="00110162" w:rsidRDefault="00EB6320" w:rsidP="004C79D2">
            <w:pPr>
              <w:pStyle w:val="TableTextRight"/>
            </w:pPr>
            <w:r>
              <w:rPr>
                <w:rFonts w:cs="Calibri"/>
              </w:rPr>
              <w:t>-</w:t>
            </w:r>
            <w:r w:rsidR="007C290E" w:rsidRPr="003164CA">
              <w:t>30.6</w:t>
            </w:r>
          </w:p>
        </w:tc>
        <w:tc>
          <w:tcPr>
            <w:tcW w:w="0" w:type="dxa"/>
            <w:tcBorders>
              <w:top w:val="nil"/>
              <w:left w:val="nil"/>
              <w:bottom w:val="nil"/>
              <w:right w:val="nil"/>
            </w:tcBorders>
            <w:vAlign w:val="center"/>
          </w:tcPr>
          <w:p w14:paraId="2497462B" w14:textId="371632A6" w:rsidR="00C96BE9" w:rsidRPr="00110162" w:rsidRDefault="00EB6320" w:rsidP="004C79D2">
            <w:pPr>
              <w:pStyle w:val="TableTextRight"/>
            </w:pPr>
            <w:r>
              <w:rPr>
                <w:rFonts w:cs="Calibri"/>
              </w:rPr>
              <w:t>-</w:t>
            </w:r>
            <w:r w:rsidR="007C290E" w:rsidRPr="003164CA">
              <w:t>26.9</w:t>
            </w:r>
          </w:p>
        </w:tc>
        <w:tc>
          <w:tcPr>
            <w:tcW w:w="0" w:type="dxa"/>
            <w:tcBorders>
              <w:top w:val="nil"/>
              <w:left w:val="nil"/>
              <w:bottom w:val="nil"/>
              <w:right w:val="nil"/>
            </w:tcBorders>
            <w:vAlign w:val="center"/>
          </w:tcPr>
          <w:p w14:paraId="5A6B94F8" w14:textId="0221D7F9" w:rsidR="00C96BE9" w:rsidRPr="00110162" w:rsidRDefault="00EB6320" w:rsidP="004C79D2">
            <w:pPr>
              <w:pStyle w:val="TableTextRight"/>
            </w:pPr>
            <w:r>
              <w:rPr>
                <w:rFonts w:cs="Calibri"/>
              </w:rPr>
              <w:t>-</w:t>
            </w:r>
            <w:r w:rsidR="007C290E" w:rsidRPr="003164CA">
              <w:t>23.</w:t>
            </w:r>
            <w:r>
              <w:rPr>
                <w:rFonts w:cs="Calibri"/>
              </w:rPr>
              <w:t>1</w:t>
            </w:r>
          </w:p>
        </w:tc>
        <w:tc>
          <w:tcPr>
            <w:tcW w:w="0" w:type="dxa"/>
            <w:tcBorders>
              <w:top w:val="nil"/>
              <w:left w:val="nil"/>
              <w:bottom w:val="nil"/>
              <w:right w:val="single" w:sz="4" w:space="0" w:color="auto"/>
            </w:tcBorders>
            <w:vAlign w:val="center"/>
          </w:tcPr>
          <w:p w14:paraId="6C3ED485" w14:textId="7845FD93" w:rsidR="00C96BE9" w:rsidRPr="00110162" w:rsidRDefault="00EB6320" w:rsidP="004C79D2">
            <w:pPr>
              <w:pStyle w:val="TableTextRight"/>
            </w:pPr>
            <w:r>
              <w:rPr>
                <w:rFonts w:cs="Calibri"/>
              </w:rPr>
              <w:t>-</w:t>
            </w:r>
            <w:r w:rsidR="007C290E" w:rsidRPr="003164CA">
              <w:t>19.</w:t>
            </w:r>
            <w:r>
              <w:rPr>
                <w:rFonts w:cs="Calibri"/>
              </w:rPr>
              <w:t>4</w:t>
            </w:r>
          </w:p>
        </w:tc>
        <w:tc>
          <w:tcPr>
            <w:tcW w:w="0" w:type="dxa"/>
            <w:tcBorders>
              <w:top w:val="nil"/>
              <w:left w:val="single" w:sz="4" w:space="0" w:color="auto"/>
              <w:bottom w:val="nil"/>
              <w:right w:val="nil"/>
            </w:tcBorders>
            <w:vAlign w:val="center"/>
          </w:tcPr>
          <w:p w14:paraId="416BD7C5" w14:textId="0833F598" w:rsidR="00C96BE9" w:rsidRPr="00110162" w:rsidRDefault="00EB6320" w:rsidP="004C79D2">
            <w:pPr>
              <w:pStyle w:val="TableTextRight"/>
            </w:pPr>
            <w:r>
              <w:rPr>
                <w:rFonts w:cs="Calibri"/>
              </w:rPr>
              <w:t>-</w:t>
            </w:r>
            <w:r w:rsidR="007C290E" w:rsidRPr="003164CA">
              <w:t>19.</w:t>
            </w:r>
            <w:r>
              <w:rPr>
                <w:rFonts w:cs="Calibri"/>
              </w:rPr>
              <w:t>3</w:t>
            </w:r>
          </w:p>
        </w:tc>
      </w:tr>
      <w:tr w:rsidR="00F67DB6" w:rsidRPr="0080495D" w14:paraId="537F5D7E" w14:textId="77777777" w:rsidTr="004C79D2">
        <w:trPr>
          <w:trHeight w:val="170"/>
        </w:trPr>
        <w:tc>
          <w:tcPr>
            <w:tcW w:w="0" w:type="dxa"/>
          </w:tcPr>
          <w:p w14:paraId="27B13D13" w14:textId="77777777" w:rsidR="00C96BE9" w:rsidRPr="003164CA" w:rsidRDefault="00C96BE9" w:rsidP="004C79D2">
            <w:pPr>
              <w:pStyle w:val="Tabletextleftindent"/>
              <w:rPr>
                <w:b/>
              </w:rPr>
            </w:pPr>
            <w:r w:rsidRPr="003164CA">
              <w:t xml:space="preserve">Greater Sydney </w:t>
            </w:r>
          </w:p>
        </w:tc>
        <w:tc>
          <w:tcPr>
            <w:tcW w:w="0" w:type="dxa"/>
            <w:tcBorders>
              <w:top w:val="nil"/>
              <w:left w:val="nil"/>
              <w:bottom w:val="nil"/>
              <w:right w:val="nil"/>
            </w:tcBorders>
            <w:vAlign w:val="center"/>
          </w:tcPr>
          <w:p w14:paraId="5580DB97" w14:textId="4C6173FA" w:rsidR="00C96BE9" w:rsidRPr="00110162" w:rsidRDefault="00EB6320" w:rsidP="004C79D2">
            <w:pPr>
              <w:pStyle w:val="TableTextRight"/>
            </w:pPr>
            <w:r>
              <w:rPr>
                <w:rFonts w:cs="Calibri"/>
              </w:rPr>
              <w:t>-</w:t>
            </w:r>
            <w:r w:rsidR="007C290E" w:rsidRPr="003164CA">
              <w:t>49.8</w:t>
            </w:r>
          </w:p>
        </w:tc>
        <w:tc>
          <w:tcPr>
            <w:tcW w:w="0" w:type="dxa"/>
            <w:tcBorders>
              <w:top w:val="nil"/>
              <w:left w:val="nil"/>
              <w:bottom w:val="nil"/>
              <w:right w:val="nil"/>
            </w:tcBorders>
            <w:shd w:val="clear" w:color="auto" w:fill="D2EDFF" w:themeFill="accent1" w:themeFillTint="1A"/>
            <w:vAlign w:val="center"/>
          </w:tcPr>
          <w:p w14:paraId="4B7519F4" w14:textId="51AB1AA8" w:rsidR="00C96BE9" w:rsidRPr="00110162" w:rsidRDefault="00EB6320" w:rsidP="004C79D2">
            <w:pPr>
              <w:pStyle w:val="TableTextRight"/>
            </w:pPr>
            <w:r>
              <w:rPr>
                <w:rFonts w:cs="Calibri"/>
              </w:rPr>
              <w:t>-</w:t>
            </w:r>
            <w:r w:rsidR="007C290E" w:rsidRPr="003164CA">
              <w:t>33.9</w:t>
            </w:r>
          </w:p>
        </w:tc>
        <w:tc>
          <w:tcPr>
            <w:tcW w:w="0" w:type="dxa"/>
            <w:tcBorders>
              <w:top w:val="nil"/>
              <w:left w:val="nil"/>
              <w:bottom w:val="nil"/>
              <w:right w:val="nil"/>
            </w:tcBorders>
            <w:vAlign w:val="center"/>
          </w:tcPr>
          <w:p w14:paraId="66718745" w14:textId="74B97130" w:rsidR="00C96BE9" w:rsidRPr="00110162" w:rsidRDefault="00EB6320" w:rsidP="004C79D2">
            <w:pPr>
              <w:pStyle w:val="TableTextRight"/>
            </w:pPr>
            <w:r>
              <w:rPr>
                <w:rFonts w:cs="Calibri"/>
              </w:rPr>
              <w:t>-30.9</w:t>
            </w:r>
          </w:p>
        </w:tc>
        <w:tc>
          <w:tcPr>
            <w:tcW w:w="0" w:type="dxa"/>
            <w:tcBorders>
              <w:top w:val="nil"/>
              <w:left w:val="nil"/>
              <w:bottom w:val="nil"/>
              <w:right w:val="nil"/>
            </w:tcBorders>
            <w:vAlign w:val="center"/>
          </w:tcPr>
          <w:p w14:paraId="2C5F55E8" w14:textId="4E49456E" w:rsidR="00C96BE9" w:rsidRPr="00110162" w:rsidRDefault="00EB6320" w:rsidP="004C79D2">
            <w:pPr>
              <w:pStyle w:val="TableTextRight"/>
            </w:pPr>
            <w:r>
              <w:rPr>
                <w:rFonts w:cs="Calibri"/>
              </w:rPr>
              <w:t>-27.8</w:t>
            </w:r>
          </w:p>
        </w:tc>
        <w:tc>
          <w:tcPr>
            <w:tcW w:w="0" w:type="dxa"/>
            <w:tcBorders>
              <w:top w:val="nil"/>
              <w:left w:val="nil"/>
              <w:bottom w:val="nil"/>
              <w:right w:val="single" w:sz="4" w:space="0" w:color="auto"/>
            </w:tcBorders>
            <w:vAlign w:val="center"/>
          </w:tcPr>
          <w:p w14:paraId="606F7813" w14:textId="5ACCADED" w:rsidR="00C96BE9" w:rsidRPr="00110162" w:rsidRDefault="00EB6320" w:rsidP="004C79D2">
            <w:pPr>
              <w:pStyle w:val="TableTextRight"/>
            </w:pPr>
            <w:r>
              <w:rPr>
                <w:rFonts w:cs="Calibri"/>
              </w:rPr>
              <w:t>-24.8</w:t>
            </w:r>
          </w:p>
        </w:tc>
        <w:tc>
          <w:tcPr>
            <w:tcW w:w="0" w:type="dxa"/>
            <w:tcBorders>
              <w:top w:val="nil"/>
              <w:left w:val="single" w:sz="4" w:space="0" w:color="auto"/>
              <w:bottom w:val="nil"/>
              <w:right w:val="nil"/>
            </w:tcBorders>
            <w:vAlign w:val="center"/>
          </w:tcPr>
          <w:p w14:paraId="2F5E6617" w14:textId="25E3057F" w:rsidR="00C96BE9" w:rsidRPr="00110162" w:rsidRDefault="00EB6320" w:rsidP="004C79D2">
            <w:pPr>
              <w:pStyle w:val="TableTextRight"/>
            </w:pPr>
            <w:r>
              <w:rPr>
                <w:rFonts w:cs="Calibri"/>
              </w:rPr>
              <w:t>-26</w:t>
            </w:r>
            <w:r w:rsidR="007C290E" w:rsidRPr="003164CA">
              <w:t>.9</w:t>
            </w:r>
          </w:p>
        </w:tc>
      </w:tr>
      <w:tr w:rsidR="00F67DB6" w:rsidRPr="0080495D" w14:paraId="7E962CF8" w14:textId="77777777" w:rsidTr="004C79D2">
        <w:trPr>
          <w:trHeight w:val="170"/>
        </w:trPr>
        <w:tc>
          <w:tcPr>
            <w:tcW w:w="0" w:type="dxa"/>
            <w:tcBorders>
              <w:bottom w:val="single" w:sz="4" w:space="0" w:color="auto"/>
            </w:tcBorders>
          </w:tcPr>
          <w:p w14:paraId="58327C25" w14:textId="77777777" w:rsidR="00C96BE9" w:rsidRPr="003164CA" w:rsidRDefault="00C96BE9" w:rsidP="004C79D2">
            <w:pPr>
              <w:pStyle w:val="Tabletextleftindent"/>
              <w:rPr>
                <w:b/>
              </w:rPr>
            </w:pPr>
            <w:r w:rsidRPr="003164CA">
              <w:t>Rest of New South Wales</w:t>
            </w:r>
          </w:p>
        </w:tc>
        <w:tc>
          <w:tcPr>
            <w:tcW w:w="0" w:type="dxa"/>
            <w:tcBorders>
              <w:top w:val="nil"/>
              <w:left w:val="nil"/>
              <w:bottom w:val="single" w:sz="4" w:space="0" w:color="auto"/>
              <w:right w:val="nil"/>
            </w:tcBorders>
            <w:vAlign w:val="center"/>
          </w:tcPr>
          <w:p w14:paraId="23D17B53" w14:textId="412AE8DE" w:rsidR="00C96BE9" w:rsidRPr="00110162" w:rsidRDefault="007C290E" w:rsidP="004C79D2">
            <w:pPr>
              <w:pStyle w:val="TableTextRight"/>
            </w:pPr>
            <w:r w:rsidRPr="003164CA">
              <w:t>10.5</w:t>
            </w:r>
          </w:p>
        </w:tc>
        <w:tc>
          <w:tcPr>
            <w:tcW w:w="0" w:type="dxa"/>
            <w:tcBorders>
              <w:top w:val="nil"/>
              <w:left w:val="nil"/>
              <w:bottom w:val="single" w:sz="4" w:space="0" w:color="auto"/>
              <w:right w:val="nil"/>
            </w:tcBorders>
            <w:shd w:val="clear" w:color="auto" w:fill="D2EDFF" w:themeFill="accent1" w:themeFillTint="1A"/>
            <w:vAlign w:val="center"/>
          </w:tcPr>
          <w:p w14:paraId="3674D780" w14:textId="26345E79" w:rsidR="00C96BE9" w:rsidRPr="00110162" w:rsidRDefault="007C290E" w:rsidP="004C79D2">
            <w:pPr>
              <w:pStyle w:val="TableTextRight"/>
            </w:pPr>
            <w:r w:rsidRPr="003164CA">
              <w:t>3.3</w:t>
            </w:r>
          </w:p>
        </w:tc>
        <w:tc>
          <w:tcPr>
            <w:tcW w:w="0" w:type="dxa"/>
            <w:tcBorders>
              <w:top w:val="nil"/>
              <w:left w:val="nil"/>
              <w:bottom w:val="single" w:sz="4" w:space="0" w:color="auto"/>
              <w:right w:val="nil"/>
            </w:tcBorders>
            <w:vAlign w:val="center"/>
          </w:tcPr>
          <w:p w14:paraId="3B7C13C1" w14:textId="1156971B" w:rsidR="00C96BE9" w:rsidRPr="00110162" w:rsidRDefault="007C290E" w:rsidP="004C79D2">
            <w:pPr>
              <w:pStyle w:val="TableTextRight"/>
            </w:pPr>
            <w:r w:rsidRPr="003164CA">
              <w:t>4.</w:t>
            </w:r>
            <w:r w:rsidR="00EB6320">
              <w:rPr>
                <w:rFonts w:cs="Calibri"/>
              </w:rPr>
              <w:t>0</w:t>
            </w:r>
          </w:p>
        </w:tc>
        <w:tc>
          <w:tcPr>
            <w:tcW w:w="0" w:type="dxa"/>
            <w:tcBorders>
              <w:top w:val="nil"/>
              <w:left w:val="nil"/>
              <w:bottom w:val="single" w:sz="4" w:space="0" w:color="auto"/>
              <w:right w:val="nil"/>
            </w:tcBorders>
            <w:vAlign w:val="center"/>
          </w:tcPr>
          <w:p w14:paraId="220EAD2E" w14:textId="41EFA29A" w:rsidR="00C96BE9" w:rsidRPr="00110162" w:rsidRDefault="007C290E" w:rsidP="004C79D2">
            <w:pPr>
              <w:pStyle w:val="TableTextRight"/>
            </w:pPr>
            <w:r w:rsidRPr="003164CA">
              <w:t>4.</w:t>
            </w:r>
            <w:r w:rsidR="00EB6320">
              <w:rPr>
                <w:rFonts w:cs="Calibri"/>
              </w:rPr>
              <w:t>7</w:t>
            </w:r>
          </w:p>
        </w:tc>
        <w:tc>
          <w:tcPr>
            <w:tcW w:w="0" w:type="dxa"/>
            <w:tcBorders>
              <w:top w:val="nil"/>
              <w:left w:val="nil"/>
              <w:bottom w:val="single" w:sz="4" w:space="0" w:color="auto"/>
              <w:right w:val="single" w:sz="4" w:space="0" w:color="auto"/>
            </w:tcBorders>
            <w:vAlign w:val="center"/>
          </w:tcPr>
          <w:p w14:paraId="28167DED" w14:textId="213DC5D7" w:rsidR="00C96BE9" w:rsidRPr="00110162" w:rsidRDefault="007C290E" w:rsidP="004C79D2">
            <w:pPr>
              <w:pStyle w:val="TableTextRight"/>
            </w:pPr>
            <w:r w:rsidRPr="003164CA">
              <w:t>5.</w:t>
            </w:r>
            <w:r w:rsidR="00EB6320">
              <w:rPr>
                <w:rFonts w:cs="Calibri"/>
              </w:rPr>
              <w:t>4</w:t>
            </w:r>
          </w:p>
        </w:tc>
        <w:tc>
          <w:tcPr>
            <w:tcW w:w="0" w:type="dxa"/>
            <w:tcBorders>
              <w:top w:val="nil"/>
              <w:left w:val="single" w:sz="4" w:space="0" w:color="auto"/>
              <w:bottom w:val="single" w:sz="4" w:space="0" w:color="auto"/>
              <w:right w:val="nil"/>
            </w:tcBorders>
            <w:vAlign w:val="center"/>
          </w:tcPr>
          <w:p w14:paraId="01E9BA21" w14:textId="59DB7F0D" w:rsidR="00C96BE9" w:rsidRPr="00110162" w:rsidRDefault="00EB6320" w:rsidP="004C79D2">
            <w:pPr>
              <w:pStyle w:val="TableTextRight"/>
            </w:pPr>
            <w:r>
              <w:rPr>
                <w:rFonts w:cs="Calibri"/>
              </w:rPr>
              <w:t>7.6</w:t>
            </w:r>
          </w:p>
        </w:tc>
      </w:tr>
      <w:tr w:rsidR="00F67DB6" w:rsidRPr="0080495D" w14:paraId="3CD89224" w14:textId="77777777" w:rsidTr="004C79D2">
        <w:trPr>
          <w:trHeight w:val="170"/>
        </w:trPr>
        <w:tc>
          <w:tcPr>
            <w:tcW w:w="0" w:type="dxa"/>
            <w:tcBorders>
              <w:top w:val="single" w:sz="4" w:space="0" w:color="auto"/>
              <w:bottom w:val="nil"/>
            </w:tcBorders>
          </w:tcPr>
          <w:p w14:paraId="62483402" w14:textId="77777777" w:rsidR="00C96BE9" w:rsidRPr="003164CA" w:rsidRDefault="00C96BE9" w:rsidP="004C79D2">
            <w:pPr>
              <w:pStyle w:val="TableColumnHeadingLeft"/>
            </w:pPr>
            <w:r w:rsidRPr="003164CA">
              <w:t>Median age (years)</w:t>
            </w:r>
          </w:p>
        </w:tc>
        <w:tc>
          <w:tcPr>
            <w:tcW w:w="0" w:type="dxa"/>
            <w:tcBorders>
              <w:top w:val="single" w:sz="4" w:space="0" w:color="auto"/>
              <w:left w:val="nil"/>
              <w:bottom w:val="nil"/>
              <w:right w:val="nil"/>
            </w:tcBorders>
            <w:vAlign w:val="center"/>
          </w:tcPr>
          <w:p w14:paraId="070022B2" w14:textId="77777777" w:rsidR="00C96BE9" w:rsidRPr="00110162" w:rsidRDefault="00C96BE9" w:rsidP="004C79D2">
            <w:pPr>
              <w:pStyle w:val="TableTextRight"/>
            </w:pPr>
          </w:p>
        </w:tc>
        <w:tc>
          <w:tcPr>
            <w:tcW w:w="0" w:type="dxa"/>
            <w:tcBorders>
              <w:top w:val="single" w:sz="4" w:space="0" w:color="auto"/>
              <w:left w:val="nil"/>
              <w:bottom w:val="nil"/>
              <w:right w:val="nil"/>
            </w:tcBorders>
            <w:shd w:val="clear" w:color="auto" w:fill="D2EDFF" w:themeFill="accent1" w:themeFillTint="1A"/>
            <w:vAlign w:val="center"/>
          </w:tcPr>
          <w:p w14:paraId="2B3FC4B5" w14:textId="5A5AABBD" w:rsidR="00C96BE9" w:rsidRPr="00110162" w:rsidRDefault="007C290E" w:rsidP="004C79D2">
            <w:pPr>
              <w:pStyle w:val="TableTextRight"/>
            </w:pPr>
            <w:r w:rsidRPr="003164CA">
              <w:t> </w:t>
            </w:r>
          </w:p>
        </w:tc>
        <w:tc>
          <w:tcPr>
            <w:tcW w:w="0" w:type="dxa"/>
            <w:tcBorders>
              <w:top w:val="single" w:sz="4" w:space="0" w:color="auto"/>
              <w:left w:val="nil"/>
              <w:bottom w:val="nil"/>
              <w:right w:val="nil"/>
            </w:tcBorders>
            <w:vAlign w:val="center"/>
          </w:tcPr>
          <w:p w14:paraId="486A1684" w14:textId="77777777" w:rsidR="00C96BE9" w:rsidRPr="00110162" w:rsidRDefault="00C96BE9" w:rsidP="004C79D2">
            <w:pPr>
              <w:pStyle w:val="TableTextRight"/>
            </w:pPr>
          </w:p>
        </w:tc>
        <w:tc>
          <w:tcPr>
            <w:tcW w:w="0" w:type="dxa"/>
            <w:tcBorders>
              <w:top w:val="single" w:sz="4" w:space="0" w:color="auto"/>
              <w:left w:val="nil"/>
              <w:bottom w:val="nil"/>
              <w:right w:val="nil"/>
            </w:tcBorders>
            <w:vAlign w:val="center"/>
          </w:tcPr>
          <w:p w14:paraId="28EE99BA" w14:textId="77777777" w:rsidR="00C96BE9" w:rsidRPr="00110162" w:rsidRDefault="00C96BE9" w:rsidP="004C79D2">
            <w:pPr>
              <w:pStyle w:val="TableTextRight"/>
            </w:pPr>
          </w:p>
        </w:tc>
        <w:tc>
          <w:tcPr>
            <w:tcW w:w="0" w:type="dxa"/>
            <w:tcBorders>
              <w:top w:val="single" w:sz="4" w:space="0" w:color="auto"/>
              <w:left w:val="nil"/>
              <w:bottom w:val="nil"/>
              <w:right w:val="single" w:sz="4" w:space="0" w:color="auto"/>
            </w:tcBorders>
            <w:vAlign w:val="center"/>
          </w:tcPr>
          <w:p w14:paraId="648C2AE4" w14:textId="637B49ED" w:rsidR="00C96BE9" w:rsidRPr="00110162" w:rsidRDefault="007C290E" w:rsidP="004C79D2">
            <w:pPr>
              <w:pStyle w:val="TableTextRight"/>
            </w:pPr>
            <w:r w:rsidRPr="003164CA">
              <w:t> </w:t>
            </w:r>
          </w:p>
        </w:tc>
        <w:tc>
          <w:tcPr>
            <w:tcW w:w="0" w:type="dxa"/>
            <w:tcBorders>
              <w:top w:val="single" w:sz="4" w:space="0" w:color="auto"/>
              <w:left w:val="single" w:sz="4" w:space="0" w:color="auto"/>
              <w:bottom w:val="nil"/>
              <w:right w:val="nil"/>
            </w:tcBorders>
            <w:vAlign w:val="center"/>
          </w:tcPr>
          <w:p w14:paraId="7056611D" w14:textId="77777777" w:rsidR="00C96BE9" w:rsidRPr="00110162" w:rsidRDefault="00C96BE9" w:rsidP="004C79D2">
            <w:pPr>
              <w:pStyle w:val="TableTextRight"/>
            </w:pPr>
          </w:p>
        </w:tc>
      </w:tr>
      <w:tr w:rsidR="00F67DB6" w:rsidRPr="0080495D" w14:paraId="1BF7BEA9" w14:textId="77777777" w:rsidTr="004C79D2">
        <w:trPr>
          <w:trHeight w:val="170"/>
        </w:trPr>
        <w:tc>
          <w:tcPr>
            <w:tcW w:w="0" w:type="dxa"/>
            <w:tcBorders>
              <w:top w:val="nil"/>
            </w:tcBorders>
          </w:tcPr>
          <w:p w14:paraId="5B6B4B9D" w14:textId="77777777" w:rsidR="00C96BE9" w:rsidRPr="003164CA" w:rsidRDefault="00C96BE9" w:rsidP="004C79D2">
            <w:pPr>
              <w:pStyle w:val="TableTextLeft"/>
              <w:rPr>
                <w:i/>
              </w:rPr>
            </w:pPr>
            <w:r w:rsidRPr="003164CA">
              <w:t>New South Wales</w:t>
            </w:r>
          </w:p>
        </w:tc>
        <w:tc>
          <w:tcPr>
            <w:tcW w:w="0" w:type="dxa"/>
            <w:tcBorders>
              <w:top w:val="nil"/>
              <w:left w:val="nil"/>
              <w:bottom w:val="nil"/>
              <w:right w:val="nil"/>
            </w:tcBorders>
            <w:vAlign w:val="center"/>
          </w:tcPr>
          <w:p w14:paraId="3E40AC63" w14:textId="28AAA653" w:rsidR="00C96BE9" w:rsidRPr="00110162" w:rsidRDefault="007C290E" w:rsidP="004C79D2">
            <w:pPr>
              <w:pStyle w:val="TableTextRight"/>
            </w:pPr>
            <w:r w:rsidRPr="003164CA">
              <w:t>37.</w:t>
            </w:r>
            <w:r w:rsidR="009C3647" w:rsidRPr="003164CA">
              <w:t>7</w:t>
            </w:r>
          </w:p>
        </w:tc>
        <w:tc>
          <w:tcPr>
            <w:tcW w:w="0" w:type="dxa"/>
            <w:tcBorders>
              <w:top w:val="nil"/>
              <w:left w:val="nil"/>
              <w:bottom w:val="nil"/>
              <w:right w:val="nil"/>
            </w:tcBorders>
            <w:shd w:val="clear" w:color="auto" w:fill="D2EDFF" w:themeFill="accent1" w:themeFillTint="1A"/>
            <w:vAlign w:val="center"/>
          </w:tcPr>
          <w:p w14:paraId="52223073" w14:textId="76D17351" w:rsidR="00C96BE9" w:rsidRPr="00110162" w:rsidRDefault="007C290E" w:rsidP="004C79D2">
            <w:pPr>
              <w:pStyle w:val="TableTextRight"/>
            </w:pPr>
            <w:r w:rsidRPr="003164CA">
              <w:t>37.</w:t>
            </w:r>
            <w:r w:rsidR="009C3647" w:rsidRPr="003164CA">
              <w:t>5</w:t>
            </w:r>
          </w:p>
        </w:tc>
        <w:tc>
          <w:tcPr>
            <w:tcW w:w="0" w:type="dxa"/>
            <w:tcBorders>
              <w:top w:val="nil"/>
              <w:left w:val="nil"/>
              <w:bottom w:val="nil"/>
              <w:right w:val="nil"/>
            </w:tcBorders>
            <w:vAlign w:val="center"/>
          </w:tcPr>
          <w:p w14:paraId="04A9877E" w14:textId="655D707B" w:rsidR="00C96BE9" w:rsidRPr="00110162" w:rsidRDefault="007C290E" w:rsidP="004C79D2">
            <w:pPr>
              <w:pStyle w:val="TableTextRight"/>
            </w:pPr>
            <w:r w:rsidRPr="003164CA">
              <w:t>37.</w:t>
            </w:r>
            <w:r w:rsidR="009C3647" w:rsidRPr="003164CA">
              <w:t>5</w:t>
            </w:r>
          </w:p>
        </w:tc>
        <w:tc>
          <w:tcPr>
            <w:tcW w:w="0" w:type="dxa"/>
            <w:tcBorders>
              <w:top w:val="nil"/>
              <w:left w:val="nil"/>
              <w:bottom w:val="nil"/>
              <w:right w:val="nil"/>
            </w:tcBorders>
            <w:vAlign w:val="center"/>
          </w:tcPr>
          <w:p w14:paraId="76BFACD6" w14:textId="3F2EFC57" w:rsidR="00C96BE9" w:rsidRPr="00110162" w:rsidRDefault="007C290E" w:rsidP="004C79D2">
            <w:pPr>
              <w:pStyle w:val="TableTextRight"/>
            </w:pPr>
            <w:r w:rsidRPr="003164CA">
              <w:t>37.</w:t>
            </w:r>
            <w:r w:rsidR="009C3647" w:rsidRPr="003164CA">
              <w:t>6</w:t>
            </w:r>
          </w:p>
        </w:tc>
        <w:tc>
          <w:tcPr>
            <w:tcW w:w="0" w:type="dxa"/>
            <w:tcBorders>
              <w:top w:val="nil"/>
              <w:left w:val="nil"/>
              <w:bottom w:val="nil"/>
              <w:right w:val="single" w:sz="4" w:space="0" w:color="auto"/>
            </w:tcBorders>
            <w:vAlign w:val="center"/>
          </w:tcPr>
          <w:p w14:paraId="32567332" w14:textId="54A60D88" w:rsidR="00C96BE9" w:rsidRPr="00110162" w:rsidRDefault="007C290E" w:rsidP="004C79D2">
            <w:pPr>
              <w:pStyle w:val="TableTextRight"/>
            </w:pPr>
            <w:r w:rsidRPr="003164CA">
              <w:t>37.</w:t>
            </w:r>
            <w:r w:rsidR="00EB6320">
              <w:rPr>
                <w:rFonts w:cs="Calibri"/>
              </w:rPr>
              <w:t>7</w:t>
            </w:r>
          </w:p>
        </w:tc>
        <w:tc>
          <w:tcPr>
            <w:tcW w:w="0" w:type="dxa"/>
            <w:tcBorders>
              <w:top w:val="nil"/>
              <w:left w:val="single" w:sz="4" w:space="0" w:color="auto"/>
              <w:bottom w:val="nil"/>
              <w:right w:val="nil"/>
            </w:tcBorders>
            <w:vAlign w:val="center"/>
          </w:tcPr>
          <w:p w14:paraId="398E1CE8" w14:textId="01620542" w:rsidR="00C96BE9" w:rsidRPr="00110162" w:rsidRDefault="007C290E" w:rsidP="004C79D2">
            <w:pPr>
              <w:pStyle w:val="TableTextRight"/>
            </w:pPr>
            <w:r w:rsidRPr="003164CA">
              <w:t>38.</w:t>
            </w:r>
            <w:r w:rsidR="00EB6320">
              <w:rPr>
                <w:rFonts w:cs="Calibri"/>
              </w:rPr>
              <w:t>8</w:t>
            </w:r>
          </w:p>
        </w:tc>
      </w:tr>
      <w:tr w:rsidR="00F67DB6" w:rsidRPr="0080495D" w14:paraId="7BF31CBD" w14:textId="77777777" w:rsidTr="004C79D2">
        <w:trPr>
          <w:trHeight w:val="170"/>
        </w:trPr>
        <w:tc>
          <w:tcPr>
            <w:tcW w:w="0" w:type="dxa"/>
            <w:tcBorders>
              <w:bottom w:val="nil"/>
            </w:tcBorders>
          </w:tcPr>
          <w:p w14:paraId="0A5A0CB9" w14:textId="77777777" w:rsidR="00C96BE9" w:rsidRPr="003164CA" w:rsidRDefault="00C96BE9" w:rsidP="004C79D2">
            <w:pPr>
              <w:pStyle w:val="Tabletextleftindent"/>
            </w:pPr>
            <w:r w:rsidRPr="003164CA">
              <w:t xml:space="preserve">Greater Sydney </w:t>
            </w:r>
          </w:p>
        </w:tc>
        <w:tc>
          <w:tcPr>
            <w:tcW w:w="0" w:type="dxa"/>
            <w:tcBorders>
              <w:top w:val="nil"/>
              <w:left w:val="nil"/>
              <w:bottom w:val="nil"/>
              <w:right w:val="nil"/>
            </w:tcBorders>
            <w:vAlign w:val="center"/>
          </w:tcPr>
          <w:p w14:paraId="3BA6D8F1" w14:textId="1740912D" w:rsidR="00C96BE9" w:rsidRPr="00110162" w:rsidRDefault="007C290E" w:rsidP="004C79D2">
            <w:pPr>
              <w:pStyle w:val="TableTextRight"/>
            </w:pPr>
            <w:r w:rsidRPr="003164CA">
              <w:t>36.</w:t>
            </w:r>
            <w:r w:rsidR="009C3647" w:rsidRPr="003164CA">
              <w:t>1</w:t>
            </w:r>
          </w:p>
        </w:tc>
        <w:tc>
          <w:tcPr>
            <w:tcW w:w="0" w:type="dxa"/>
            <w:tcBorders>
              <w:top w:val="nil"/>
              <w:left w:val="nil"/>
              <w:bottom w:val="nil"/>
              <w:right w:val="nil"/>
            </w:tcBorders>
            <w:shd w:val="clear" w:color="auto" w:fill="D2EDFF" w:themeFill="accent1" w:themeFillTint="1A"/>
            <w:vAlign w:val="center"/>
          </w:tcPr>
          <w:p w14:paraId="0ADD7730" w14:textId="73284F23" w:rsidR="00C96BE9" w:rsidRPr="00110162" w:rsidRDefault="007C290E" w:rsidP="004C79D2">
            <w:pPr>
              <w:pStyle w:val="TableTextRight"/>
            </w:pPr>
            <w:r w:rsidRPr="003164CA">
              <w:t>35.</w:t>
            </w:r>
            <w:r w:rsidR="009C3647" w:rsidRPr="003164CA">
              <w:t>9</w:t>
            </w:r>
          </w:p>
        </w:tc>
        <w:tc>
          <w:tcPr>
            <w:tcW w:w="0" w:type="dxa"/>
            <w:tcBorders>
              <w:top w:val="nil"/>
              <w:left w:val="nil"/>
              <w:bottom w:val="nil"/>
              <w:right w:val="nil"/>
            </w:tcBorders>
            <w:vAlign w:val="center"/>
          </w:tcPr>
          <w:p w14:paraId="6D32138C" w14:textId="639E6C31" w:rsidR="00C96BE9" w:rsidRPr="00110162" w:rsidRDefault="007C290E" w:rsidP="004C79D2">
            <w:pPr>
              <w:pStyle w:val="TableTextRight"/>
            </w:pPr>
            <w:r w:rsidRPr="003164CA">
              <w:t>35.8</w:t>
            </w:r>
          </w:p>
        </w:tc>
        <w:tc>
          <w:tcPr>
            <w:tcW w:w="0" w:type="dxa"/>
            <w:tcBorders>
              <w:top w:val="nil"/>
              <w:left w:val="nil"/>
              <w:bottom w:val="nil"/>
              <w:right w:val="nil"/>
            </w:tcBorders>
            <w:vAlign w:val="center"/>
          </w:tcPr>
          <w:p w14:paraId="3524DB05" w14:textId="28706934" w:rsidR="00C96BE9" w:rsidRPr="00110162" w:rsidRDefault="007C290E" w:rsidP="004C79D2">
            <w:pPr>
              <w:pStyle w:val="TableTextRight"/>
            </w:pPr>
            <w:r w:rsidRPr="003164CA">
              <w:t>35.</w:t>
            </w:r>
            <w:r w:rsidR="00EB6320">
              <w:rPr>
                <w:rFonts w:cs="Calibri"/>
              </w:rPr>
              <w:t>9</w:t>
            </w:r>
          </w:p>
        </w:tc>
        <w:tc>
          <w:tcPr>
            <w:tcW w:w="0" w:type="dxa"/>
            <w:tcBorders>
              <w:top w:val="nil"/>
              <w:left w:val="nil"/>
              <w:bottom w:val="nil"/>
              <w:right w:val="single" w:sz="4" w:space="0" w:color="auto"/>
            </w:tcBorders>
            <w:vAlign w:val="center"/>
          </w:tcPr>
          <w:p w14:paraId="61F31DB7" w14:textId="7B80BA84" w:rsidR="00C96BE9" w:rsidRPr="00110162" w:rsidRDefault="007C290E" w:rsidP="004C79D2">
            <w:pPr>
              <w:pStyle w:val="TableTextRight"/>
            </w:pPr>
            <w:r w:rsidRPr="003164CA">
              <w:t>35.</w:t>
            </w:r>
            <w:r w:rsidR="00EB6320">
              <w:rPr>
                <w:rFonts w:cs="Calibri"/>
              </w:rPr>
              <w:t>9</w:t>
            </w:r>
          </w:p>
        </w:tc>
        <w:tc>
          <w:tcPr>
            <w:tcW w:w="0" w:type="dxa"/>
            <w:tcBorders>
              <w:top w:val="nil"/>
              <w:left w:val="single" w:sz="4" w:space="0" w:color="auto"/>
              <w:bottom w:val="nil"/>
              <w:right w:val="nil"/>
            </w:tcBorders>
            <w:vAlign w:val="center"/>
          </w:tcPr>
          <w:p w14:paraId="46C7D996" w14:textId="1480625D" w:rsidR="00C96BE9" w:rsidRPr="00110162" w:rsidRDefault="007C290E" w:rsidP="004C79D2">
            <w:pPr>
              <w:pStyle w:val="TableTextRight"/>
            </w:pPr>
            <w:r w:rsidRPr="003164CA">
              <w:t>36.</w:t>
            </w:r>
            <w:r w:rsidR="00EB6320">
              <w:rPr>
                <w:rFonts w:cs="Calibri"/>
              </w:rPr>
              <w:t>5</w:t>
            </w:r>
          </w:p>
        </w:tc>
      </w:tr>
      <w:tr w:rsidR="00F67DB6" w:rsidRPr="0080495D" w14:paraId="2F972D28" w14:textId="77777777" w:rsidTr="004C79D2">
        <w:trPr>
          <w:trHeight w:val="170"/>
        </w:trPr>
        <w:tc>
          <w:tcPr>
            <w:tcW w:w="0" w:type="dxa"/>
            <w:tcBorders>
              <w:bottom w:val="single" w:sz="4" w:space="0" w:color="auto"/>
            </w:tcBorders>
          </w:tcPr>
          <w:p w14:paraId="38A28947" w14:textId="77777777" w:rsidR="00C96BE9" w:rsidRPr="003164CA" w:rsidRDefault="00C96BE9" w:rsidP="004C79D2">
            <w:pPr>
              <w:pStyle w:val="Tabletextleftindent"/>
            </w:pPr>
            <w:r w:rsidRPr="003164CA">
              <w:t>Rest of New South Wales</w:t>
            </w:r>
          </w:p>
        </w:tc>
        <w:tc>
          <w:tcPr>
            <w:tcW w:w="0" w:type="dxa"/>
            <w:tcBorders>
              <w:top w:val="nil"/>
              <w:left w:val="nil"/>
              <w:bottom w:val="single" w:sz="4" w:space="0" w:color="auto"/>
              <w:right w:val="nil"/>
            </w:tcBorders>
            <w:vAlign w:val="center"/>
          </w:tcPr>
          <w:p w14:paraId="4E794421" w14:textId="70E66CE6" w:rsidR="00C96BE9" w:rsidRPr="00110162" w:rsidRDefault="007C290E" w:rsidP="004C79D2">
            <w:pPr>
              <w:pStyle w:val="TableTextRight"/>
            </w:pPr>
            <w:r w:rsidRPr="003164CA">
              <w:t>41.</w:t>
            </w:r>
            <w:r w:rsidR="009C3647" w:rsidRPr="003164CA">
              <w:t>5</w:t>
            </w:r>
          </w:p>
        </w:tc>
        <w:tc>
          <w:tcPr>
            <w:tcW w:w="0" w:type="dxa"/>
            <w:tcBorders>
              <w:top w:val="nil"/>
              <w:left w:val="nil"/>
              <w:bottom w:val="single" w:sz="4" w:space="0" w:color="auto"/>
              <w:right w:val="nil"/>
            </w:tcBorders>
            <w:shd w:val="clear" w:color="auto" w:fill="D2EDFF" w:themeFill="accent1" w:themeFillTint="1A"/>
            <w:vAlign w:val="center"/>
          </w:tcPr>
          <w:p w14:paraId="1D378FF0" w14:textId="5D7F6DCF" w:rsidR="00C96BE9" w:rsidRPr="00110162" w:rsidRDefault="007C290E" w:rsidP="004C79D2">
            <w:pPr>
              <w:pStyle w:val="TableTextRight"/>
            </w:pPr>
            <w:r w:rsidRPr="003164CA">
              <w:t>41.</w:t>
            </w:r>
            <w:r w:rsidR="009C3647" w:rsidRPr="003164CA">
              <w:t>5</w:t>
            </w:r>
          </w:p>
        </w:tc>
        <w:tc>
          <w:tcPr>
            <w:tcW w:w="0" w:type="dxa"/>
            <w:tcBorders>
              <w:top w:val="nil"/>
              <w:left w:val="nil"/>
              <w:bottom w:val="single" w:sz="4" w:space="0" w:color="auto"/>
              <w:right w:val="nil"/>
            </w:tcBorders>
            <w:vAlign w:val="center"/>
          </w:tcPr>
          <w:p w14:paraId="7799BDE1" w14:textId="438E2B41" w:rsidR="00C96BE9" w:rsidRPr="00110162" w:rsidRDefault="007C290E" w:rsidP="004C79D2">
            <w:pPr>
              <w:pStyle w:val="TableTextRight"/>
            </w:pPr>
            <w:r w:rsidRPr="003164CA">
              <w:t>41.6</w:t>
            </w:r>
          </w:p>
        </w:tc>
        <w:tc>
          <w:tcPr>
            <w:tcW w:w="0" w:type="dxa"/>
            <w:tcBorders>
              <w:top w:val="nil"/>
              <w:left w:val="nil"/>
              <w:bottom w:val="single" w:sz="4" w:space="0" w:color="auto"/>
              <w:right w:val="nil"/>
            </w:tcBorders>
            <w:vAlign w:val="center"/>
          </w:tcPr>
          <w:p w14:paraId="60165CD1" w14:textId="450354B8" w:rsidR="00C96BE9" w:rsidRPr="00110162" w:rsidRDefault="007C290E" w:rsidP="004C79D2">
            <w:pPr>
              <w:pStyle w:val="TableTextRight"/>
            </w:pPr>
            <w:r w:rsidRPr="003164CA">
              <w:t>41.</w:t>
            </w:r>
            <w:r w:rsidR="009C3647" w:rsidRPr="003164CA">
              <w:t>8</w:t>
            </w:r>
          </w:p>
        </w:tc>
        <w:tc>
          <w:tcPr>
            <w:tcW w:w="0" w:type="dxa"/>
            <w:tcBorders>
              <w:top w:val="nil"/>
              <w:left w:val="nil"/>
              <w:bottom w:val="single" w:sz="4" w:space="0" w:color="auto"/>
              <w:right w:val="single" w:sz="4" w:space="0" w:color="auto"/>
            </w:tcBorders>
            <w:vAlign w:val="center"/>
          </w:tcPr>
          <w:p w14:paraId="54F3B656" w14:textId="46FB5837" w:rsidR="00C96BE9" w:rsidRPr="00110162" w:rsidRDefault="007C290E" w:rsidP="004C79D2">
            <w:pPr>
              <w:pStyle w:val="TableTextRight"/>
            </w:pPr>
            <w:r w:rsidRPr="003164CA">
              <w:t>42.</w:t>
            </w:r>
            <w:r w:rsidR="009C3647" w:rsidRPr="003164CA">
              <w:t>1</w:t>
            </w:r>
          </w:p>
        </w:tc>
        <w:tc>
          <w:tcPr>
            <w:tcW w:w="0" w:type="dxa"/>
            <w:tcBorders>
              <w:top w:val="nil"/>
              <w:left w:val="single" w:sz="4" w:space="0" w:color="auto"/>
              <w:bottom w:val="single" w:sz="4" w:space="0" w:color="auto"/>
              <w:right w:val="nil"/>
            </w:tcBorders>
            <w:vAlign w:val="center"/>
          </w:tcPr>
          <w:p w14:paraId="24A6D71D" w14:textId="1C4A4428" w:rsidR="00C96BE9" w:rsidRPr="00110162" w:rsidRDefault="007C290E" w:rsidP="004C79D2">
            <w:pPr>
              <w:pStyle w:val="TableTextRight"/>
            </w:pPr>
            <w:r w:rsidRPr="003164CA">
              <w:t>44.</w:t>
            </w:r>
            <w:r w:rsidR="00EB6320">
              <w:rPr>
                <w:rFonts w:cs="Calibri"/>
              </w:rPr>
              <w:t>2</w:t>
            </w:r>
          </w:p>
        </w:tc>
      </w:tr>
    </w:tbl>
    <w:p w14:paraId="2A07E3CF" w14:textId="1F1EFDCD" w:rsidR="003F04D9" w:rsidRPr="003164CA" w:rsidRDefault="00C96BE9" w:rsidP="00252F42">
      <w:pPr>
        <w:pStyle w:val="Source"/>
        <w:rPr>
          <w:rStyle w:val="Hyperlink"/>
          <w:color w:val="000000"/>
        </w:rPr>
      </w:pPr>
      <w:r w:rsidRPr="00D47BF1">
        <w:t xml:space="preserve">Source: </w:t>
      </w:r>
      <w:r w:rsidR="00D47BF1">
        <w:tab/>
      </w:r>
      <w:r w:rsidR="00DD1DCF" w:rsidRPr="00D47BF1">
        <w:t>ABS</w:t>
      </w:r>
      <w:r w:rsidRPr="00D47BF1">
        <w:t xml:space="preserve">, National, state and territory population, March </w:t>
      </w:r>
      <w:r w:rsidRPr="00D47BF1" w:rsidDel="00930CA1">
        <w:t>202</w:t>
      </w:r>
      <w:r w:rsidR="006F5EEC" w:rsidRPr="00D47BF1" w:rsidDel="00930CA1">
        <w:t>3</w:t>
      </w:r>
      <w:r w:rsidR="001B650A">
        <w:t>,</w:t>
      </w:r>
      <w:r w:rsidRPr="00D47BF1">
        <w:t xml:space="preserve"> </w:t>
      </w:r>
      <w:r w:rsidR="00DD1DCF" w:rsidRPr="00D47BF1">
        <w:t>ABS</w:t>
      </w:r>
      <w:r w:rsidRPr="00D47BF1">
        <w:t>, Regional population</w:t>
      </w:r>
      <w:r w:rsidR="00525AD1" w:rsidRPr="00D47BF1">
        <w:t xml:space="preserve"> 2021–</w:t>
      </w:r>
      <w:r w:rsidR="00D342B1" w:rsidRPr="00D47BF1">
        <w:t>22</w:t>
      </w:r>
      <w:r w:rsidR="00965234">
        <w:t>,</w:t>
      </w:r>
      <w:r w:rsidRPr="00D47BF1">
        <w:t xml:space="preserve"> and Centre for Population projections.</w:t>
      </w:r>
    </w:p>
    <w:p w14:paraId="17394078" w14:textId="157D1AFC" w:rsidR="00DD4AAA" w:rsidRDefault="00DD4AAA">
      <w:pPr>
        <w:spacing w:before="0" w:after="160" w:line="259" w:lineRule="auto"/>
        <w:rPr>
          <w:lang w:eastAsia="en-AU"/>
        </w:rPr>
      </w:pPr>
      <w:bookmarkStart w:id="124" w:name="_Toc151994724"/>
      <w:r>
        <w:rPr>
          <w:lang w:eastAsia="en-AU"/>
        </w:rPr>
        <w:br w:type="page"/>
      </w:r>
    </w:p>
    <w:p w14:paraId="5AF07D64" w14:textId="4167D52D" w:rsidR="00EE5854" w:rsidRPr="00EE5854" w:rsidRDefault="00EE5854" w:rsidP="003164CA">
      <w:pPr>
        <w:pStyle w:val="Heading2Numbered"/>
      </w:pPr>
      <w:bookmarkStart w:id="125" w:name="_Toc152920087"/>
      <w:bookmarkStart w:id="126" w:name="_Toc149846509"/>
      <w:bookmarkStart w:id="127" w:name="_Toc149846550"/>
      <w:bookmarkStart w:id="128" w:name="_Toc149846648"/>
      <w:bookmarkStart w:id="129" w:name="_Toc149847591"/>
      <w:bookmarkStart w:id="130" w:name="_Toc154050213"/>
      <w:bookmarkEnd w:id="125"/>
      <w:r>
        <w:lastRenderedPageBreak/>
        <w:t>Victoria</w:t>
      </w:r>
      <w:bookmarkEnd w:id="124"/>
      <w:bookmarkEnd w:id="126"/>
      <w:bookmarkEnd w:id="127"/>
      <w:bookmarkEnd w:id="128"/>
      <w:bookmarkEnd w:id="129"/>
      <w:bookmarkEnd w:id="130"/>
    </w:p>
    <w:p w14:paraId="4A927F55" w14:textId="42CABB9F" w:rsidR="004C0D0C" w:rsidRDefault="004C0D0C" w:rsidP="004C0D0C">
      <w:r>
        <w:t xml:space="preserve">Victoria had a population of </w:t>
      </w:r>
      <w:r w:rsidR="00184AEC">
        <w:t>6.</w:t>
      </w:r>
      <w:r w:rsidR="00E85B06">
        <w:t>6</w:t>
      </w:r>
      <w:r>
        <w:t xml:space="preserve"> million on 30 June 2022 and is projected to reach </w:t>
      </w:r>
      <w:r w:rsidR="00193AD6">
        <w:t>8.2</w:t>
      </w:r>
      <w:r>
        <w:t xml:space="preserve"> million by 2033–34. </w:t>
      </w:r>
      <w:r w:rsidR="00902502">
        <w:br/>
      </w:r>
      <w:r w:rsidRPr="00C12E41">
        <w:t>The pandemic affected Victoria</w:t>
      </w:r>
      <w:r w:rsidR="004B14AB">
        <w:t>’</w:t>
      </w:r>
      <w:r w:rsidRPr="00C12E41">
        <w:t xml:space="preserve">s population growth more than any other state due to large falls in both net overseas migration and interstate migration. </w:t>
      </w:r>
      <w:r w:rsidR="00037EDF" w:rsidRPr="0031406F">
        <w:t>Population</w:t>
      </w:r>
      <w:r w:rsidR="009D0CF7" w:rsidRPr="0031406F">
        <w:t xml:space="preserve"> growth </w:t>
      </w:r>
      <w:r w:rsidR="00037EDF" w:rsidRPr="0031406F">
        <w:t>has started to recover</w:t>
      </w:r>
      <w:r w:rsidR="009551D5" w:rsidRPr="0031406F">
        <w:t>, with</w:t>
      </w:r>
      <w:r w:rsidR="00D34FD4" w:rsidRPr="0031406F">
        <w:t xml:space="preserve"> 1.</w:t>
      </w:r>
      <w:r w:rsidR="00DA6B5B">
        <w:t>3</w:t>
      </w:r>
      <w:r w:rsidR="001F3B6F">
        <w:t> per cent</w:t>
      </w:r>
      <w:r w:rsidR="00037EDF" w:rsidRPr="0031406F">
        <w:t xml:space="preserve"> </w:t>
      </w:r>
      <w:r w:rsidR="00D34FD4" w:rsidRPr="0031406F">
        <w:t>recorded in 2021</w:t>
      </w:r>
      <w:r w:rsidR="00E54F9C" w:rsidDel="00EA63CC">
        <w:t>–</w:t>
      </w:r>
      <w:r w:rsidR="00D34FD4" w:rsidRPr="0031406F">
        <w:t xml:space="preserve">22 </w:t>
      </w:r>
      <w:r w:rsidR="00037EDF" w:rsidRPr="0031406F">
        <w:t>and 2.8</w:t>
      </w:r>
      <w:r w:rsidR="001F3B6F">
        <w:t> per cent</w:t>
      </w:r>
      <w:r w:rsidR="00037EDF" w:rsidRPr="0031406F">
        <w:t xml:space="preserve"> projected for 2022</w:t>
      </w:r>
      <w:r w:rsidR="00E54F9C" w:rsidDel="00EA63CC">
        <w:t>–</w:t>
      </w:r>
      <w:r w:rsidR="00037EDF" w:rsidRPr="0031406F">
        <w:t>23</w:t>
      </w:r>
      <w:r w:rsidRPr="00C12E41">
        <w:t>. Victoria</w:t>
      </w:r>
      <w:r w:rsidR="004B14AB">
        <w:t>’</w:t>
      </w:r>
      <w:r w:rsidRPr="00C12E41">
        <w:t xml:space="preserve">s population is </w:t>
      </w:r>
      <w:r w:rsidR="00993F9E" w:rsidRPr="0031406F">
        <w:t>projected</w:t>
      </w:r>
      <w:r w:rsidRPr="00C12E41">
        <w:t xml:space="preserve"> to </w:t>
      </w:r>
      <w:r w:rsidR="00F80EC2" w:rsidDel="00EA63CC">
        <w:t>grow</w:t>
      </w:r>
      <w:r w:rsidR="00993F9E" w:rsidRPr="0031406F">
        <w:t xml:space="preserve"> </w:t>
      </w:r>
      <w:r w:rsidR="002A516B">
        <w:t>1.8</w:t>
      </w:r>
      <w:r w:rsidR="001F3B6F">
        <w:t> per cent</w:t>
      </w:r>
      <w:r w:rsidRPr="00C12E41">
        <w:t xml:space="preserve"> </w:t>
      </w:r>
      <w:r w:rsidR="00D329C1" w:rsidDel="00EA63CC">
        <w:t>in</w:t>
      </w:r>
      <w:r w:rsidRPr="00C12E41">
        <w:t xml:space="preserve"> 202</w:t>
      </w:r>
      <w:r w:rsidR="00993F9E" w:rsidRPr="0031406F">
        <w:t>4</w:t>
      </w:r>
      <w:r w:rsidRPr="00C12E41">
        <w:t>–2</w:t>
      </w:r>
      <w:r w:rsidR="00993F9E" w:rsidRPr="0031406F">
        <w:t>5</w:t>
      </w:r>
      <w:r w:rsidR="00B44A7E">
        <w:t xml:space="preserve">, </w:t>
      </w:r>
      <w:r w:rsidR="00784772" w:rsidDel="00EA63CC">
        <w:t>before declining</w:t>
      </w:r>
      <w:r w:rsidRPr="00C12E41">
        <w:t xml:space="preserve"> to </w:t>
      </w:r>
      <w:r w:rsidR="00432099">
        <w:t xml:space="preserve">a </w:t>
      </w:r>
      <w:r w:rsidR="00E61B21">
        <w:t xml:space="preserve">growth </w:t>
      </w:r>
      <w:r w:rsidR="00432099">
        <w:t xml:space="preserve">rate of </w:t>
      </w:r>
      <w:r w:rsidRPr="00C12E41">
        <w:t>1.5</w:t>
      </w:r>
      <w:r w:rsidR="001F3B6F">
        <w:t> per cent</w:t>
      </w:r>
      <w:r w:rsidRPr="00C12E41">
        <w:t xml:space="preserve"> </w:t>
      </w:r>
      <w:r w:rsidR="00993F9E" w:rsidRPr="0031406F">
        <w:t>by</w:t>
      </w:r>
      <w:r w:rsidRPr="00C12E41">
        <w:t xml:space="preserve"> 203</w:t>
      </w:r>
      <w:r w:rsidR="00F858E7" w:rsidRPr="0031406F">
        <w:t>3</w:t>
      </w:r>
      <w:r w:rsidRPr="00C12E41">
        <w:t>–3</w:t>
      </w:r>
      <w:r w:rsidR="00F858E7" w:rsidRPr="0031406F">
        <w:t>4</w:t>
      </w:r>
      <w:r w:rsidRPr="00C12E41">
        <w:t xml:space="preserve"> (</w:t>
      </w:r>
      <w:r w:rsidR="004E71B7">
        <w:fldChar w:fldCharType="begin"/>
      </w:r>
      <w:r w:rsidR="004E71B7">
        <w:instrText xml:space="preserve"> REF _Ref120712744 \r \h </w:instrText>
      </w:r>
      <w:r w:rsidR="004E71B7">
        <w:fldChar w:fldCharType="separate"/>
      </w:r>
      <w:r w:rsidR="00CE6FEA">
        <w:t>Chart 20</w:t>
      </w:r>
      <w:r w:rsidR="004E71B7">
        <w:fldChar w:fldCharType="end"/>
      </w:r>
      <w:r w:rsidRPr="00C12E41">
        <w:t>).</w:t>
      </w:r>
    </w:p>
    <w:p w14:paraId="712BB4EB" w14:textId="33C6098F" w:rsidR="004C0D0C" w:rsidRDefault="004C0D0C" w:rsidP="004C0D0C">
      <w:bookmarkStart w:id="131" w:name="_Hlk114573999"/>
      <w:r>
        <w:t xml:space="preserve">Net overseas migration to Victoria </w:t>
      </w:r>
      <w:r w:rsidR="00BE56CA">
        <w:t>was</w:t>
      </w:r>
      <w:r w:rsidR="00C12E41">
        <w:t xml:space="preserve"> </w:t>
      </w:r>
      <w:r w:rsidR="00DB72ED">
        <w:t>66,000</w:t>
      </w:r>
      <w:r w:rsidR="00AB4658">
        <w:t xml:space="preserve"> </w:t>
      </w:r>
      <w:r>
        <w:t>in 2021–22</w:t>
      </w:r>
      <w:r w:rsidR="00C12E41">
        <w:t xml:space="preserve">. </w:t>
      </w:r>
      <w:r w:rsidR="00BE56CA">
        <w:t>It</w:t>
      </w:r>
      <w:r w:rsidR="00C12E41">
        <w:t xml:space="preserve"> is projected to increase</w:t>
      </w:r>
      <w:r>
        <w:t xml:space="preserve"> to </w:t>
      </w:r>
      <w:r w:rsidR="00A556D8">
        <w:t>156,000</w:t>
      </w:r>
      <w:r>
        <w:t xml:space="preserve"> in 202</w:t>
      </w:r>
      <w:r w:rsidR="00883772">
        <w:t>2</w:t>
      </w:r>
      <w:r>
        <w:t>–2</w:t>
      </w:r>
      <w:r w:rsidR="00883772">
        <w:t>3</w:t>
      </w:r>
      <w:r>
        <w:t xml:space="preserve">, driven by the return of international students. Net overseas migration is forecast to contribute </w:t>
      </w:r>
      <w:r w:rsidR="00FC50D5">
        <w:t>2.3</w:t>
      </w:r>
      <w:r>
        <w:t xml:space="preserve"> percentage points to Victoria</w:t>
      </w:r>
      <w:r w:rsidR="004B14AB">
        <w:t>’</w:t>
      </w:r>
      <w:r>
        <w:t xml:space="preserve">s population growth in </w:t>
      </w:r>
      <w:r w:rsidR="00C12E41">
        <w:t>2022</w:t>
      </w:r>
      <w:r w:rsidR="00E54F9C" w:rsidDel="00EA63CC">
        <w:t>–</w:t>
      </w:r>
      <w:r w:rsidR="00C12E41">
        <w:t>23</w:t>
      </w:r>
      <w:r>
        <w:t xml:space="preserve">, </w:t>
      </w:r>
      <w:r w:rsidR="00D9133E">
        <w:t xml:space="preserve">compared to detracting </w:t>
      </w:r>
      <w:r>
        <w:t>0.8 in 2020–21</w:t>
      </w:r>
      <w:r w:rsidR="00844735">
        <w:t xml:space="preserve"> during the height of the pandemic</w:t>
      </w:r>
      <w:r>
        <w:t xml:space="preserve">. </w:t>
      </w:r>
      <w:r w:rsidR="00CF13FA">
        <w:t>N</w:t>
      </w:r>
      <w:r w:rsidR="00A23E24">
        <w:t xml:space="preserve">et interstate migration is also recovering, although </w:t>
      </w:r>
      <w:r w:rsidR="0065484C" w:rsidDel="00EA63CC">
        <w:t xml:space="preserve">it is </w:t>
      </w:r>
      <w:r w:rsidR="00A23E24">
        <w:t xml:space="preserve">not </w:t>
      </w:r>
      <w:r w:rsidR="0065484C" w:rsidDel="00EA63CC">
        <w:t xml:space="preserve">expected to </w:t>
      </w:r>
      <w:r w:rsidR="00A23E24">
        <w:t xml:space="preserve">return to positive levels </w:t>
      </w:r>
      <w:r w:rsidR="00FA0477">
        <w:t>until 2024</w:t>
      </w:r>
      <w:r w:rsidR="00E54F9C" w:rsidDel="00EA63CC">
        <w:t>–</w:t>
      </w:r>
      <w:r w:rsidR="00FA0477">
        <w:t>25.</w:t>
      </w:r>
      <w:bookmarkEnd w:id="131"/>
    </w:p>
    <w:p w14:paraId="30883A5C" w14:textId="183E977D" w:rsidR="00765CD6" w:rsidRPr="00342678" w:rsidRDefault="00765CD6" w:rsidP="00A4716D">
      <w:pPr>
        <w:pStyle w:val="ChartMainHeading"/>
      </w:pPr>
      <w:bookmarkStart w:id="132" w:name="_Ref120712744"/>
      <w:r w:rsidRPr="00342678">
        <w:t>Population growth and components, Victoria</w:t>
      </w:r>
      <w:bookmarkEnd w:id="132"/>
    </w:p>
    <w:p w14:paraId="6268CF23" w14:textId="67B28A3C" w:rsidR="003602E6" w:rsidRDefault="00924BDF" w:rsidP="00A4716D">
      <w:pPr>
        <w:pStyle w:val="ChartGraphic"/>
      </w:pPr>
      <w:r w:rsidRPr="00924BDF">
        <w:t xml:space="preserve"> </w:t>
      </w:r>
      <w:r w:rsidR="00356451" w:rsidRPr="00356451">
        <w:rPr>
          <w:noProof/>
        </w:rPr>
        <w:drawing>
          <wp:inline distT="0" distB="0" distL="0" distR="0" wp14:anchorId="40820566" wp14:editId="0E0CD61C">
            <wp:extent cx="5549900" cy="2886075"/>
            <wp:effectExtent l="0" t="0" r="0" b="0"/>
            <wp:docPr id="37" name="Picture 37" descr="This chart shows total population growth in Victoria, disaggregated into its components: natural increase, net overseas migration and net interstate migration. Intercensal difference is also shown. Net overseas migration will be the main driver of growth over the project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hart shows total population growth in Victoria, disaggregated into its components: natural increase, net overseas migration and net interstate migration. Intercensal difference is also shown. Net overseas migration will be the main driver of growth over the projected perio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9900" cy="2886075"/>
                    </a:xfrm>
                    <a:prstGeom prst="rect">
                      <a:avLst/>
                    </a:prstGeom>
                    <a:noFill/>
                    <a:ln>
                      <a:noFill/>
                    </a:ln>
                  </pic:spPr>
                </pic:pic>
              </a:graphicData>
            </a:graphic>
          </wp:inline>
        </w:drawing>
      </w:r>
    </w:p>
    <w:p w14:paraId="58AFC030" w14:textId="1E684381" w:rsidR="00765CD6" w:rsidRPr="00A4716D" w:rsidRDefault="00765CD6" w:rsidP="00C14BAE">
      <w:pPr>
        <w:pStyle w:val="Source"/>
        <w:rPr>
          <w:rStyle w:val="Hyperlink"/>
          <w:color w:val="000000"/>
          <w:sz w:val="20"/>
        </w:rPr>
      </w:pPr>
      <w:r w:rsidRPr="00342678">
        <w:t xml:space="preserve">Source: </w:t>
      </w:r>
      <w:r w:rsidR="00C6176C" w:rsidRPr="00342678">
        <w:tab/>
      </w:r>
      <w:r w:rsidR="00DD1DCF" w:rsidRPr="00342678">
        <w:t>ABS</w:t>
      </w:r>
      <w:r w:rsidRPr="00342678">
        <w:t>, National, state and territory population, March 202</w:t>
      </w:r>
      <w:r w:rsidR="0079742A">
        <w:t>3</w:t>
      </w:r>
      <w:r w:rsidRPr="00342678">
        <w:t xml:space="preserve"> and Centre for Population projections.</w:t>
      </w:r>
    </w:p>
    <w:p w14:paraId="1AA8B7D9" w14:textId="27A8418C" w:rsidR="0048412B" w:rsidRDefault="0048412B" w:rsidP="0048412B">
      <w:r w:rsidRPr="00F704FC">
        <w:rPr>
          <w:b/>
        </w:rPr>
        <w:t>Greater Melbourne</w:t>
      </w:r>
      <w:r>
        <w:t xml:space="preserve"> had </w:t>
      </w:r>
      <w:r w:rsidR="00BB5726">
        <w:t>5</w:t>
      </w:r>
      <w:r w:rsidR="002E3B5E" w:rsidDel="00EA63CC">
        <w:t>.0</w:t>
      </w:r>
      <w:r>
        <w:t xml:space="preserve"> million residents on 30 June 202</w:t>
      </w:r>
      <w:r w:rsidR="00A35E44">
        <w:t>2</w:t>
      </w:r>
      <w:r>
        <w:t xml:space="preserve">, accounting for </w:t>
      </w:r>
      <w:r w:rsidR="006472EB">
        <w:t>76</w:t>
      </w:r>
      <w:r w:rsidR="001F3B6F">
        <w:t> per cent</w:t>
      </w:r>
      <w:r>
        <w:t xml:space="preserve"> of Victoria</w:t>
      </w:r>
      <w:r w:rsidR="004B14AB">
        <w:t>’</w:t>
      </w:r>
      <w:r>
        <w:t xml:space="preserve">s population. Population growth in Melbourne is projected to </w:t>
      </w:r>
      <w:r w:rsidR="00E9580A">
        <w:t>be</w:t>
      </w:r>
      <w:r>
        <w:t xml:space="preserve"> </w:t>
      </w:r>
      <w:r w:rsidR="003E6856">
        <w:t>3.3</w:t>
      </w:r>
      <w:r w:rsidR="001F3B6F">
        <w:t> per cent</w:t>
      </w:r>
      <w:r>
        <w:t xml:space="preserve"> in </w:t>
      </w:r>
      <w:r w:rsidR="0097269B">
        <w:t>2022</w:t>
      </w:r>
      <w:r w:rsidR="00BA58D9">
        <w:t>–</w:t>
      </w:r>
      <w:r w:rsidR="0097269B">
        <w:t>23</w:t>
      </w:r>
      <w:r>
        <w:t xml:space="preserve">, </w:t>
      </w:r>
      <w:r w:rsidR="00D30294">
        <w:t xml:space="preserve">well above the </w:t>
      </w:r>
      <w:r w:rsidR="00D34A52">
        <w:t>pre</w:t>
      </w:r>
      <w:r w:rsidR="004B14AB">
        <w:noBreakHyphen/>
      </w:r>
      <w:r w:rsidR="00D34A52">
        <w:t>pandemic rate</w:t>
      </w:r>
      <w:r w:rsidR="00D30294">
        <w:t xml:space="preserve"> of </w:t>
      </w:r>
      <w:r w:rsidR="007E0B71" w:rsidDel="00EA63CC">
        <w:t>1</w:t>
      </w:r>
      <w:r w:rsidR="007E0B71">
        <w:t>.8</w:t>
      </w:r>
      <w:r w:rsidR="001F3B6F">
        <w:t> per cent</w:t>
      </w:r>
      <w:r w:rsidR="00D30294">
        <w:t xml:space="preserve"> </w:t>
      </w:r>
      <w:r w:rsidR="00D34A52">
        <w:t>recorded in</w:t>
      </w:r>
      <w:r w:rsidR="00D30294">
        <w:t xml:space="preserve"> 2018–19. Population growth will then decline</w:t>
      </w:r>
      <w:r>
        <w:t xml:space="preserve"> to </w:t>
      </w:r>
      <w:r w:rsidR="00055DAD">
        <w:t>1.7</w:t>
      </w:r>
      <w:r w:rsidR="001F3B6F">
        <w:t> per cent</w:t>
      </w:r>
      <w:r>
        <w:t xml:space="preserve"> in 203</w:t>
      </w:r>
      <w:r w:rsidR="0097269B">
        <w:t>3</w:t>
      </w:r>
      <w:r>
        <w:rPr>
          <w:rFonts w:ascii="Symbol" w:eastAsia="Symbol" w:hAnsi="Symbol" w:cs="Symbol"/>
        </w:rPr>
        <w:t>-</w:t>
      </w:r>
      <w:r>
        <w:t>3</w:t>
      </w:r>
      <w:r w:rsidR="0097269B">
        <w:t>4</w:t>
      </w:r>
      <w:r w:rsidR="000C691B">
        <w:t>,</w:t>
      </w:r>
      <w:r w:rsidR="000C691B" w:rsidDel="00EA63CC">
        <w:t xml:space="preserve"> </w:t>
      </w:r>
      <w:r w:rsidR="00F949A1">
        <w:t>with</w:t>
      </w:r>
      <w:r w:rsidR="00F949A1" w:rsidDel="00EA63CC">
        <w:t xml:space="preserve"> </w:t>
      </w:r>
      <w:r w:rsidR="001E0738" w:rsidDel="00EA63CC">
        <w:t>Melbourne projected to be the fastest growing capital city from 2023</w:t>
      </w:r>
      <w:r w:rsidR="00E54F9C" w:rsidDel="00EA63CC">
        <w:t>–</w:t>
      </w:r>
      <w:r w:rsidR="001E0738" w:rsidDel="00EA63CC">
        <w:t>24</w:t>
      </w:r>
      <w:r w:rsidDel="00EA63CC">
        <w:t>.</w:t>
      </w:r>
      <w:r>
        <w:t xml:space="preserve"> </w:t>
      </w:r>
      <w:r w:rsidR="000130B5">
        <w:t>Due to</w:t>
      </w:r>
      <w:r w:rsidR="00BC5684">
        <w:t xml:space="preserve"> strong internal and overseas migration, </w:t>
      </w:r>
      <w:r>
        <w:t xml:space="preserve">Melbourne is projected to overtake Sydney to become the largest city in Australia in 2031–32, with a population of </w:t>
      </w:r>
      <w:r w:rsidR="00AE28EC">
        <w:t>6.</w:t>
      </w:r>
      <w:r w:rsidR="00547F1D">
        <w:t>2</w:t>
      </w:r>
      <w:r w:rsidR="00F6173B" w:rsidDel="00EA63CC">
        <w:t> </w:t>
      </w:r>
      <w:r>
        <w:t>million, and then grow to 6.</w:t>
      </w:r>
      <w:r w:rsidR="00547F1D">
        <w:t>4</w:t>
      </w:r>
      <w:r>
        <w:t xml:space="preserve"> million in 203</w:t>
      </w:r>
      <w:r w:rsidR="0097269B">
        <w:t>3</w:t>
      </w:r>
      <w:r>
        <w:t>–3</w:t>
      </w:r>
      <w:r w:rsidR="0097269B">
        <w:t>4</w:t>
      </w:r>
      <w:r>
        <w:t>.</w:t>
      </w:r>
      <w:r w:rsidR="009B5404">
        <w:t xml:space="preserve"> </w:t>
      </w:r>
    </w:p>
    <w:p w14:paraId="55A1D09B" w14:textId="60B08CC5" w:rsidR="0048412B" w:rsidRDefault="0048412B" w:rsidP="0048412B">
      <w:r>
        <w:t xml:space="preserve">The </w:t>
      </w:r>
      <w:r w:rsidRPr="00F704FC">
        <w:rPr>
          <w:b/>
        </w:rPr>
        <w:t xml:space="preserve">rest of Victoria </w:t>
      </w:r>
      <w:r>
        <w:t xml:space="preserve">had a population of </w:t>
      </w:r>
      <w:r w:rsidR="000D57C0">
        <w:t>1.6</w:t>
      </w:r>
      <w:r>
        <w:t xml:space="preserve"> million on 30 June 202</w:t>
      </w:r>
      <w:r w:rsidR="000B2D92">
        <w:t>2</w:t>
      </w:r>
      <w:r>
        <w:t xml:space="preserve">. Population growth in the rest of Victoria was supported by strong internal migration in the early stages of the pandemic, which helped offset the decline in overseas migration. </w:t>
      </w:r>
      <w:r w:rsidR="00C2254E">
        <w:t xml:space="preserve">This trend is expected to reverse as overseas migration recovers and </w:t>
      </w:r>
      <w:r w:rsidR="00542C2D">
        <w:t>levels of internal migration decline</w:t>
      </w:r>
      <w:r w:rsidR="00BF21FF">
        <w:t>,</w:t>
      </w:r>
      <w:r w:rsidR="00BF21FF" w:rsidDel="00EA63CC">
        <w:t xml:space="preserve"> </w:t>
      </w:r>
      <w:r w:rsidR="002B318C" w:rsidDel="00EA63CC">
        <w:t>with population growth falling slightly to 1.0</w:t>
      </w:r>
      <w:r w:rsidR="001F3B6F">
        <w:t> per cent</w:t>
      </w:r>
      <w:r w:rsidR="002B318C" w:rsidDel="00EA63CC">
        <w:t xml:space="preserve"> in 2022</w:t>
      </w:r>
      <w:r w:rsidR="00E54F9C" w:rsidDel="00EA63CC">
        <w:t>–</w:t>
      </w:r>
      <w:r w:rsidR="002B318C" w:rsidDel="00EA63CC">
        <w:t>23</w:t>
      </w:r>
      <w:r w:rsidR="00542C2D" w:rsidDel="00EA63CC">
        <w:t xml:space="preserve">. </w:t>
      </w:r>
      <w:r w:rsidR="00283949">
        <w:t>The r</w:t>
      </w:r>
      <w:r w:rsidR="00D3494E" w:rsidDel="00EA63CC">
        <w:t>est</w:t>
      </w:r>
      <w:r w:rsidR="004773C9" w:rsidDel="00EA63CC">
        <w:t xml:space="preserve"> of Victoria is </w:t>
      </w:r>
      <w:r w:rsidR="00305EEF" w:rsidDel="00EA63CC">
        <w:t>expected to be the second fastest growing rest</w:t>
      </w:r>
      <w:r w:rsidR="004B14AB">
        <w:noBreakHyphen/>
      </w:r>
      <w:r w:rsidR="00305EEF" w:rsidDel="00EA63CC">
        <w:t>of</w:t>
      </w:r>
      <w:r w:rsidR="004B14AB">
        <w:noBreakHyphen/>
      </w:r>
      <w:r w:rsidR="00305EEF" w:rsidDel="00EA63CC">
        <w:t>state area from 2023</w:t>
      </w:r>
      <w:r w:rsidR="00E54F9C" w:rsidDel="00EA63CC">
        <w:t>–</w:t>
      </w:r>
      <w:r w:rsidR="00305EEF" w:rsidDel="00EA63CC">
        <w:t>24</w:t>
      </w:r>
      <w:r w:rsidR="0097296F">
        <w:t xml:space="preserve"> behind the rest of Queensland</w:t>
      </w:r>
      <w:r w:rsidR="007418B7" w:rsidDel="00EA63CC">
        <w:t>. This is</w:t>
      </w:r>
      <w:r w:rsidR="00EE396D" w:rsidDel="00EA63CC">
        <w:t xml:space="preserve"> driven by relatively high contributions from </w:t>
      </w:r>
      <w:r w:rsidR="00FB7CC8" w:rsidDel="00EA63CC">
        <w:t>internal migration</w:t>
      </w:r>
      <w:r w:rsidR="007418B7" w:rsidDel="00EA63CC">
        <w:t>, but it is expected to experience natural decrease from 2030</w:t>
      </w:r>
      <w:r w:rsidR="00E54F9C" w:rsidDel="00EA63CC">
        <w:t>–</w:t>
      </w:r>
      <w:r w:rsidR="007418B7" w:rsidDel="00EA63CC">
        <w:t>31</w:t>
      </w:r>
      <w:r w:rsidR="00FB7CC8" w:rsidDel="00EA63CC">
        <w:t xml:space="preserve">. </w:t>
      </w:r>
      <w:r w:rsidDel="00EA63CC">
        <w:t>In</w:t>
      </w:r>
      <w:r w:rsidR="004C79D2">
        <w:t> </w:t>
      </w:r>
      <w:r w:rsidDel="00EA63CC">
        <w:t>203</w:t>
      </w:r>
      <w:r w:rsidR="00B93060" w:rsidDel="00EA63CC">
        <w:t>3</w:t>
      </w:r>
      <w:r w:rsidDel="00EA63CC">
        <w:t>–3</w:t>
      </w:r>
      <w:r w:rsidR="00B93060" w:rsidDel="00EA63CC">
        <w:t>4</w:t>
      </w:r>
      <w:r w:rsidDel="00EA63CC">
        <w:t xml:space="preserve">, the population of the rest of Victoria is projected to be </w:t>
      </w:r>
      <w:r w:rsidR="00947010" w:rsidDel="00EA63CC">
        <w:t>1.8</w:t>
      </w:r>
      <w:r w:rsidDel="00EA63CC">
        <w:t> million.</w:t>
      </w:r>
    </w:p>
    <w:p w14:paraId="7C45C09D" w14:textId="7E0F95A8" w:rsidR="006F2E35" w:rsidRPr="0080495D" w:rsidRDefault="006F2E35" w:rsidP="000F38BB">
      <w:pPr>
        <w:pStyle w:val="ChartMainHeading"/>
      </w:pPr>
      <w:r w:rsidRPr="0080495D">
        <w:lastRenderedPageBreak/>
        <w:t xml:space="preserve">Population growth and components, </w:t>
      </w:r>
      <w:r>
        <w:t>Victoria</w:t>
      </w:r>
    </w:p>
    <w:p w14:paraId="06D6E40A" w14:textId="1146FA53" w:rsidR="00B76F91" w:rsidRDefault="005F628E" w:rsidP="000F38BB">
      <w:pPr>
        <w:pStyle w:val="ChartGraphic"/>
      </w:pPr>
      <w:r w:rsidRPr="005F628E">
        <w:rPr>
          <w:noProof/>
        </w:rPr>
        <w:drawing>
          <wp:inline distT="0" distB="0" distL="0" distR="0" wp14:anchorId="6184B669" wp14:editId="2C6A0AAB">
            <wp:extent cx="5581650" cy="2885440"/>
            <wp:effectExtent l="0" t="0" r="0" b="0"/>
            <wp:docPr id="28" name="Picture 28" descr="This chart shows population growth in Victoria, Melbourne and the rest of Victoria. Population growth declined significantly in Melbourne in 2019-20 and 2020-21, and this drove growth lower in Victoria. Population growth in the rest of Victoria declined slightly in 2020-21, and is forecast to continue to slowly decline for the rest of the projection period. Population growth in Victoria and Melbourne is projected to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population growth in Victoria, Melbourne and the rest of Victoria. Population growth declined significantly in Melbourne in 2019-20 and 2020-21, and this drove growth lower in Victoria. Population growth in the rest of Victoria declined slightly in 2020-21, and is forecast to continue to slowly decline for the rest of the projection period. Population growth in Victoria and Melbourne is projected to reco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2885440"/>
                    </a:xfrm>
                    <a:prstGeom prst="rect">
                      <a:avLst/>
                    </a:prstGeom>
                    <a:noFill/>
                    <a:ln>
                      <a:noFill/>
                    </a:ln>
                  </pic:spPr>
                </pic:pic>
              </a:graphicData>
            </a:graphic>
          </wp:inline>
        </w:drawing>
      </w:r>
    </w:p>
    <w:p w14:paraId="1E5C6784" w14:textId="0041E1A6" w:rsidR="00B76F91" w:rsidRPr="00C6176C" w:rsidRDefault="00B76F91" w:rsidP="00C14BAE">
      <w:pPr>
        <w:pStyle w:val="Source"/>
      </w:pPr>
      <w:r w:rsidRPr="00C6176C">
        <w:t xml:space="preserve">Source: </w:t>
      </w:r>
      <w:r w:rsidR="00C6176C">
        <w:tab/>
      </w:r>
      <w:r w:rsidR="00DD1DCF" w:rsidRPr="00C6176C">
        <w:t>ABS</w:t>
      </w:r>
      <w:r w:rsidRPr="00C6176C">
        <w:t>, Regional population 2021–22</w:t>
      </w:r>
      <w:r w:rsidR="00A36FA4">
        <w:t>,</w:t>
      </w:r>
      <w:r w:rsidRPr="00C6176C">
        <w:t xml:space="preserve"> </w:t>
      </w:r>
      <w:r w:rsidR="00DD1DCF" w:rsidRPr="00C6176C">
        <w:t>ABS</w:t>
      </w:r>
      <w:r w:rsidRPr="00C6176C">
        <w:t xml:space="preserve"> National, state and territory population, March 2023</w:t>
      </w:r>
      <w:r w:rsidR="00A36FA4">
        <w:t>,</w:t>
      </w:r>
      <w:r w:rsidR="001F0DE5">
        <w:t xml:space="preserve"> </w:t>
      </w:r>
      <w:r w:rsidRPr="00C6176C">
        <w:t>and Centre for Population projections.</w:t>
      </w:r>
    </w:p>
    <w:p w14:paraId="115562CE" w14:textId="02D9B531" w:rsidR="00DD4AAA" w:rsidRDefault="00DD4AAA">
      <w:pPr>
        <w:spacing w:before="0" w:after="160" w:line="259" w:lineRule="auto"/>
      </w:pPr>
      <w:r>
        <w:br w:type="page"/>
      </w:r>
    </w:p>
    <w:p w14:paraId="4FD67511" w14:textId="77777777" w:rsidR="00AF59F4" w:rsidRPr="00BC0E7F" w:rsidRDefault="00AF59F4" w:rsidP="00EE2810">
      <w:pPr>
        <w:pStyle w:val="TableMainHeading"/>
      </w:pPr>
      <w:r w:rsidRPr="00BC0E7F">
        <w:lastRenderedPageBreak/>
        <w:t>Population projections, Victoria</w:t>
      </w:r>
    </w:p>
    <w:tbl>
      <w:tblPr>
        <w:tblStyle w:val="CPOPTable"/>
        <w:tblW w:w="0" w:type="auto"/>
        <w:tblLook w:val="04A0" w:firstRow="1" w:lastRow="0" w:firstColumn="1" w:lastColumn="0" w:noHBand="0" w:noVBand="1"/>
      </w:tblPr>
      <w:tblGrid>
        <w:gridCol w:w="3096"/>
        <w:gridCol w:w="996"/>
        <w:gridCol w:w="996"/>
        <w:gridCol w:w="996"/>
        <w:gridCol w:w="996"/>
        <w:gridCol w:w="996"/>
        <w:gridCol w:w="996"/>
      </w:tblGrid>
      <w:tr w:rsidR="00AF59F4" w:rsidRPr="0080495D" w14:paraId="25A787A5" w14:textId="77777777" w:rsidTr="00EE2810">
        <w:trPr>
          <w:cnfStyle w:val="100000000000" w:firstRow="1" w:lastRow="0" w:firstColumn="0" w:lastColumn="0" w:oddVBand="0" w:evenVBand="0" w:oddHBand="0" w:evenHBand="0" w:firstRowFirstColumn="0" w:firstRowLastColumn="0" w:lastRowFirstColumn="0" w:lastRowLastColumn="0"/>
        </w:trPr>
        <w:tc>
          <w:tcPr>
            <w:tcW w:w="3096" w:type="dxa"/>
          </w:tcPr>
          <w:p w14:paraId="7155EBE2" w14:textId="77777777" w:rsidR="00AF59F4" w:rsidRPr="0080495D" w:rsidRDefault="00AF59F4" w:rsidP="00AF59F4">
            <w:pPr>
              <w:spacing w:after="0"/>
            </w:pPr>
          </w:p>
        </w:tc>
        <w:tc>
          <w:tcPr>
            <w:tcW w:w="996" w:type="dxa"/>
          </w:tcPr>
          <w:p w14:paraId="08472DB9" w14:textId="14B7D7A9" w:rsidR="00AF59F4" w:rsidRPr="0080495D" w:rsidRDefault="00AF59F4" w:rsidP="004C79D2">
            <w:pPr>
              <w:pStyle w:val="TableColumnHeadingRight"/>
            </w:pPr>
            <w:r w:rsidRPr="0080495D">
              <w:t>202</w:t>
            </w:r>
            <w:r>
              <w:t>1–</w:t>
            </w:r>
            <w:r w:rsidRPr="0080495D">
              <w:t>2</w:t>
            </w:r>
            <w:r>
              <w:t>2</w:t>
            </w:r>
          </w:p>
        </w:tc>
        <w:tc>
          <w:tcPr>
            <w:tcW w:w="996" w:type="dxa"/>
            <w:shd w:val="clear" w:color="auto" w:fill="D2EDFF" w:themeFill="accent1" w:themeFillTint="1A"/>
          </w:tcPr>
          <w:p w14:paraId="2DB1C5FC" w14:textId="0265FD25" w:rsidR="00AF59F4" w:rsidRPr="0080495D" w:rsidRDefault="00AF59F4" w:rsidP="004C79D2">
            <w:pPr>
              <w:pStyle w:val="TableColumnHeadingRight"/>
            </w:pPr>
            <w:r w:rsidRPr="0080495D">
              <w:t>202</w:t>
            </w:r>
            <w:r>
              <w:t>2–</w:t>
            </w:r>
            <w:r w:rsidRPr="0080495D">
              <w:t>2</w:t>
            </w:r>
            <w:r>
              <w:t>3</w:t>
            </w:r>
          </w:p>
        </w:tc>
        <w:tc>
          <w:tcPr>
            <w:tcW w:w="996" w:type="dxa"/>
          </w:tcPr>
          <w:p w14:paraId="18051BBB" w14:textId="58BED781" w:rsidR="00AF59F4" w:rsidRPr="0080495D" w:rsidRDefault="00AF59F4" w:rsidP="004C79D2">
            <w:pPr>
              <w:pStyle w:val="TableColumnHeadingRight"/>
            </w:pPr>
            <w:r w:rsidRPr="0080495D">
              <w:t>202</w:t>
            </w:r>
            <w:r>
              <w:t>3–</w:t>
            </w:r>
            <w:r w:rsidRPr="0080495D">
              <w:t>2</w:t>
            </w:r>
            <w:r>
              <w:t>4</w:t>
            </w:r>
          </w:p>
        </w:tc>
        <w:tc>
          <w:tcPr>
            <w:tcW w:w="996" w:type="dxa"/>
          </w:tcPr>
          <w:p w14:paraId="17059DD7" w14:textId="2D24FD93" w:rsidR="00AF59F4" w:rsidRPr="0080495D" w:rsidRDefault="00AF59F4" w:rsidP="004C79D2">
            <w:pPr>
              <w:pStyle w:val="TableColumnHeadingRight"/>
            </w:pPr>
            <w:r w:rsidRPr="0080495D">
              <w:t>202</w:t>
            </w:r>
            <w:r>
              <w:t>4–</w:t>
            </w:r>
            <w:r w:rsidRPr="0080495D">
              <w:t>2</w:t>
            </w:r>
            <w:r>
              <w:t>5</w:t>
            </w:r>
          </w:p>
        </w:tc>
        <w:tc>
          <w:tcPr>
            <w:tcW w:w="996" w:type="dxa"/>
          </w:tcPr>
          <w:p w14:paraId="4D8510D4" w14:textId="2588195B" w:rsidR="00AF59F4" w:rsidRPr="0080495D" w:rsidRDefault="00AF59F4" w:rsidP="004C79D2">
            <w:pPr>
              <w:pStyle w:val="TableColumnHeadingRight"/>
            </w:pPr>
            <w:r w:rsidRPr="0080495D">
              <w:t>202</w:t>
            </w:r>
            <w:r>
              <w:t>5–</w:t>
            </w:r>
            <w:r w:rsidRPr="0080495D">
              <w:t>2</w:t>
            </w:r>
            <w:r>
              <w:t>6</w:t>
            </w:r>
          </w:p>
        </w:tc>
        <w:tc>
          <w:tcPr>
            <w:tcW w:w="996" w:type="dxa"/>
          </w:tcPr>
          <w:p w14:paraId="04E3790C" w14:textId="1E5582B3" w:rsidR="00AF59F4" w:rsidRPr="0080495D" w:rsidRDefault="00AF59F4" w:rsidP="004C79D2">
            <w:pPr>
              <w:pStyle w:val="TableColumnHeadingRight"/>
            </w:pPr>
            <w:r w:rsidRPr="0080495D">
              <w:t>203</w:t>
            </w:r>
            <w:r>
              <w:t>3–</w:t>
            </w:r>
            <w:r w:rsidRPr="0080495D">
              <w:t>3</w:t>
            </w:r>
            <w:r>
              <w:t>4</w:t>
            </w:r>
          </w:p>
        </w:tc>
      </w:tr>
      <w:tr w:rsidR="001A002F" w:rsidRPr="0080495D" w14:paraId="4BA74532" w14:textId="77777777" w:rsidTr="00EE2810">
        <w:tc>
          <w:tcPr>
            <w:tcW w:w="0" w:type="dxa"/>
          </w:tcPr>
          <w:p w14:paraId="270B86F5" w14:textId="3E656137" w:rsidR="00AF59F4" w:rsidRPr="00EE2810" w:rsidRDefault="00AF59F4" w:rsidP="004C79D2">
            <w:pPr>
              <w:pStyle w:val="TableColumnHeadingLeft"/>
            </w:pPr>
            <w:r w:rsidRPr="00892A86">
              <w:t>Population (</w:t>
            </w:r>
            <w:r w:rsidR="004B14AB" w:rsidRPr="00892A86">
              <w:t>‘</w:t>
            </w:r>
            <w:r w:rsidRPr="00892A86">
              <w:t>000)</w:t>
            </w:r>
          </w:p>
        </w:tc>
        <w:tc>
          <w:tcPr>
            <w:tcW w:w="0" w:type="dxa"/>
            <w:vAlign w:val="center"/>
          </w:tcPr>
          <w:p w14:paraId="00451975" w14:textId="77777777" w:rsidR="00AF59F4" w:rsidRPr="00E20618" w:rsidRDefault="00AF59F4" w:rsidP="00EE2810">
            <w:pPr>
              <w:spacing w:after="0"/>
              <w:jc w:val="right"/>
            </w:pPr>
          </w:p>
        </w:tc>
        <w:tc>
          <w:tcPr>
            <w:tcW w:w="0" w:type="dxa"/>
            <w:shd w:val="clear" w:color="auto" w:fill="D2EDFF" w:themeFill="accent1" w:themeFillTint="1A"/>
            <w:vAlign w:val="center"/>
          </w:tcPr>
          <w:p w14:paraId="75EE56AC" w14:textId="0EECE02C" w:rsidR="00AF59F4" w:rsidRPr="00E20618" w:rsidRDefault="0006553C" w:rsidP="00EE2810">
            <w:pPr>
              <w:spacing w:after="0"/>
              <w:jc w:val="right"/>
            </w:pPr>
            <w:r w:rsidRPr="00F67DB6">
              <w:rPr>
                <w:rFonts w:ascii="Calibri" w:hAnsi="Calibri"/>
              </w:rPr>
              <w:t> </w:t>
            </w:r>
          </w:p>
        </w:tc>
        <w:tc>
          <w:tcPr>
            <w:tcW w:w="0" w:type="dxa"/>
            <w:vAlign w:val="center"/>
          </w:tcPr>
          <w:p w14:paraId="537FF507" w14:textId="77777777" w:rsidR="00AF59F4" w:rsidRPr="00E20618" w:rsidRDefault="00AF59F4" w:rsidP="00EE2810">
            <w:pPr>
              <w:spacing w:after="0"/>
              <w:jc w:val="right"/>
            </w:pPr>
          </w:p>
        </w:tc>
        <w:tc>
          <w:tcPr>
            <w:tcW w:w="0" w:type="dxa"/>
            <w:vAlign w:val="center"/>
          </w:tcPr>
          <w:p w14:paraId="6EE7EF06" w14:textId="77777777" w:rsidR="00AF59F4" w:rsidRPr="00E20618" w:rsidRDefault="00AF59F4" w:rsidP="00EE2810">
            <w:pPr>
              <w:spacing w:after="0"/>
              <w:jc w:val="right"/>
            </w:pPr>
          </w:p>
        </w:tc>
        <w:tc>
          <w:tcPr>
            <w:tcW w:w="0" w:type="dxa"/>
            <w:tcBorders>
              <w:right w:val="single" w:sz="4" w:space="0" w:color="auto"/>
            </w:tcBorders>
            <w:vAlign w:val="center"/>
          </w:tcPr>
          <w:p w14:paraId="52C99F15" w14:textId="3060B14E" w:rsidR="00AF59F4" w:rsidRPr="00E20618" w:rsidRDefault="0006553C" w:rsidP="00EE2810">
            <w:pPr>
              <w:spacing w:after="0"/>
              <w:jc w:val="right"/>
            </w:pPr>
            <w:r w:rsidRPr="00F67DB6">
              <w:rPr>
                <w:rFonts w:ascii="Calibri" w:hAnsi="Calibri"/>
              </w:rPr>
              <w:t> </w:t>
            </w:r>
          </w:p>
        </w:tc>
        <w:tc>
          <w:tcPr>
            <w:tcW w:w="0" w:type="dxa"/>
            <w:tcBorders>
              <w:top w:val="single" w:sz="4" w:space="0" w:color="000000" w:themeColor="text1"/>
              <w:left w:val="single" w:sz="4" w:space="0" w:color="auto"/>
            </w:tcBorders>
            <w:vAlign w:val="center"/>
          </w:tcPr>
          <w:p w14:paraId="1BE8C3AB" w14:textId="77777777" w:rsidR="00AF59F4" w:rsidRPr="00E20618" w:rsidRDefault="00AF59F4" w:rsidP="00EE2810">
            <w:pPr>
              <w:spacing w:after="0"/>
              <w:jc w:val="right"/>
            </w:pPr>
          </w:p>
        </w:tc>
      </w:tr>
      <w:tr w:rsidR="00F67DB6" w:rsidRPr="0080495D" w14:paraId="2D2150E1" w14:textId="77777777" w:rsidTr="0006553C">
        <w:tc>
          <w:tcPr>
            <w:tcW w:w="0" w:type="dxa"/>
          </w:tcPr>
          <w:p w14:paraId="6B167357" w14:textId="77777777" w:rsidR="00AF59F4" w:rsidRPr="00EE2810" w:rsidRDefault="00AF59F4" w:rsidP="004C79D2">
            <w:pPr>
              <w:pStyle w:val="TableTextLeft"/>
            </w:pPr>
            <w:r w:rsidRPr="00EE2810">
              <w:t>Victoria</w:t>
            </w:r>
          </w:p>
        </w:tc>
        <w:tc>
          <w:tcPr>
            <w:tcW w:w="0" w:type="dxa"/>
            <w:tcBorders>
              <w:top w:val="nil"/>
              <w:left w:val="nil"/>
              <w:bottom w:val="nil"/>
              <w:right w:val="nil"/>
            </w:tcBorders>
            <w:vAlign w:val="center"/>
          </w:tcPr>
          <w:p w14:paraId="5753CB30" w14:textId="04CF8DFF" w:rsidR="00AF59F4" w:rsidRPr="00E20618" w:rsidRDefault="00265CE5" w:rsidP="004C79D2">
            <w:pPr>
              <w:pStyle w:val="TableTextRight"/>
            </w:pPr>
            <w:r w:rsidRPr="00EE2810">
              <w:t>6,630</w:t>
            </w:r>
          </w:p>
        </w:tc>
        <w:tc>
          <w:tcPr>
            <w:tcW w:w="0" w:type="dxa"/>
            <w:tcBorders>
              <w:top w:val="nil"/>
              <w:left w:val="nil"/>
              <w:bottom w:val="nil"/>
              <w:right w:val="nil"/>
            </w:tcBorders>
            <w:shd w:val="clear" w:color="auto" w:fill="D2EDFF" w:themeFill="accent1" w:themeFillTint="1A"/>
            <w:vAlign w:val="center"/>
          </w:tcPr>
          <w:p w14:paraId="44A6D092" w14:textId="42FE62D1" w:rsidR="00AF59F4" w:rsidRPr="00E20618" w:rsidRDefault="00265CE5" w:rsidP="004C79D2">
            <w:pPr>
              <w:pStyle w:val="TableTextRight"/>
            </w:pPr>
            <w:r w:rsidRPr="00EE2810">
              <w:t>6,815</w:t>
            </w:r>
          </w:p>
        </w:tc>
        <w:tc>
          <w:tcPr>
            <w:tcW w:w="0" w:type="dxa"/>
            <w:tcBorders>
              <w:top w:val="nil"/>
              <w:left w:val="nil"/>
              <w:bottom w:val="nil"/>
              <w:right w:val="nil"/>
            </w:tcBorders>
            <w:vAlign w:val="center"/>
          </w:tcPr>
          <w:p w14:paraId="4E9C4C9A" w14:textId="03CEF588" w:rsidR="00AF59F4" w:rsidRPr="00E20618" w:rsidRDefault="00265CE5" w:rsidP="004C79D2">
            <w:pPr>
              <w:pStyle w:val="TableTextRight"/>
            </w:pPr>
            <w:r w:rsidRPr="00EE2810">
              <w:t>6,</w:t>
            </w:r>
            <w:r w:rsidR="00EC1368">
              <w:rPr>
                <w:rFonts w:cs="Calibri"/>
              </w:rPr>
              <w:t>978</w:t>
            </w:r>
          </w:p>
        </w:tc>
        <w:tc>
          <w:tcPr>
            <w:tcW w:w="0" w:type="dxa"/>
            <w:tcBorders>
              <w:top w:val="nil"/>
              <w:left w:val="nil"/>
              <w:bottom w:val="nil"/>
              <w:right w:val="nil"/>
            </w:tcBorders>
            <w:vAlign w:val="center"/>
          </w:tcPr>
          <w:p w14:paraId="5D33886F" w14:textId="35AE1941" w:rsidR="00AF59F4" w:rsidRPr="00E20618" w:rsidRDefault="00265CE5" w:rsidP="004C79D2">
            <w:pPr>
              <w:pStyle w:val="TableTextRight"/>
            </w:pPr>
            <w:r w:rsidRPr="00EE2810">
              <w:t>7,</w:t>
            </w:r>
            <w:r w:rsidR="00EC1368">
              <w:rPr>
                <w:rFonts w:cs="Calibri"/>
              </w:rPr>
              <w:t>101</w:t>
            </w:r>
          </w:p>
        </w:tc>
        <w:tc>
          <w:tcPr>
            <w:tcW w:w="0" w:type="dxa"/>
            <w:tcBorders>
              <w:top w:val="nil"/>
              <w:left w:val="nil"/>
              <w:bottom w:val="nil"/>
              <w:right w:val="single" w:sz="4" w:space="0" w:color="auto"/>
            </w:tcBorders>
            <w:vAlign w:val="center"/>
          </w:tcPr>
          <w:p w14:paraId="1D05F806" w14:textId="730BAAF3" w:rsidR="00AF59F4" w:rsidRPr="00E20618" w:rsidRDefault="00265CE5" w:rsidP="004C79D2">
            <w:pPr>
              <w:pStyle w:val="TableTextRight"/>
            </w:pPr>
            <w:r w:rsidRPr="00EE2810">
              <w:t>7,</w:t>
            </w:r>
            <w:r w:rsidR="00EC1368">
              <w:rPr>
                <w:rFonts w:cs="Calibri"/>
              </w:rPr>
              <w:t>230</w:t>
            </w:r>
          </w:p>
        </w:tc>
        <w:tc>
          <w:tcPr>
            <w:tcW w:w="0" w:type="dxa"/>
            <w:tcBorders>
              <w:top w:val="nil"/>
              <w:left w:val="single" w:sz="4" w:space="0" w:color="auto"/>
              <w:bottom w:val="nil"/>
              <w:right w:val="nil"/>
            </w:tcBorders>
            <w:vAlign w:val="center"/>
          </w:tcPr>
          <w:p w14:paraId="0908AEA9" w14:textId="21AA3267" w:rsidR="00AF59F4" w:rsidRPr="00E20618" w:rsidRDefault="00265CE5" w:rsidP="004C79D2">
            <w:pPr>
              <w:pStyle w:val="TableTextRight"/>
            </w:pPr>
            <w:r w:rsidRPr="00EE2810">
              <w:t>8,</w:t>
            </w:r>
            <w:r w:rsidR="00EC1368">
              <w:rPr>
                <w:rFonts w:cs="Calibri"/>
              </w:rPr>
              <w:t>204</w:t>
            </w:r>
          </w:p>
        </w:tc>
      </w:tr>
      <w:tr w:rsidR="00F67DB6" w:rsidRPr="0080495D" w14:paraId="6EB8E0B0" w14:textId="77777777" w:rsidTr="0006553C">
        <w:tc>
          <w:tcPr>
            <w:tcW w:w="0" w:type="dxa"/>
          </w:tcPr>
          <w:p w14:paraId="72288627" w14:textId="195C524B" w:rsidR="00AF59F4" w:rsidRPr="00EE2810" w:rsidRDefault="00AF59F4" w:rsidP="004C79D2">
            <w:pPr>
              <w:pStyle w:val="Tabletextleftindent"/>
            </w:pPr>
            <w:r w:rsidRPr="00EE2810">
              <w:t>Greater</w:t>
            </w:r>
            <w:r w:rsidR="00B0567B">
              <w:t> </w:t>
            </w:r>
            <w:r w:rsidRPr="00EE2810">
              <w:t xml:space="preserve">Melbourne </w:t>
            </w:r>
          </w:p>
        </w:tc>
        <w:tc>
          <w:tcPr>
            <w:tcW w:w="0" w:type="dxa"/>
            <w:tcBorders>
              <w:top w:val="nil"/>
              <w:left w:val="nil"/>
              <w:bottom w:val="nil"/>
              <w:right w:val="nil"/>
            </w:tcBorders>
            <w:vAlign w:val="center"/>
          </w:tcPr>
          <w:p w14:paraId="17AF6BC6" w14:textId="4CFAA31A" w:rsidR="00AF59F4" w:rsidRPr="00E20618" w:rsidRDefault="00265CE5" w:rsidP="004C79D2">
            <w:pPr>
              <w:pStyle w:val="TableTextRight"/>
            </w:pPr>
            <w:r w:rsidRPr="00EE2810">
              <w:t>5,036</w:t>
            </w:r>
          </w:p>
        </w:tc>
        <w:tc>
          <w:tcPr>
            <w:tcW w:w="0" w:type="dxa"/>
            <w:tcBorders>
              <w:top w:val="nil"/>
              <w:left w:val="nil"/>
              <w:bottom w:val="nil"/>
              <w:right w:val="nil"/>
            </w:tcBorders>
            <w:shd w:val="clear" w:color="auto" w:fill="D2EDFF" w:themeFill="accent1" w:themeFillTint="1A"/>
            <w:vAlign w:val="center"/>
          </w:tcPr>
          <w:p w14:paraId="3FC64A18" w14:textId="0294581F" w:rsidR="00AF59F4" w:rsidRPr="00E20618" w:rsidRDefault="00265CE5" w:rsidP="004C79D2">
            <w:pPr>
              <w:pStyle w:val="TableTextRight"/>
            </w:pPr>
            <w:r w:rsidRPr="00EE2810">
              <w:t>5,207</w:t>
            </w:r>
          </w:p>
        </w:tc>
        <w:tc>
          <w:tcPr>
            <w:tcW w:w="0" w:type="dxa"/>
            <w:tcBorders>
              <w:top w:val="nil"/>
              <w:left w:val="nil"/>
              <w:bottom w:val="nil"/>
              <w:right w:val="nil"/>
            </w:tcBorders>
            <w:vAlign w:val="center"/>
          </w:tcPr>
          <w:p w14:paraId="35155947" w14:textId="05CDB58E" w:rsidR="00AF59F4" w:rsidRPr="00E20618" w:rsidRDefault="00265CE5" w:rsidP="004C79D2">
            <w:pPr>
              <w:pStyle w:val="TableTextRight"/>
            </w:pPr>
            <w:r w:rsidRPr="00EE2810">
              <w:t>5,</w:t>
            </w:r>
            <w:r w:rsidR="00EC1368">
              <w:rPr>
                <w:rFonts w:cs="Calibri"/>
              </w:rPr>
              <w:t>355</w:t>
            </w:r>
          </w:p>
        </w:tc>
        <w:tc>
          <w:tcPr>
            <w:tcW w:w="0" w:type="dxa"/>
            <w:tcBorders>
              <w:top w:val="nil"/>
              <w:left w:val="nil"/>
              <w:bottom w:val="nil"/>
              <w:right w:val="nil"/>
            </w:tcBorders>
            <w:vAlign w:val="center"/>
          </w:tcPr>
          <w:p w14:paraId="0F0EDB7A" w14:textId="3FBAC5CD" w:rsidR="00AF59F4" w:rsidRPr="00E20618" w:rsidRDefault="00265CE5" w:rsidP="004C79D2">
            <w:pPr>
              <w:pStyle w:val="TableTextRight"/>
            </w:pPr>
            <w:r w:rsidRPr="00EE2810">
              <w:t>5,</w:t>
            </w:r>
            <w:r w:rsidR="00EC1368">
              <w:rPr>
                <w:rFonts w:cs="Calibri"/>
              </w:rPr>
              <w:t>464</w:t>
            </w:r>
          </w:p>
        </w:tc>
        <w:tc>
          <w:tcPr>
            <w:tcW w:w="0" w:type="dxa"/>
            <w:tcBorders>
              <w:top w:val="nil"/>
              <w:left w:val="nil"/>
              <w:bottom w:val="nil"/>
              <w:right w:val="single" w:sz="4" w:space="0" w:color="auto"/>
            </w:tcBorders>
            <w:vAlign w:val="center"/>
          </w:tcPr>
          <w:p w14:paraId="48069343" w14:textId="7B4332AB" w:rsidR="00AF59F4" w:rsidRPr="00E20618" w:rsidRDefault="00265CE5" w:rsidP="004C79D2">
            <w:pPr>
              <w:pStyle w:val="TableTextRight"/>
            </w:pPr>
            <w:r w:rsidRPr="00EE2810">
              <w:t>5,</w:t>
            </w:r>
            <w:r w:rsidR="00EC1368">
              <w:rPr>
                <w:rFonts w:cs="Calibri"/>
              </w:rPr>
              <w:t>580</w:t>
            </w:r>
          </w:p>
        </w:tc>
        <w:tc>
          <w:tcPr>
            <w:tcW w:w="0" w:type="dxa"/>
            <w:tcBorders>
              <w:top w:val="nil"/>
              <w:left w:val="single" w:sz="4" w:space="0" w:color="auto"/>
              <w:bottom w:val="nil"/>
              <w:right w:val="nil"/>
            </w:tcBorders>
            <w:vAlign w:val="center"/>
          </w:tcPr>
          <w:p w14:paraId="3F4C572B" w14:textId="5BFBCB39" w:rsidR="00AF59F4" w:rsidRPr="00E20618" w:rsidRDefault="00265CE5" w:rsidP="004C79D2">
            <w:pPr>
              <w:pStyle w:val="TableTextRight"/>
            </w:pPr>
            <w:r w:rsidRPr="00EE2810">
              <w:t>6,</w:t>
            </w:r>
            <w:r w:rsidR="00EC1368">
              <w:rPr>
                <w:rFonts w:cs="Calibri"/>
              </w:rPr>
              <w:t>449</w:t>
            </w:r>
          </w:p>
        </w:tc>
      </w:tr>
      <w:tr w:rsidR="00F67DB6" w:rsidRPr="0080495D" w14:paraId="14868066" w14:textId="77777777" w:rsidTr="0006553C">
        <w:tc>
          <w:tcPr>
            <w:tcW w:w="0" w:type="dxa"/>
          </w:tcPr>
          <w:p w14:paraId="4590B87F" w14:textId="77777777" w:rsidR="00AF59F4" w:rsidRPr="00EE2810" w:rsidRDefault="00AF59F4" w:rsidP="004C79D2">
            <w:pPr>
              <w:pStyle w:val="Tabletextleftindent"/>
            </w:pPr>
            <w:r w:rsidRPr="00EE2810">
              <w:t>Rest of Victoria</w:t>
            </w:r>
          </w:p>
        </w:tc>
        <w:tc>
          <w:tcPr>
            <w:tcW w:w="0" w:type="dxa"/>
            <w:tcBorders>
              <w:top w:val="nil"/>
              <w:left w:val="nil"/>
              <w:bottom w:val="nil"/>
              <w:right w:val="nil"/>
            </w:tcBorders>
            <w:vAlign w:val="center"/>
          </w:tcPr>
          <w:p w14:paraId="5C02C404" w14:textId="5BFB02D2" w:rsidR="00AF59F4" w:rsidRPr="00E20618" w:rsidRDefault="00265CE5" w:rsidP="004C79D2">
            <w:pPr>
              <w:pStyle w:val="TableTextRight"/>
            </w:pPr>
            <w:r w:rsidRPr="00EE2810">
              <w:t>1,590</w:t>
            </w:r>
          </w:p>
        </w:tc>
        <w:tc>
          <w:tcPr>
            <w:tcW w:w="0" w:type="dxa"/>
            <w:tcBorders>
              <w:top w:val="nil"/>
              <w:left w:val="nil"/>
              <w:bottom w:val="nil"/>
              <w:right w:val="nil"/>
            </w:tcBorders>
            <w:shd w:val="clear" w:color="auto" w:fill="D2EDFF" w:themeFill="accent1" w:themeFillTint="1A"/>
            <w:vAlign w:val="center"/>
          </w:tcPr>
          <w:p w14:paraId="7126AC29" w14:textId="166A2E34" w:rsidR="00AF59F4" w:rsidRPr="00E20618" w:rsidRDefault="00265CE5" w:rsidP="004C79D2">
            <w:pPr>
              <w:pStyle w:val="TableTextRight"/>
            </w:pPr>
            <w:r w:rsidRPr="00EE2810">
              <w:t>1,608</w:t>
            </w:r>
          </w:p>
        </w:tc>
        <w:tc>
          <w:tcPr>
            <w:tcW w:w="0" w:type="dxa"/>
            <w:tcBorders>
              <w:top w:val="nil"/>
              <w:left w:val="nil"/>
              <w:bottom w:val="nil"/>
              <w:right w:val="nil"/>
            </w:tcBorders>
            <w:vAlign w:val="center"/>
          </w:tcPr>
          <w:p w14:paraId="73A79182" w14:textId="65B02258" w:rsidR="00AF59F4" w:rsidRPr="00E20618" w:rsidRDefault="00265CE5" w:rsidP="004C79D2">
            <w:pPr>
              <w:pStyle w:val="TableTextRight"/>
            </w:pPr>
            <w:r w:rsidRPr="00EE2810">
              <w:t>1,</w:t>
            </w:r>
            <w:r w:rsidR="00EC1368">
              <w:rPr>
                <w:rFonts w:cs="Calibri"/>
              </w:rPr>
              <w:t>623</w:t>
            </w:r>
          </w:p>
        </w:tc>
        <w:tc>
          <w:tcPr>
            <w:tcW w:w="0" w:type="dxa"/>
            <w:tcBorders>
              <w:top w:val="nil"/>
              <w:left w:val="nil"/>
              <w:bottom w:val="nil"/>
              <w:right w:val="nil"/>
            </w:tcBorders>
            <w:vAlign w:val="center"/>
          </w:tcPr>
          <w:p w14:paraId="7E8628BA" w14:textId="3122859A" w:rsidR="00AF59F4" w:rsidRPr="00E20618" w:rsidRDefault="00265CE5" w:rsidP="004C79D2">
            <w:pPr>
              <w:pStyle w:val="TableTextRight"/>
            </w:pPr>
            <w:r w:rsidRPr="00EE2810">
              <w:t>1,</w:t>
            </w:r>
            <w:r w:rsidR="00EC1368">
              <w:rPr>
                <w:rFonts w:cs="Calibri"/>
              </w:rPr>
              <w:t>637</w:t>
            </w:r>
          </w:p>
        </w:tc>
        <w:tc>
          <w:tcPr>
            <w:tcW w:w="0" w:type="dxa"/>
            <w:tcBorders>
              <w:top w:val="nil"/>
              <w:left w:val="nil"/>
              <w:bottom w:val="nil"/>
              <w:right w:val="single" w:sz="4" w:space="0" w:color="auto"/>
            </w:tcBorders>
            <w:vAlign w:val="center"/>
          </w:tcPr>
          <w:p w14:paraId="7BD55530" w14:textId="146C338C" w:rsidR="00AF59F4" w:rsidRPr="00E20618" w:rsidRDefault="00265CE5" w:rsidP="004C79D2">
            <w:pPr>
              <w:pStyle w:val="TableTextRight"/>
            </w:pPr>
            <w:r w:rsidRPr="00EE2810">
              <w:t>1,</w:t>
            </w:r>
            <w:r w:rsidR="00EC1368">
              <w:rPr>
                <w:rFonts w:cs="Calibri"/>
              </w:rPr>
              <w:t>651</w:t>
            </w:r>
          </w:p>
        </w:tc>
        <w:tc>
          <w:tcPr>
            <w:tcW w:w="0" w:type="dxa"/>
            <w:tcBorders>
              <w:top w:val="nil"/>
              <w:left w:val="single" w:sz="4" w:space="0" w:color="auto"/>
              <w:bottom w:val="nil"/>
              <w:right w:val="nil"/>
            </w:tcBorders>
            <w:vAlign w:val="center"/>
          </w:tcPr>
          <w:p w14:paraId="423208C0" w14:textId="16024A18" w:rsidR="00AF59F4" w:rsidRPr="00E20618" w:rsidRDefault="00265CE5" w:rsidP="004C79D2">
            <w:pPr>
              <w:pStyle w:val="TableTextRight"/>
            </w:pPr>
            <w:r w:rsidRPr="00EE2810">
              <w:t>1,</w:t>
            </w:r>
            <w:r w:rsidR="00EC1368">
              <w:rPr>
                <w:rFonts w:cs="Calibri"/>
              </w:rPr>
              <w:t>755</w:t>
            </w:r>
          </w:p>
        </w:tc>
      </w:tr>
      <w:tr w:rsidR="00F67DB6" w:rsidRPr="0080495D" w14:paraId="144916E6" w14:textId="77777777" w:rsidTr="0006553C">
        <w:tc>
          <w:tcPr>
            <w:tcW w:w="0" w:type="dxa"/>
          </w:tcPr>
          <w:p w14:paraId="06F889F2" w14:textId="70E13217" w:rsidR="00AF59F4" w:rsidRPr="00EE2810" w:rsidRDefault="00AF59F4" w:rsidP="004C79D2">
            <w:pPr>
              <w:pStyle w:val="TableColumnHeadingLeft"/>
            </w:pPr>
            <w:r w:rsidRPr="00EE2810">
              <w:t>Population growth (per</w:t>
            </w:r>
            <w:r w:rsidR="00B0567B">
              <w:rPr>
                <w:bCs/>
              </w:rPr>
              <w:t> </w:t>
            </w:r>
            <w:r w:rsidRPr="00EE2810">
              <w:t>cent)</w:t>
            </w:r>
          </w:p>
        </w:tc>
        <w:tc>
          <w:tcPr>
            <w:tcW w:w="0" w:type="dxa"/>
            <w:tcBorders>
              <w:top w:val="nil"/>
              <w:left w:val="nil"/>
              <w:bottom w:val="nil"/>
              <w:right w:val="nil"/>
            </w:tcBorders>
            <w:vAlign w:val="center"/>
          </w:tcPr>
          <w:p w14:paraId="07D0C7EF" w14:textId="77777777" w:rsidR="00AF59F4" w:rsidRPr="00E20618" w:rsidRDefault="00AF59F4" w:rsidP="004C79D2">
            <w:pPr>
              <w:pStyle w:val="TableTextRight"/>
            </w:pPr>
          </w:p>
        </w:tc>
        <w:tc>
          <w:tcPr>
            <w:tcW w:w="0" w:type="dxa"/>
            <w:tcBorders>
              <w:top w:val="nil"/>
              <w:left w:val="nil"/>
              <w:bottom w:val="nil"/>
              <w:right w:val="nil"/>
            </w:tcBorders>
            <w:shd w:val="clear" w:color="auto" w:fill="D2EDFF" w:themeFill="accent1" w:themeFillTint="1A"/>
            <w:vAlign w:val="center"/>
          </w:tcPr>
          <w:p w14:paraId="6F92C615" w14:textId="7A95085E" w:rsidR="00AF59F4" w:rsidRPr="00E20618" w:rsidRDefault="00265CE5" w:rsidP="004C79D2">
            <w:pPr>
              <w:pStyle w:val="TableTextRight"/>
            </w:pPr>
            <w:r w:rsidRPr="00EE2810">
              <w:t> </w:t>
            </w:r>
          </w:p>
        </w:tc>
        <w:tc>
          <w:tcPr>
            <w:tcW w:w="0" w:type="dxa"/>
            <w:tcBorders>
              <w:top w:val="nil"/>
              <w:left w:val="nil"/>
              <w:bottom w:val="nil"/>
              <w:right w:val="nil"/>
            </w:tcBorders>
            <w:vAlign w:val="center"/>
          </w:tcPr>
          <w:p w14:paraId="6CC5FE8D" w14:textId="77777777" w:rsidR="00AF59F4" w:rsidRPr="00E20618" w:rsidRDefault="00AF59F4" w:rsidP="004C79D2">
            <w:pPr>
              <w:pStyle w:val="TableTextRight"/>
            </w:pPr>
          </w:p>
        </w:tc>
        <w:tc>
          <w:tcPr>
            <w:tcW w:w="0" w:type="dxa"/>
            <w:tcBorders>
              <w:top w:val="nil"/>
              <w:left w:val="nil"/>
              <w:bottom w:val="nil"/>
              <w:right w:val="nil"/>
            </w:tcBorders>
            <w:vAlign w:val="center"/>
          </w:tcPr>
          <w:p w14:paraId="02C348DC" w14:textId="77777777" w:rsidR="00AF59F4" w:rsidRPr="00E20618" w:rsidRDefault="00AF59F4" w:rsidP="004C79D2">
            <w:pPr>
              <w:pStyle w:val="TableTextRight"/>
            </w:pPr>
          </w:p>
        </w:tc>
        <w:tc>
          <w:tcPr>
            <w:tcW w:w="0" w:type="dxa"/>
            <w:tcBorders>
              <w:top w:val="nil"/>
              <w:left w:val="nil"/>
              <w:bottom w:val="nil"/>
              <w:right w:val="single" w:sz="4" w:space="0" w:color="auto"/>
            </w:tcBorders>
            <w:vAlign w:val="center"/>
          </w:tcPr>
          <w:p w14:paraId="18CEC71D" w14:textId="352C6AF2" w:rsidR="00AF59F4" w:rsidRPr="00E20618" w:rsidRDefault="00265CE5" w:rsidP="004C79D2">
            <w:pPr>
              <w:pStyle w:val="TableTextRight"/>
            </w:pPr>
            <w:r w:rsidRPr="00EE2810">
              <w:t> </w:t>
            </w:r>
          </w:p>
        </w:tc>
        <w:tc>
          <w:tcPr>
            <w:tcW w:w="0" w:type="dxa"/>
            <w:tcBorders>
              <w:top w:val="nil"/>
              <w:left w:val="single" w:sz="4" w:space="0" w:color="auto"/>
              <w:bottom w:val="nil"/>
              <w:right w:val="nil"/>
            </w:tcBorders>
            <w:vAlign w:val="center"/>
          </w:tcPr>
          <w:p w14:paraId="4FB956F0" w14:textId="77777777" w:rsidR="00AF59F4" w:rsidRPr="00E20618" w:rsidRDefault="00AF59F4" w:rsidP="004C79D2">
            <w:pPr>
              <w:pStyle w:val="TableTextRight"/>
            </w:pPr>
          </w:p>
        </w:tc>
      </w:tr>
      <w:tr w:rsidR="00F67DB6" w:rsidRPr="0080495D" w14:paraId="653A2057" w14:textId="77777777" w:rsidTr="0006553C">
        <w:tc>
          <w:tcPr>
            <w:tcW w:w="0" w:type="dxa"/>
          </w:tcPr>
          <w:p w14:paraId="530023A2" w14:textId="77777777" w:rsidR="00AF59F4" w:rsidRPr="00EE2810" w:rsidRDefault="00AF59F4" w:rsidP="004C79D2">
            <w:pPr>
              <w:pStyle w:val="TableTextLeft"/>
            </w:pPr>
            <w:r w:rsidRPr="00EE2810">
              <w:t>Victoria</w:t>
            </w:r>
          </w:p>
        </w:tc>
        <w:tc>
          <w:tcPr>
            <w:tcW w:w="0" w:type="dxa"/>
            <w:tcBorders>
              <w:top w:val="nil"/>
              <w:left w:val="nil"/>
              <w:bottom w:val="nil"/>
              <w:right w:val="nil"/>
            </w:tcBorders>
            <w:vAlign w:val="center"/>
          </w:tcPr>
          <w:p w14:paraId="4763F2E4" w14:textId="65A469F7" w:rsidR="00AF59F4" w:rsidRPr="00E20618" w:rsidRDefault="00265CE5" w:rsidP="004C79D2">
            <w:pPr>
              <w:pStyle w:val="TableTextRight"/>
            </w:pPr>
            <w:r w:rsidRPr="00EE2810">
              <w:t>1.3</w:t>
            </w:r>
          </w:p>
        </w:tc>
        <w:tc>
          <w:tcPr>
            <w:tcW w:w="0" w:type="dxa"/>
            <w:tcBorders>
              <w:top w:val="nil"/>
              <w:left w:val="nil"/>
              <w:bottom w:val="nil"/>
              <w:right w:val="nil"/>
            </w:tcBorders>
            <w:shd w:val="clear" w:color="auto" w:fill="D2EDFF" w:themeFill="accent1" w:themeFillTint="1A"/>
            <w:vAlign w:val="center"/>
          </w:tcPr>
          <w:p w14:paraId="6069E407" w14:textId="6D32E3F9" w:rsidR="00AF59F4" w:rsidRPr="00E20618" w:rsidRDefault="00265CE5" w:rsidP="004C79D2">
            <w:pPr>
              <w:pStyle w:val="TableTextRight"/>
            </w:pPr>
            <w:r w:rsidRPr="00EE2810">
              <w:t>2.8</w:t>
            </w:r>
          </w:p>
        </w:tc>
        <w:tc>
          <w:tcPr>
            <w:tcW w:w="0" w:type="dxa"/>
            <w:tcBorders>
              <w:top w:val="nil"/>
              <w:left w:val="nil"/>
              <w:bottom w:val="nil"/>
              <w:right w:val="nil"/>
            </w:tcBorders>
            <w:vAlign w:val="center"/>
          </w:tcPr>
          <w:p w14:paraId="595DBA28" w14:textId="0A4B7F1D" w:rsidR="00AF59F4" w:rsidRPr="00E20618" w:rsidRDefault="00265CE5" w:rsidP="004C79D2">
            <w:pPr>
              <w:pStyle w:val="TableTextRight"/>
            </w:pPr>
            <w:r w:rsidRPr="00EE2810">
              <w:t>2.</w:t>
            </w:r>
            <w:r w:rsidR="00EC1368">
              <w:rPr>
                <w:rFonts w:cs="Calibri"/>
              </w:rPr>
              <w:t>4</w:t>
            </w:r>
          </w:p>
        </w:tc>
        <w:tc>
          <w:tcPr>
            <w:tcW w:w="0" w:type="dxa"/>
            <w:tcBorders>
              <w:top w:val="nil"/>
              <w:left w:val="nil"/>
              <w:bottom w:val="nil"/>
              <w:right w:val="nil"/>
            </w:tcBorders>
            <w:vAlign w:val="center"/>
          </w:tcPr>
          <w:p w14:paraId="7BBB73A8" w14:textId="0D583E99" w:rsidR="00AF59F4" w:rsidRPr="00E20618" w:rsidRDefault="00EC1368" w:rsidP="004C79D2">
            <w:pPr>
              <w:pStyle w:val="TableTextRight"/>
            </w:pPr>
            <w:r>
              <w:rPr>
                <w:rFonts w:cs="Calibri"/>
              </w:rPr>
              <w:t>1.8</w:t>
            </w:r>
          </w:p>
        </w:tc>
        <w:tc>
          <w:tcPr>
            <w:tcW w:w="0" w:type="dxa"/>
            <w:tcBorders>
              <w:top w:val="nil"/>
              <w:left w:val="nil"/>
              <w:bottom w:val="nil"/>
              <w:right w:val="single" w:sz="4" w:space="0" w:color="auto"/>
            </w:tcBorders>
            <w:vAlign w:val="center"/>
          </w:tcPr>
          <w:p w14:paraId="61510025" w14:textId="0D663CDE" w:rsidR="00AF59F4" w:rsidRPr="00E20618" w:rsidRDefault="00EC1368" w:rsidP="004C79D2">
            <w:pPr>
              <w:pStyle w:val="TableTextRight"/>
            </w:pPr>
            <w:r>
              <w:rPr>
                <w:rFonts w:cs="Calibri"/>
              </w:rPr>
              <w:t>1.8</w:t>
            </w:r>
          </w:p>
        </w:tc>
        <w:tc>
          <w:tcPr>
            <w:tcW w:w="0" w:type="dxa"/>
            <w:tcBorders>
              <w:top w:val="nil"/>
              <w:left w:val="single" w:sz="4" w:space="0" w:color="auto"/>
              <w:bottom w:val="nil"/>
              <w:right w:val="nil"/>
            </w:tcBorders>
            <w:vAlign w:val="center"/>
          </w:tcPr>
          <w:p w14:paraId="7B7F7F0D" w14:textId="200C20BB" w:rsidR="00AF59F4" w:rsidRPr="00E20618" w:rsidRDefault="00265CE5" w:rsidP="004C79D2">
            <w:pPr>
              <w:pStyle w:val="TableTextRight"/>
            </w:pPr>
            <w:r w:rsidRPr="00EE2810">
              <w:t>1.5</w:t>
            </w:r>
          </w:p>
        </w:tc>
      </w:tr>
      <w:tr w:rsidR="00F67DB6" w:rsidRPr="0080495D" w14:paraId="2FE9EC81" w14:textId="77777777" w:rsidTr="0006553C">
        <w:tc>
          <w:tcPr>
            <w:tcW w:w="0" w:type="dxa"/>
          </w:tcPr>
          <w:p w14:paraId="01F784F2" w14:textId="77777777" w:rsidR="00AF59F4" w:rsidRPr="00EE2810" w:rsidRDefault="00AF59F4" w:rsidP="004C79D2">
            <w:pPr>
              <w:pStyle w:val="Tabletextleftindent"/>
            </w:pPr>
            <w:r w:rsidRPr="00EE2810">
              <w:t xml:space="preserve">Greater Melbourne </w:t>
            </w:r>
          </w:p>
        </w:tc>
        <w:tc>
          <w:tcPr>
            <w:tcW w:w="0" w:type="dxa"/>
            <w:tcBorders>
              <w:top w:val="nil"/>
              <w:left w:val="nil"/>
              <w:bottom w:val="nil"/>
              <w:right w:val="nil"/>
            </w:tcBorders>
            <w:vAlign w:val="center"/>
          </w:tcPr>
          <w:p w14:paraId="0FB3FB81" w14:textId="0379EC30" w:rsidR="00AF59F4" w:rsidRPr="00E20618" w:rsidRDefault="00265CE5" w:rsidP="004C79D2">
            <w:pPr>
              <w:pStyle w:val="TableTextRight"/>
            </w:pPr>
            <w:r w:rsidRPr="00EE2810">
              <w:t>1.2</w:t>
            </w:r>
          </w:p>
        </w:tc>
        <w:tc>
          <w:tcPr>
            <w:tcW w:w="0" w:type="dxa"/>
            <w:tcBorders>
              <w:top w:val="nil"/>
              <w:left w:val="nil"/>
              <w:bottom w:val="nil"/>
              <w:right w:val="nil"/>
            </w:tcBorders>
            <w:shd w:val="clear" w:color="auto" w:fill="D2EDFF" w:themeFill="accent1" w:themeFillTint="1A"/>
            <w:vAlign w:val="center"/>
          </w:tcPr>
          <w:p w14:paraId="06C43133" w14:textId="384ED623" w:rsidR="00AF59F4" w:rsidRPr="00E20618" w:rsidRDefault="00265CE5" w:rsidP="004C79D2">
            <w:pPr>
              <w:pStyle w:val="TableTextRight"/>
            </w:pPr>
            <w:r w:rsidRPr="00EE2810">
              <w:t>3.3</w:t>
            </w:r>
          </w:p>
        </w:tc>
        <w:tc>
          <w:tcPr>
            <w:tcW w:w="0" w:type="dxa"/>
            <w:tcBorders>
              <w:top w:val="nil"/>
              <w:left w:val="nil"/>
              <w:bottom w:val="nil"/>
              <w:right w:val="nil"/>
            </w:tcBorders>
            <w:vAlign w:val="center"/>
          </w:tcPr>
          <w:p w14:paraId="2FA037E3" w14:textId="2639B67D" w:rsidR="00AF59F4" w:rsidRPr="00E20618" w:rsidRDefault="00EC1368" w:rsidP="004C79D2">
            <w:pPr>
              <w:pStyle w:val="TableTextRight"/>
            </w:pPr>
            <w:r>
              <w:rPr>
                <w:rFonts w:cs="Calibri"/>
              </w:rPr>
              <w:t>2.8</w:t>
            </w:r>
          </w:p>
        </w:tc>
        <w:tc>
          <w:tcPr>
            <w:tcW w:w="0" w:type="dxa"/>
            <w:tcBorders>
              <w:top w:val="nil"/>
              <w:left w:val="nil"/>
              <w:bottom w:val="nil"/>
              <w:right w:val="nil"/>
            </w:tcBorders>
            <w:vAlign w:val="center"/>
          </w:tcPr>
          <w:p w14:paraId="308CC872" w14:textId="0F1AA8D6" w:rsidR="00AF59F4" w:rsidRPr="00E20618" w:rsidRDefault="00265CE5" w:rsidP="004C79D2">
            <w:pPr>
              <w:pStyle w:val="TableTextRight"/>
            </w:pPr>
            <w:r w:rsidRPr="00EE2810">
              <w:t>2.</w:t>
            </w:r>
            <w:r w:rsidR="00EC1368">
              <w:rPr>
                <w:rFonts w:cs="Calibri"/>
              </w:rPr>
              <w:t>0</w:t>
            </w:r>
          </w:p>
        </w:tc>
        <w:tc>
          <w:tcPr>
            <w:tcW w:w="0" w:type="dxa"/>
            <w:tcBorders>
              <w:top w:val="nil"/>
              <w:left w:val="nil"/>
              <w:bottom w:val="nil"/>
              <w:right w:val="single" w:sz="4" w:space="0" w:color="auto"/>
            </w:tcBorders>
            <w:vAlign w:val="center"/>
          </w:tcPr>
          <w:p w14:paraId="23F2941C" w14:textId="0CCBE1E7" w:rsidR="00AF59F4" w:rsidRPr="00E20618" w:rsidRDefault="00265CE5" w:rsidP="004C79D2">
            <w:pPr>
              <w:pStyle w:val="TableTextRight"/>
            </w:pPr>
            <w:r w:rsidRPr="00EE2810">
              <w:t>2.</w:t>
            </w:r>
            <w:r w:rsidR="00EC1368">
              <w:rPr>
                <w:rFonts w:cs="Calibri"/>
              </w:rPr>
              <w:t>1</w:t>
            </w:r>
          </w:p>
        </w:tc>
        <w:tc>
          <w:tcPr>
            <w:tcW w:w="0" w:type="dxa"/>
            <w:tcBorders>
              <w:top w:val="nil"/>
              <w:left w:val="single" w:sz="4" w:space="0" w:color="auto"/>
              <w:bottom w:val="nil"/>
              <w:right w:val="nil"/>
            </w:tcBorders>
            <w:vAlign w:val="center"/>
          </w:tcPr>
          <w:p w14:paraId="2C28AFB8" w14:textId="0166AA22" w:rsidR="00AF59F4" w:rsidRPr="00E20618" w:rsidRDefault="00265CE5" w:rsidP="004C79D2">
            <w:pPr>
              <w:pStyle w:val="TableTextRight"/>
            </w:pPr>
            <w:r w:rsidRPr="00EE2810">
              <w:t>1.7</w:t>
            </w:r>
          </w:p>
        </w:tc>
      </w:tr>
      <w:tr w:rsidR="00F67DB6" w:rsidRPr="0080495D" w14:paraId="146E4106" w14:textId="77777777" w:rsidTr="0006553C">
        <w:tc>
          <w:tcPr>
            <w:tcW w:w="0" w:type="dxa"/>
          </w:tcPr>
          <w:p w14:paraId="3C22CF5B" w14:textId="77777777" w:rsidR="00AF59F4" w:rsidRPr="00EE2810" w:rsidRDefault="00AF59F4" w:rsidP="004C79D2">
            <w:pPr>
              <w:pStyle w:val="Tabletextleftindent"/>
            </w:pPr>
            <w:r w:rsidRPr="00EE2810">
              <w:t>Rest of Victoria</w:t>
            </w:r>
          </w:p>
        </w:tc>
        <w:tc>
          <w:tcPr>
            <w:tcW w:w="0" w:type="dxa"/>
            <w:tcBorders>
              <w:top w:val="nil"/>
              <w:left w:val="nil"/>
              <w:bottom w:val="nil"/>
              <w:right w:val="nil"/>
            </w:tcBorders>
            <w:vAlign w:val="center"/>
          </w:tcPr>
          <w:p w14:paraId="1E799C45" w14:textId="51E5588A" w:rsidR="00AF59F4" w:rsidRPr="00E20618" w:rsidRDefault="00265CE5" w:rsidP="004C79D2">
            <w:pPr>
              <w:pStyle w:val="TableTextRight"/>
            </w:pPr>
            <w:r w:rsidRPr="00EE2810">
              <w:t>1.1</w:t>
            </w:r>
          </w:p>
        </w:tc>
        <w:tc>
          <w:tcPr>
            <w:tcW w:w="0" w:type="dxa"/>
            <w:tcBorders>
              <w:top w:val="nil"/>
              <w:left w:val="nil"/>
              <w:bottom w:val="nil"/>
              <w:right w:val="nil"/>
            </w:tcBorders>
            <w:shd w:val="clear" w:color="auto" w:fill="D2EDFF" w:themeFill="accent1" w:themeFillTint="1A"/>
            <w:vAlign w:val="center"/>
          </w:tcPr>
          <w:p w14:paraId="3A6CBE1C" w14:textId="37CA8140" w:rsidR="00AF59F4" w:rsidRPr="00E20618" w:rsidRDefault="00265CE5" w:rsidP="004C79D2">
            <w:pPr>
              <w:pStyle w:val="TableTextRight"/>
            </w:pPr>
            <w:r w:rsidRPr="00EE2810">
              <w:t>1.0</w:t>
            </w:r>
          </w:p>
        </w:tc>
        <w:tc>
          <w:tcPr>
            <w:tcW w:w="0" w:type="dxa"/>
            <w:tcBorders>
              <w:top w:val="nil"/>
              <w:left w:val="nil"/>
              <w:bottom w:val="nil"/>
              <w:right w:val="nil"/>
            </w:tcBorders>
            <w:vAlign w:val="center"/>
          </w:tcPr>
          <w:p w14:paraId="78C6171A" w14:textId="53E0A98C" w:rsidR="00AF59F4" w:rsidRPr="00E20618" w:rsidRDefault="00265CE5" w:rsidP="004C79D2">
            <w:pPr>
              <w:pStyle w:val="TableTextRight"/>
            </w:pPr>
            <w:r w:rsidRPr="00EE2810">
              <w:t>1.0</w:t>
            </w:r>
          </w:p>
        </w:tc>
        <w:tc>
          <w:tcPr>
            <w:tcW w:w="0" w:type="dxa"/>
            <w:tcBorders>
              <w:top w:val="nil"/>
              <w:left w:val="nil"/>
              <w:bottom w:val="nil"/>
              <w:right w:val="nil"/>
            </w:tcBorders>
            <w:vAlign w:val="center"/>
          </w:tcPr>
          <w:p w14:paraId="627145F7" w14:textId="04A60B53" w:rsidR="00AF59F4" w:rsidRPr="00E20618" w:rsidRDefault="00265CE5" w:rsidP="004C79D2">
            <w:pPr>
              <w:pStyle w:val="TableTextRight"/>
            </w:pPr>
            <w:r w:rsidRPr="00EE2810">
              <w:t>0.</w:t>
            </w:r>
            <w:r w:rsidR="00EC1368">
              <w:rPr>
                <w:rFonts w:cs="Calibri"/>
              </w:rPr>
              <w:t>8</w:t>
            </w:r>
          </w:p>
        </w:tc>
        <w:tc>
          <w:tcPr>
            <w:tcW w:w="0" w:type="dxa"/>
            <w:tcBorders>
              <w:top w:val="nil"/>
              <w:left w:val="nil"/>
              <w:bottom w:val="nil"/>
              <w:right w:val="single" w:sz="4" w:space="0" w:color="auto"/>
            </w:tcBorders>
            <w:vAlign w:val="center"/>
          </w:tcPr>
          <w:p w14:paraId="2E9608F2" w14:textId="381727AC" w:rsidR="00AF59F4" w:rsidRPr="00E20618" w:rsidRDefault="00265CE5" w:rsidP="004C79D2">
            <w:pPr>
              <w:pStyle w:val="TableTextRight"/>
            </w:pPr>
            <w:r w:rsidRPr="00EE2810">
              <w:t>0.9</w:t>
            </w:r>
          </w:p>
        </w:tc>
        <w:tc>
          <w:tcPr>
            <w:tcW w:w="0" w:type="dxa"/>
            <w:tcBorders>
              <w:top w:val="nil"/>
              <w:left w:val="single" w:sz="4" w:space="0" w:color="auto"/>
              <w:bottom w:val="nil"/>
              <w:right w:val="nil"/>
            </w:tcBorders>
            <w:vAlign w:val="center"/>
          </w:tcPr>
          <w:p w14:paraId="4CE1FB30" w14:textId="710D2FAA" w:rsidR="00AF59F4" w:rsidRPr="00E20618" w:rsidRDefault="00265CE5" w:rsidP="004C79D2">
            <w:pPr>
              <w:pStyle w:val="TableTextRight"/>
            </w:pPr>
            <w:r w:rsidRPr="00EE2810">
              <w:t>0.</w:t>
            </w:r>
            <w:r w:rsidR="00EC1368">
              <w:rPr>
                <w:rFonts w:cs="Calibri"/>
              </w:rPr>
              <w:t>7</w:t>
            </w:r>
          </w:p>
        </w:tc>
      </w:tr>
      <w:tr w:rsidR="00F67DB6" w:rsidRPr="0080495D" w14:paraId="34E11CE2" w14:textId="77777777" w:rsidTr="0006553C">
        <w:tc>
          <w:tcPr>
            <w:tcW w:w="0" w:type="dxa"/>
          </w:tcPr>
          <w:p w14:paraId="64C13BD3" w14:textId="48D797F3" w:rsidR="00AF59F4" w:rsidRPr="00EE2810" w:rsidRDefault="00AF59F4" w:rsidP="004C79D2">
            <w:pPr>
              <w:pStyle w:val="TableColumnHeadingLeft"/>
            </w:pPr>
            <w:r w:rsidRPr="00EE2810">
              <w:t>Population growth (</w:t>
            </w:r>
            <w:r w:rsidR="004B14AB" w:rsidRPr="00EE2810">
              <w:t>‘</w:t>
            </w:r>
            <w:r w:rsidRPr="00EE2810">
              <w:t>000)</w:t>
            </w:r>
          </w:p>
        </w:tc>
        <w:tc>
          <w:tcPr>
            <w:tcW w:w="0" w:type="dxa"/>
            <w:tcBorders>
              <w:top w:val="nil"/>
              <w:left w:val="nil"/>
              <w:bottom w:val="nil"/>
              <w:right w:val="nil"/>
            </w:tcBorders>
            <w:vAlign w:val="center"/>
          </w:tcPr>
          <w:p w14:paraId="6420F3C7" w14:textId="77777777" w:rsidR="00AF59F4" w:rsidRPr="00E20618" w:rsidRDefault="00AF59F4" w:rsidP="004C79D2">
            <w:pPr>
              <w:pStyle w:val="TableTextRight"/>
            </w:pPr>
          </w:p>
        </w:tc>
        <w:tc>
          <w:tcPr>
            <w:tcW w:w="0" w:type="dxa"/>
            <w:tcBorders>
              <w:top w:val="nil"/>
              <w:left w:val="nil"/>
              <w:bottom w:val="nil"/>
              <w:right w:val="nil"/>
            </w:tcBorders>
            <w:shd w:val="clear" w:color="auto" w:fill="D2EDFF" w:themeFill="accent1" w:themeFillTint="1A"/>
            <w:vAlign w:val="center"/>
          </w:tcPr>
          <w:p w14:paraId="5F35093C" w14:textId="11DC2498" w:rsidR="00AF59F4" w:rsidRPr="00E20618" w:rsidRDefault="00265CE5" w:rsidP="004C79D2">
            <w:pPr>
              <w:pStyle w:val="TableTextRight"/>
            </w:pPr>
            <w:r w:rsidRPr="00EE2810">
              <w:t> </w:t>
            </w:r>
          </w:p>
        </w:tc>
        <w:tc>
          <w:tcPr>
            <w:tcW w:w="0" w:type="dxa"/>
            <w:tcBorders>
              <w:top w:val="nil"/>
              <w:left w:val="nil"/>
              <w:bottom w:val="nil"/>
              <w:right w:val="nil"/>
            </w:tcBorders>
            <w:vAlign w:val="center"/>
          </w:tcPr>
          <w:p w14:paraId="10B02AE0" w14:textId="77777777" w:rsidR="00AF59F4" w:rsidRPr="00E20618" w:rsidRDefault="00AF59F4" w:rsidP="004C79D2">
            <w:pPr>
              <w:pStyle w:val="TableTextRight"/>
            </w:pPr>
          </w:p>
        </w:tc>
        <w:tc>
          <w:tcPr>
            <w:tcW w:w="0" w:type="dxa"/>
            <w:tcBorders>
              <w:top w:val="nil"/>
              <w:left w:val="nil"/>
              <w:bottom w:val="nil"/>
              <w:right w:val="nil"/>
            </w:tcBorders>
            <w:vAlign w:val="center"/>
          </w:tcPr>
          <w:p w14:paraId="51699250" w14:textId="77777777" w:rsidR="00AF59F4" w:rsidRPr="00E20618" w:rsidRDefault="00AF59F4" w:rsidP="004C79D2">
            <w:pPr>
              <w:pStyle w:val="TableTextRight"/>
            </w:pPr>
          </w:p>
        </w:tc>
        <w:tc>
          <w:tcPr>
            <w:tcW w:w="0" w:type="dxa"/>
            <w:tcBorders>
              <w:top w:val="nil"/>
              <w:left w:val="nil"/>
              <w:bottom w:val="nil"/>
              <w:right w:val="single" w:sz="4" w:space="0" w:color="auto"/>
            </w:tcBorders>
            <w:vAlign w:val="center"/>
          </w:tcPr>
          <w:p w14:paraId="5A1EF714" w14:textId="2550A04B" w:rsidR="00AF59F4" w:rsidRPr="00E20618" w:rsidRDefault="00265CE5" w:rsidP="004C79D2">
            <w:pPr>
              <w:pStyle w:val="TableTextRight"/>
            </w:pPr>
            <w:r w:rsidRPr="00EE2810">
              <w:t> </w:t>
            </w:r>
          </w:p>
        </w:tc>
        <w:tc>
          <w:tcPr>
            <w:tcW w:w="0" w:type="dxa"/>
            <w:tcBorders>
              <w:top w:val="nil"/>
              <w:left w:val="single" w:sz="4" w:space="0" w:color="auto"/>
              <w:bottom w:val="nil"/>
              <w:right w:val="nil"/>
            </w:tcBorders>
            <w:vAlign w:val="center"/>
          </w:tcPr>
          <w:p w14:paraId="70F9A94F" w14:textId="77777777" w:rsidR="00AF59F4" w:rsidRPr="00E20618" w:rsidRDefault="00AF59F4" w:rsidP="004C79D2">
            <w:pPr>
              <w:pStyle w:val="TableTextRight"/>
            </w:pPr>
          </w:p>
        </w:tc>
      </w:tr>
      <w:tr w:rsidR="00F67DB6" w:rsidRPr="0080495D" w14:paraId="5FE39392" w14:textId="77777777" w:rsidTr="0006553C">
        <w:tc>
          <w:tcPr>
            <w:tcW w:w="0" w:type="dxa"/>
          </w:tcPr>
          <w:p w14:paraId="3B1DD435" w14:textId="77777777" w:rsidR="00AF59F4" w:rsidRPr="00EE2810" w:rsidRDefault="00AF59F4" w:rsidP="004C79D2">
            <w:pPr>
              <w:pStyle w:val="TableTextLeft"/>
              <w:rPr>
                <w:b/>
              </w:rPr>
            </w:pPr>
            <w:r w:rsidRPr="00EE2810">
              <w:t>Victoria</w:t>
            </w:r>
          </w:p>
        </w:tc>
        <w:tc>
          <w:tcPr>
            <w:tcW w:w="0" w:type="dxa"/>
            <w:tcBorders>
              <w:top w:val="nil"/>
              <w:left w:val="nil"/>
              <w:bottom w:val="nil"/>
              <w:right w:val="nil"/>
            </w:tcBorders>
            <w:vAlign w:val="center"/>
          </w:tcPr>
          <w:p w14:paraId="0262C163" w14:textId="34D9A482" w:rsidR="00AF59F4" w:rsidRPr="00E20618" w:rsidRDefault="00265CE5" w:rsidP="004C79D2">
            <w:pPr>
              <w:pStyle w:val="TableTextRight"/>
            </w:pPr>
            <w:r w:rsidRPr="00EE2810">
              <w:t>82.4</w:t>
            </w:r>
          </w:p>
        </w:tc>
        <w:tc>
          <w:tcPr>
            <w:tcW w:w="0" w:type="dxa"/>
            <w:tcBorders>
              <w:top w:val="nil"/>
              <w:left w:val="nil"/>
              <w:bottom w:val="nil"/>
              <w:right w:val="nil"/>
            </w:tcBorders>
            <w:shd w:val="clear" w:color="auto" w:fill="D2EDFF" w:themeFill="accent1" w:themeFillTint="1A"/>
            <w:vAlign w:val="center"/>
          </w:tcPr>
          <w:p w14:paraId="21A1950F" w14:textId="47F54A4B" w:rsidR="00AF59F4" w:rsidRPr="00E20618" w:rsidRDefault="00265CE5" w:rsidP="004C79D2">
            <w:pPr>
              <w:pStyle w:val="TableTextRight"/>
            </w:pPr>
            <w:r w:rsidRPr="00EE2810">
              <w:t>184.3</w:t>
            </w:r>
          </w:p>
        </w:tc>
        <w:tc>
          <w:tcPr>
            <w:tcW w:w="0" w:type="dxa"/>
            <w:tcBorders>
              <w:top w:val="nil"/>
              <w:left w:val="nil"/>
              <w:bottom w:val="nil"/>
              <w:right w:val="nil"/>
            </w:tcBorders>
            <w:vAlign w:val="center"/>
          </w:tcPr>
          <w:p w14:paraId="4EE02CBA" w14:textId="21EA75A9" w:rsidR="00AF59F4" w:rsidRPr="00E20618" w:rsidRDefault="00EC1368" w:rsidP="004C79D2">
            <w:pPr>
              <w:pStyle w:val="TableTextRight"/>
            </w:pPr>
            <w:r>
              <w:rPr>
                <w:rFonts w:cs="Calibri"/>
              </w:rPr>
              <w:t>163.7</w:t>
            </w:r>
          </w:p>
        </w:tc>
        <w:tc>
          <w:tcPr>
            <w:tcW w:w="0" w:type="dxa"/>
            <w:tcBorders>
              <w:top w:val="nil"/>
              <w:left w:val="nil"/>
              <w:bottom w:val="nil"/>
              <w:right w:val="nil"/>
            </w:tcBorders>
            <w:vAlign w:val="center"/>
          </w:tcPr>
          <w:p w14:paraId="0920C8F8" w14:textId="3AB09343" w:rsidR="00AF59F4" w:rsidRPr="00E20618" w:rsidRDefault="00EC1368" w:rsidP="004C79D2">
            <w:pPr>
              <w:pStyle w:val="TableTextRight"/>
            </w:pPr>
            <w:r>
              <w:rPr>
                <w:rFonts w:cs="Calibri"/>
              </w:rPr>
              <w:t>122.6</w:t>
            </w:r>
          </w:p>
        </w:tc>
        <w:tc>
          <w:tcPr>
            <w:tcW w:w="0" w:type="dxa"/>
            <w:tcBorders>
              <w:top w:val="nil"/>
              <w:left w:val="nil"/>
              <w:bottom w:val="nil"/>
              <w:right w:val="single" w:sz="4" w:space="0" w:color="auto"/>
            </w:tcBorders>
            <w:vAlign w:val="center"/>
          </w:tcPr>
          <w:p w14:paraId="49CA8D10" w14:textId="230E3407" w:rsidR="00AF59F4" w:rsidRPr="00E20618" w:rsidRDefault="00EC1368" w:rsidP="004C79D2">
            <w:pPr>
              <w:pStyle w:val="TableTextRight"/>
            </w:pPr>
            <w:r>
              <w:rPr>
                <w:rFonts w:cs="Calibri"/>
              </w:rPr>
              <w:t>129.7</w:t>
            </w:r>
          </w:p>
        </w:tc>
        <w:tc>
          <w:tcPr>
            <w:tcW w:w="0" w:type="dxa"/>
            <w:tcBorders>
              <w:top w:val="nil"/>
              <w:left w:val="single" w:sz="4" w:space="0" w:color="auto"/>
              <w:bottom w:val="nil"/>
              <w:right w:val="nil"/>
            </w:tcBorders>
            <w:vAlign w:val="center"/>
          </w:tcPr>
          <w:p w14:paraId="7A9276C6" w14:textId="72EEBD57" w:rsidR="00AF59F4" w:rsidRPr="00E20618" w:rsidRDefault="00EC1368" w:rsidP="004C79D2">
            <w:pPr>
              <w:pStyle w:val="TableTextRight"/>
            </w:pPr>
            <w:r>
              <w:rPr>
                <w:rFonts w:cs="Calibri"/>
              </w:rPr>
              <w:t>120.8</w:t>
            </w:r>
          </w:p>
        </w:tc>
      </w:tr>
      <w:tr w:rsidR="00F67DB6" w:rsidRPr="0080495D" w14:paraId="2BE4BBAA" w14:textId="77777777" w:rsidTr="0006553C">
        <w:tc>
          <w:tcPr>
            <w:tcW w:w="0" w:type="dxa"/>
          </w:tcPr>
          <w:p w14:paraId="38A13BCE" w14:textId="77777777" w:rsidR="00AF59F4" w:rsidRPr="00EE2810" w:rsidRDefault="00AF59F4" w:rsidP="004C79D2">
            <w:pPr>
              <w:pStyle w:val="Tabletextleftindent"/>
              <w:rPr>
                <w:b/>
              </w:rPr>
            </w:pPr>
            <w:r w:rsidRPr="00EE2810">
              <w:t xml:space="preserve">Greater Melbourne </w:t>
            </w:r>
          </w:p>
        </w:tc>
        <w:tc>
          <w:tcPr>
            <w:tcW w:w="0" w:type="dxa"/>
            <w:tcBorders>
              <w:top w:val="nil"/>
              <w:left w:val="nil"/>
              <w:bottom w:val="nil"/>
              <w:right w:val="nil"/>
            </w:tcBorders>
            <w:vAlign w:val="center"/>
          </w:tcPr>
          <w:p w14:paraId="1C8019AA" w14:textId="69DA73E9" w:rsidR="00AF59F4" w:rsidRPr="00E20618" w:rsidRDefault="00265CE5" w:rsidP="004C79D2">
            <w:pPr>
              <w:pStyle w:val="TableTextRight"/>
            </w:pPr>
            <w:r w:rsidRPr="00EE2810">
              <w:t>60.4</w:t>
            </w:r>
          </w:p>
        </w:tc>
        <w:tc>
          <w:tcPr>
            <w:tcW w:w="0" w:type="dxa"/>
            <w:tcBorders>
              <w:top w:val="nil"/>
              <w:left w:val="nil"/>
              <w:bottom w:val="nil"/>
              <w:right w:val="nil"/>
            </w:tcBorders>
            <w:shd w:val="clear" w:color="auto" w:fill="D2EDFF" w:themeFill="accent1" w:themeFillTint="1A"/>
            <w:vAlign w:val="center"/>
          </w:tcPr>
          <w:p w14:paraId="796561B3" w14:textId="45024E71" w:rsidR="00AF59F4" w:rsidRPr="00E20618" w:rsidRDefault="00265CE5" w:rsidP="004C79D2">
            <w:pPr>
              <w:pStyle w:val="TableTextRight"/>
            </w:pPr>
            <w:r w:rsidRPr="00EE2810">
              <w:t>168.0</w:t>
            </w:r>
          </w:p>
        </w:tc>
        <w:tc>
          <w:tcPr>
            <w:tcW w:w="0" w:type="dxa"/>
            <w:tcBorders>
              <w:top w:val="nil"/>
              <w:left w:val="nil"/>
              <w:bottom w:val="nil"/>
              <w:right w:val="nil"/>
            </w:tcBorders>
            <w:vAlign w:val="center"/>
          </w:tcPr>
          <w:p w14:paraId="41621327" w14:textId="4BE2B9C7" w:rsidR="00AF59F4" w:rsidRPr="00E20618" w:rsidRDefault="00EC1368" w:rsidP="004C79D2">
            <w:pPr>
              <w:pStyle w:val="TableTextRight"/>
            </w:pPr>
            <w:r>
              <w:rPr>
                <w:rFonts w:cs="Calibri"/>
              </w:rPr>
              <w:t>148.0</w:t>
            </w:r>
          </w:p>
        </w:tc>
        <w:tc>
          <w:tcPr>
            <w:tcW w:w="0" w:type="dxa"/>
            <w:tcBorders>
              <w:top w:val="nil"/>
              <w:left w:val="nil"/>
              <w:bottom w:val="nil"/>
              <w:right w:val="nil"/>
            </w:tcBorders>
            <w:vAlign w:val="center"/>
          </w:tcPr>
          <w:p w14:paraId="6A859436" w14:textId="53FDD4D8" w:rsidR="00AF59F4" w:rsidRPr="00E20618" w:rsidRDefault="00EC1368" w:rsidP="004C79D2">
            <w:pPr>
              <w:pStyle w:val="TableTextRight"/>
            </w:pPr>
            <w:r>
              <w:rPr>
                <w:rFonts w:cs="Calibri"/>
              </w:rPr>
              <w:t>109.2</w:t>
            </w:r>
          </w:p>
        </w:tc>
        <w:tc>
          <w:tcPr>
            <w:tcW w:w="0" w:type="dxa"/>
            <w:tcBorders>
              <w:top w:val="nil"/>
              <w:left w:val="nil"/>
              <w:bottom w:val="nil"/>
              <w:right w:val="single" w:sz="4" w:space="0" w:color="auto"/>
            </w:tcBorders>
            <w:vAlign w:val="center"/>
          </w:tcPr>
          <w:p w14:paraId="2193BBAD" w14:textId="4BDB3C3C" w:rsidR="00AF59F4" w:rsidRPr="00E20618" w:rsidRDefault="00EC1368" w:rsidP="004C79D2">
            <w:pPr>
              <w:pStyle w:val="TableTextRight"/>
            </w:pPr>
            <w:r>
              <w:rPr>
                <w:rFonts w:cs="Calibri"/>
              </w:rPr>
              <w:t>115.8</w:t>
            </w:r>
          </w:p>
        </w:tc>
        <w:tc>
          <w:tcPr>
            <w:tcW w:w="0" w:type="dxa"/>
            <w:tcBorders>
              <w:top w:val="nil"/>
              <w:left w:val="single" w:sz="4" w:space="0" w:color="auto"/>
              <w:bottom w:val="nil"/>
              <w:right w:val="nil"/>
            </w:tcBorders>
            <w:vAlign w:val="center"/>
          </w:tcPr>
          <w:p w14:paraId="3B93B071" w14:textId="34A29480" w:rsidR="00AF59F4" w:rsidRPr="00E20618" w:rsidRDefault="00265CE5" w:rsidP="004C79D2">
            <w:pPr>
              <w:pStyle w:val="TableTextRight"/>
            </w:pPr>
            <w:r w:rsidRPr="00EE2810">
              <w:t>108.</w:t>
            </w:r>
            <w:r w:rsidR="00EC1368">
              <w:rPr>
                <w:rFonts w:cs="Calibri"/>
              </w:rPr>
              <w:t>1</w:t>
            </w:r>
          </w:p>
        </w:tc>
      </w:tr>
      <w:tr w:rsidR="00F67DB6" w:rsidRPr="0080495D" w14:paraId="74491878" w14:textId="77777777" w:rsidTr="0006553C">
        <w:tc>
          <w:tcPr>
            <w:tcW w:w="0" w:type="dxa"/>
            <w:tcBorders>
              <w:bottom w:val="single" w:sz="4" w:space="0" w:color="auto"/>
            </w:tcBorders>
          </w:tcPr>
          <w:p w14:paraId="01002FB8" w14:textId="77777777" w:rsidR="00AF59F4" w:rsidRPr="00EE2810" w:rsidRDefault="00AF59F4" w:rsidP="004C79D2">
            <w:pPr>
              <w:pStyle w:val="Tabletextleftindent"/>
              <w:rPr>
                <w:b/>
              </w:rPr>
            </w:pPr>
            <w:r w:rsidRPr="00EE2810">
              <w:t>Rest of Victoria</w:t>
            </w:r>
          </w:p>
        </w:tc>
        <w:tc>
          <w:tcPr>
            <w:tcW w:w="0" w:type="dxa"/>
            <w:tcBorders>
              <w:top w:val="nil"/>
              <w:left w:val="nil"/>
              <w:bottom w:val="single" w:sz="4" w:space="0" w:color="auto"/>
              <w:right w:val="nil"/>
            </w:tcBorders>
            <w:vAlign w:val="center"/>
          </w:tcPr>
          <w:p w14:paraId="7F3359D7" w14:textId="4DB0F67C" w:rsidR="00AF59F4" w:rsidRPr="00E20618" w:rsidRDefault="00265CE5" w:rsidP="004C79D2">
            <w:pPr>
              <w:pStyle w:val="TableTextRight"/>
            </w:pPr>
            <w:r w:rsidRPr="00EE2810">
              <w:t>17.7</w:t>
            </w:r>
          </w:p>
        </w:tc>
        <w:tc>
          <w:tcPr>
            <w:tcW w:w="0" w:type="dxa"/>
            <w:tcBorders>
              <w:top w:val="nil"/>
              <w:left w:val="nil"/>
              <w:bottom w:val="single" w:sz="4" w:space="0" w:color="auto"/>
              <w:right w:val="nil"/>
            </w:tcBorders>
            <w:shd w:val="clear" w:color="auto" w:fill="D2EDFF" w:themeFill="accent1" w:themeFillTint="1A"/>
            <w:vAlign w:val="center"/>
          </w:tcPr>
          <w:p w14:paraId="700A8F8E" w14:textId="5214F443" w:rsidR="00AF59F4" w:rsidRPr="00E20618" w:rsidRDefault="00265CE5" w:rsidP="004C79D2">
            <w:pPr>
              <w:pStyle w:val="TableTextRight"/>
            </w:pPr>
            <w:r w:rsidRPr="00EE2810">
              <w:t>16.3</w:t>
            </w:r>
          </w:p>
        </w:tc>
        <w:tc>
          <w:tcPr>
            <w:tcW w:w="0" w:type="dxa"/>
            <w:tcBorders>
              <w:top w:val="nil"/>
              <w:left w:val="nil"/>
              <w:bottom w:val="single" w:sz="4" w:space="0" w:color="auto"/>
              <w:right w:val="nil"/>
            </w:tcBorders>
            <w:vAlign w:val="center"/>
          </w:tcPr>
          <w:p w14:paraId="6032291B" w14:textId="5C27D002" w:rsidR="00AF59F4" w:rsidRPr="00E20618" w:rsidRDefault="00EC1368" w:rsidP="004C79D2">
            <w:pPr>
              <w:pStyle w:val="TableTextRight"/>
            </w:pPr>
            <w:r>
              <w:rPr>
                <w:rFonts w:cs="Calibri"/>
              </w:rPr>
              <w:t>15.7</w:t>
            </w:r>
          </w:p>
        </w:tc>
        <w:tc>
          <w:tcPr>
            <w:tcW w:w="0" w:type="dxa"/>
            <w:tcBorders>
              <w:top w:val="nil"/>
              <w:left w:val="nil"/>
              <w:bottom w:val="single" w:sz="4" w:space="0" w:color="auto"/>
              <w:right w:val="nil"/>
            </w:tcBorders>
            <w:vAlign w:val="center"/>
          </w:tcPr>
          <w:p w14:paraId="7F5FC7A6" w14:textId="1A85A7BF" w:rsidR="00AF59F4" w:rsidRPr="00E20618" w:rsidRDefault="00EC1368" w:rsidP="004C79D2">
            <w:pPr>
              <w:pStyle w:val="TableTextRight"/>
            </w:pPr>
            <w:r>
              <w:rPr>
                <w:rFonts w:cs="Calibri"/>
              </w:rPr>
              <w:t>13.3</w:t>
            </w:r>
          </w:p>
        </w:tc>
        <w:tc>
          <w:tcPr>
            <w:tcW w:w="0" w:type="dxa"/>
            <w:tcBorders>
              <w:top w:val="nil"/>
              <w:left w:val="nil"/>
              <w:bottom w:val="single" w:sz="4" w:space="0" w:color="auto"/>
              <w:right w:val="single" w:sz="4" w:space="0" w:color="auto"/>
            </w:tcBorders>
            <w:vAlign w:val="center"/>
          </w:tcPr>
          <w:p w14:paraId="187B1927" w14:textId="148114B9" w:rsidR="00AF59F4" w:rsidRPr="00E20618" w:rsidRDefault="00EC1368" w:rsidP="004C79D2">
            <w:pPr>
              <w:pStyle w:val="TableTextRight"/>
            </w:pPr>
            <w:r>
              <w:rPr>
                <w:rFonts w:cs="Calibri"/>
              </w:rPr>
              <w:t>13</w:t>
            </w:r>
            <w:r w:rsidR="00265CE5" w:rsidRPr="00EE2810">
              <w:t>.9</w:t>
            </w:r>
          </w:p>
        </w:tc>
        <w:tc>
          <w:tcPr>
            <w:tcW w:w="0" w:type="dxa"/>
            <w:tcBorders>
              <w:top w:val="nil"/>
              <w:left w:val="single" w:sz="4" w:space="0" w:color="auto"/>
              <w:bottom w:val="single" w:sz="4" w:space="0" w:color="auto"/>
              <w:right w:val="nil"/>
            </w:tcBorders>
            <w:vAlign w:val="center"/>
          </w:tcPr>
          <w:p w14:paraId="4580ABBC" w14:textId="3704A884" w:rsidR="00AF59F4" w:rsidRPr="00E20618" w:rsidRDefault="00EC1368" w:rsidP="004C79D2">
            <w:pPr>
              <w:pStyle w:val="TableTextRight"/>
            </w:pPr>
            <w:r>
              <w:rPr>
                <w:rFonts w:cs="Calibri"/>
              </w:rPr>
              <w:t>12.7</w:t>
            </w:r>
          </w:p>
        </w:tc>
      </w:tr>
      <w:tr w:rsidR="00F67DB6" w:rsidRPr="0080495D" w14:paraId="534CB3C2" w14:textId="77777777" w:rsidTr="0006553C">
        <w:tc>
          <w:tcPr>
            <w:tcW w:w="0" w:type="dxa"/>
            <w:tcBorders>
              <w:top w:val="single" w:sz="4" w:space="0" w:color="auto"/>
              <w:bottom w:val="nil"/>
            </w:tcBorders>
          </w:tcPr>
          <w:p w14:paraId="333CB73E" w14:textId="5206059A" w:rsidR="00AF59F4" w:rsidRPr="00EE2810" w:rsidRDefault="00AF59F4" w:rsidP="004C79D2">
            <w:pPr>
              <w:pStyle w:val="TableColumnHeadingLeft"/>
            </w:pPr>
            <w:r w:rsidRPr="00EE2810">
              <w:t>Natural increase (</w:t>
            </w:r>
            <w:r w:rsidR="004B14AB" w:rsidRPr="00EE2810">
              <w:t>‘</w:t>
            </w:r>
            <w:r w:rsidRPr="00EE2810">
              <w:t>000)</w:t>
            </w:r>
          </w:p>
        </w:tc>
        <w:tc>
          <w:tcPr>
            <w:tcW w:w="0" w:type="dxa"/>
            <w:tcBorders>
              <w:top w:val="single" w:sz="4" w:space="0" w:color="auto"/>
              <w:left w:val="nil"/>
              <w:bottom w:val="nil"/>
              <w:right w:val="nil"/>
            </w:tcBorders>
            <w:vAlign w:val="center"/>
          </w:tcPr>
          <w:p w14:paraId="3B4EA4E8" w14:textId="77777777" w:rsidR="00AF59F4" w:rsidRPr="00E20618" w:rsidRDefault="00AF59F4" w:rsidP="004C79D2">
            <w:pPr>
              <w:pStyle w:val="TableTextRight"/>
            </w:pPr>
          </w:p>
        </w:tc>
        <w:tc>
          <w:tcPr>
            <w:tcW w:w="0" w:type="dxa"/>
            <w:tcBorders>
              <w:top w:val="single" w:sz="4" w:space="0" w:color="auto"/>
              <w:left w:val="nil"/>
              <w:bottom w:val="nil"/>
              <w:right w:val="nil"/>
            </w:tcBorders>
            <w:shd w:val="clear" w:color="auto" w:fill="D2EDFF" w:themeFill="accent1" w:themeFillTint="1A"/>
            <w:vAlign w:val="center"/>
          </w:tcPr>
          <w:p w14:paraId="53193AE3" w14:textId="1607209F" w:rsidR="00AF59F4" w:rsidRPr="00E20618" w:rsidRDefault="00265CE5" w:rsidP="004C79D2">
            <w:pPr>
              <w:pStyle w:val="TableTextRight"/>
            </w:pPr>
            <w:r w:rsidRPr="00EE2810">
              <w:t> </w:t>
            </w:r>
          </w:p>
        </w:tc>
        <w:tc>
          <w:tcPr>
            <w:tcW w:w="0" w:type="dxa"/>
            <w:tcBorders>
              <w:top w:val="single" w:sz="4" w:space="0" w:color="auto"/>
              <w:left w:val="nil"/>
              <w:bottom w:val="nil"/>
              <w:right w:val="nil"/>
            </w:tcBorders>
            <w:vAlign w:val="center"/>
          </w:tcPr>
          <w:p w14:paraId="09F4F1CE" w14:textId="77777777" w:rsidR="00AF59F4" w:rsidRPr="00E20618" w:rsidRDefault="00AF59F4" w:rsidP="004C79D2">
            <w:pPr>
              <w:pStyle w:val="TableTextRight"/>
            </w:pPr>
          </w:p>
        </w:tc>
        <w:tc>
          <w:tcPr>
            <w:tcW w:w="0" w:type="dxa"/>
            <w:tcBorders>
              <w:top w:val="single" w:sz="4" w:space="0" w:color="auto"/>
              <w:left w:val="nil"/>
              <w:bottom w:val="nil"/>
              <w:right w:val="nil"/>
            </w:tcBorders>
            <w:vAlign w:val="center"/>
          </w:tcPr>
          <w:p w14:paraId="14ED2F6D" w14:textId="77777777" w:rsidR="00AF59F4" w:rsidRPr="00E20618" w:rsidRDefault="00AF59F4" w:rsidP="004C79D2">
            <w:pPr>
              <w:pStyle w:val="TableTextRight"/>
            </w:pPr>
          </w:p>
        </w:tc>
        <w:tc>
          <w:tcPr>
            <w:tcW w:w="0" w:type="dxa"/>
            <w:tcBorders>
              <w:top w:val="single" w:sz="4" w:space="0" w:color="auto"/>
              <w:left w:val="nil"/>
              <w:bottom w:val="nil"/>
              <w:right w:val="single" w:sz="4" w:space="0" w:color="auto"/>
            </w:tcBorders>
            <w:vAlign w:val="center"/>
          </w:tcPr>
          <w:p w14:paraId="6A4115ED" w14:textId="525DB82B" w:rsidR="00AF59F4" w:rsidRPr="00E20618" w:rsidRDefault="00265CE5" w:rsidP="004C79D2">
            <w:pPr>
              <w:pStyle w:val="TableTextRight"/>
            </w:pPr>
            <w:r w:rsidRPr="00EE2810">
              <w:t> </w:t>
            </w:r>
          </w:p>
        </w:tc>
        <w:tc>
          <w:tcPr>
            <w:tcW w:w="0" w:type="dxa"/>
            <w:tcBorders>
              <w:top w:val="single" w:sz="4" w:space="0" w:color="auto"/>
              <w:left w:val="single" w:sz="4" w:space="0" w:color="auto"/>
              <w:bottom w:val="nil"/>
              <w:right w:val="nil"/>
            </w:tcBorders>
            <w:vAlign w:val="center"/>
          </w:tcPr>
          <w:p w14:paraId="5DF3212D" w14:textId="77777777" w:rsidR="00AF59F4" w:rsidRPr="00E20618" w:rsidRDefault="00AF59F4" w:rsidP="004C79D2">
            <w:pPr>
              <w:pStyle w:val="TableTextRight"/>
            </w:pPr>
          </w:p>
        </w:tc>
      </w:tr>
      <w:tr w:rsidR="00F67DB6" w:rsidRPr="0080495D" w14:paraId="70D35520" w14:textId="77777777" w:rsidTr="0006553C">
        <w:tc>
          <w:tcPr>
            <w:tcW w:w="0" w:type="dxa"/>
            <w:tcBorders>
              <w:top w:val="nil"/>
            </w:tcBorders>
          </w:tcPr>
          <w:p w14:paraId="4098EF58" w14:textId="77777777" w:rsidR="00AF59F4" w:rsidRPr="00EE2810" w:rsidRDefault="00AF59F4" w:rsidP="004C79D2">
            <w:pPr>
              <w:pStyle w:val="TableTextLeft"/>
              <w:rPr>
                <w:b/>
              </w:rPr>
            </w:pPr>
            <w:r w:rsidRPr="00EE2810">
              <w:t>Victoria</w:t>
            </w:r>
          </w:p>
        </w:tc>
        <w:tc>
          <w:tcPr>
            <w:tcW w:w="0" w:type="dxa"/>
            <w:tcBorders>
              <w:top w:val="nil"/>
              <w:left w:val="nil"/>
              <w:bottom w:val="nil"/>
              <w:right w:val="nil"/>
            </w:tcBorders>
            <w:vAlign w:val="center"/>
          </w:tcPr>
          <w:p w14:paraId="4622E2F4" w14:textId="717CA560" w:rsidR="00AF59F4" w:rsidRPr="00E20618" w:rsidRDefault="00265CE5" w:rsidP="004C79D2">
            <w:pPr>
              <w:pStyle w:val="TableTextRight"/>
            </w:pPr>
            <w:r w:rsidRPr="00EE2810">
              <w:t>31.6</w:t>
            </w:r>
          </w:p>
        </w:tc>
        <w:tc>
          <w:tcPr>
            <w:tcW w:w="0" w:type="dxa"/>
            <w:tcBorders>
              <w:top w:val="nil"/>
              <w:left w:val="nil"/>
              <w:bottom w:val="nil"/>
              <w:right w:val="nil"/>
            </w:tcBorders>
            <w:shd w:val="clear" w:color="auto" w:fill="D2EDFF" w:themeFill="accent1" w:themeFillTint="1A"/>
            <w:vAlign w:val="center"/>
          </w:tcPr>
          <w:p w14:paraId="43697844" w14:textId="3D6C7728" w:rsidR="00AF59F4" w:rsidRPr="00E20618" w:rsidRDefault="00265CE5" w:rsidP="004C79D2">
            <w:pPr>
              <w:pStyle w:val="TableTextRight"/>
            </w:pPr>
            <w:r w:rsidRPr="00EE2810">
              <w:t>31.0</w:t>
            </w:r>
          </w:p>
        </w:tc>
        <w:tc>
          <w:tcPr>
            <w:tcW w:w="0" w:type="dxa"/>
            <w:tcBorders>
              <w:top w:val="nil"/>
              <w:left w:val="nil"/>
              <w:bottom w:val="nil"/>
              <w:right w:val="nil"/>
            </w:tcBorders>
            <w:vAlign w:val="center"/>
          </w:tcPr>
          <w:p w14:paraId="4037A970" w14:textId="48C1A958" w:rsidR="00AF59F4" w:rsidRPr="00E20618" w:rsidRDefault="00265CE5" w:rsidP="004C79D2">
            <w:pPr>
              <w:pStyle w:val="TableTextRight"/>
            </w:pPr>
            <w:r w:rsidRPr="00EE2810">
              <w:t>34.</w:t>
            </w:r>
            <w:r w:rsidR="00EC1368">
              <w:rPr>
                <w:rFonts w:cs="Calibri"/>
              </w:rPr>
              <w:t>4</w:t>
            </w:r>
          </w:p>
        </w:tc>
        <w:tc>
          <w:tcPr>
            <w:tcW w:w="0" w:type="dxa"/>
            <w:tcBorders>
              <w:top w:val="nil"/>
              <w:left w:val="nil"/>
              <w:bottom w:val="nil"/>
              <w:right w:val="nil"/>
            </w:tcBorders>
            <w:vAlign w:val="center"/>
          </w:tcPr>
          <w:p w14:paraId="326BF445" w14:textId="488A6332" w:rsidR="00AF59F4" w:rsidRPr="00E20618" w:rsidRDefault="00EC1368" w:rsidP="004C79D2">
            <w:pPr>
              <w:pStyle w:val="TableTextRight"/>
            </w:pPr>
            <w:r>
              <w:rPr>
                <w:rFonts w:cs="Calibri"/>
              </w:rPr>
              <w:t>36.8</w:t>
            </w:r>
          </w:p>
        </w:tc>
        <w:tc>
          <w:tcPr>
            <w:tcW w:w="0" w:type="dxa"/>
            <w:tcBorders>
              <w:top w:val="nil"/>
              <w:left w:val="nil"/>
              <w:bottom w:val="nil"/>
              <w:right w:val="single" w:sz="4" w:space="0" w:color="auto"/>
            </w:tcBorders>
            <w:vAlign w:val="center"/>
          </w:tcPr>
          <w:p w14:paraId="7286D8F3" w14:textId="000C40EC" w:rsidR="00AF59F4" w:rsidRPr="00E20618" w:rsidRDefault="00EC1368" w:rsidP="004C79D2">
            <w:pPr>
              <w:pStyle w:val="TableTextRight"/>
            </w:pPr>
            <w:r>
              <w:rPr>
                <w:rFonts w:cs="Calibri"/>
              </w:rPr>
              <w:t>37.8</w:t>
            </w:r>
          </w:p>
        </w:tc>
        <w:tc>
          <w:tcPr>
            <w:tcW w:w="0" w:type="dxa"/>
            <w:tcBorders>
              <w:top w:val="nil"/>
              <w:left w:val="single" w:sz="4" w:space="0" w:color="auto"/>
              <w:bottom w:val="nil"/>
              <w:right w:val="nil"/>
            </w:tcBorders>
            <w:vAlign w:val="center"/>
          </w:tcPr>
          <w:p w14:paraId="3A3DD2F8" w14:textId="71234359" w:rsidR="00AF59F4" w:rsidRPr="00E20618" w:rsidRDefault="00EC1368" w:rsidP="004C79D2">
            <w:pPr>
              <w:pStyle w:val="TableTextRight"/>
            </w:pPr>
            <w:r>
              <w:rPr>
                <w:rFonts w:cs="Calibri"/>
              </w:rPr>
              <w:t>37.4</w:t>
            </w:r>
          </w:p>
        </w:tc>
      </w:tr>
      <w:tr w:rsidR="00F67DB6" w:rsidRPr="0080495D" w14:paraId="172D5F8B" w14:textId="77777777" w:rsidTr="0006553C">
        <w:tc>
          <w:tcPr>
            <w:tcW w:w="0" w:type="dxa"/>
          </w:tcPr>
          <w:p w14:paraId="76758F14" w14:textId="77777777" w:rsidR="00AF59F4" w:rsidRPr="00EE2810" w:rsidRDefault="00AF59F4" w:rsidP="004C79D2">
            <w:pPr>
              <w:pStyle w:val="Tabletextleftindent"/>
              <w:rPr>
                <w:b/>
              </w:rPr>
            </w:pPr>
            <w:r w:rsidRPr="00EE2810">
              <w:t xml:space="preserve">Greater Melbourne </w:t>
            </w:r>
          </w:p>
        </w:tc>
        <w:tc>
          <w:tcPr>
            <w:tcW w:w="0" w:type="dxa"/>
            <w:tcBorders>
              <w:top w:val="nil"/>
              <w:left w:val="nil"/>
              <w:bottom w:val="nil"/>
              <w:right w:val="nil"/>
            </w:tcBorders>
            <w:vAlign w:val="center"/>
          </w:tcPr>
          <w:p w14:paraId="16FEE62F" w14:textId="21407F63" w:rsidR="00AF59F4" w:rsidRPr="00E20618" w:rsidRDefault="00265CE5" w:rsidP="004C79D2">
            <w:pPr>
              <w:pStyle w:val="TableTextRight"/>
            </w:pPr>
            <w:r w:rsidRPr="00EE2810">
              <w:t>27.0</w:t>
            </w:r>
          </w:p>
        </w:tc>
        <w:tc>
          <w:tcPr>
            <w:tcW w:w="0" w:type="dxa"/>
            <w:tcBorders>
              <w:top w:val="nil"/>
              <w:left w:val="nil"/>
              <w:bottom w:val="nil"/>
              <w:right w:val="nil"/>
            </w:tcBorders>
            <w:shd w:val="clear" w:color="auto" w:fill="D2EDFF" w:themeFill="accent1" w:themeFillTint="1A"/>
            <w:vAlign w:val="center"/>
          </w:tcPr>
          <w:p w14:paraId="4BD14C8D" w14:textId="064E0C0B" w:rsidR="00AF59F4" w:rsidRPr="00E20618" w:rsidRDefault="00265CE5" w:rsidP="004C79D2">
            <w:pPr>
              <w:pStyle w:val="TableTextRight"/>
            </w:pPr>
            <w:r w:rsidRPr="00EE2810">
              <w:t>30.2</w:t>
            </w:r>
          </w:p>
        </w:tc>
        <w:tc>
          <w:tcPr>
            <w:tcW w:w="0" w:type="dxa"/>
            <w:tcBorders>
              <w:top w:val="nil"/>
              <w:left w:val="nil"/>
              <w:bottom w:val="nil"/>
              <w:right w:val="nil"/>
            </w:tcBorders>
            <w:vAlign w:val="center"/>
          </w:tcPr>
          <w:p w14:paraId="37728EE5" w14:textId="70DB8E37" w:rsidR="00AF59F4" w:rsidRPr="00E20618" w:rsidRDefault="00265CE5" w:rsidP="004C79D2">
            <w:pPr>
              <w:pStyle w:val="TableTextRight"/>
            </w:pPr>
            <w:r w:rsidRPr="00EE2810">
              <w:t>33.</w:t>
            </w:r>
            <w:r w:rsidR="00EC1368">
              <w:rPr>
                <w:rFonts w:cs="Calibri"/>
              </w:rPr>
              <w:t>1</w:t>
            </w:r>
          </w:p>
        </w:tc>
        <w:tc>
          <w:tcPr>
            <w:tcW w:w="0" w:type="dxa"/>
            <w:tcBorders>
              <w:top w:val="nil"/>
              <w:left w:val="nil"/>
              <w:bottom w:val="nil"/>
              <w:right w:val="nil"/>
            </w:tcBorders>
            <w:vAlign w:val="center"/>
          </w:tcPr>
          <w:p w14:paraId="40E0C095" w14:textId="31EBB636" w:rsidR="00AF59F4" w:rsidRPr="00E20618" w:rsidRDefault="00265CE5" w:rsidP="004C79D2">
            <w:pPr>
              <w:pStyle w:val="TableTextRight"/>
            </w:pPr>
            <w:r w:rsidRPr="00EE2810">
              <w:t>35.</w:t>
            </w:r>
            <w:r w:rsidR="00EC1368">
              <w:rPr>
                <w:rFonts w:cs="Calibri"/>
              </w:rPr>
              <w:t>2</w:t>
            </w:r>
          </w:p>
        </w:tc>
        <w:tc>
          <w:tcPr>
            <w:tcW w:w="0" w:type="dxa"/>
            <w:tcBorders>
              <w:top w:val="nil"/>
              <w:left w:val="nil"/>
              <w:bottom w:val="nil"/>
              <w:right w:val="single" w:sz="4" w:space="0" w:color="auto"/>
            </w:tcBorders>
            <w:vAlign w:val="center"/>
          </w:tcPr>
          <w:p w14:paraId="0948E25C" w14:textId="3ABA148D" w:rsidR="00AF59F4" w:rsidRPr="00E20618" w:rsidRDefault="00265CE5" w:rsidP="004C79D2">
            <w:pPr>
              <w:pStyle w:val="TableTextRight"/>
            </w:pPr>
            <w:r w:rsidRPr="00EE2810">
              <w:t>36.</w:t>
            </w:r>
            <w:r w:rsidR="00EC1368">
              <w:rPr>
                <w:rFonts w:cs="Calibri"/>
              </w:rPr>
              <w:t>2</w:t>
            </w:r>
          </w:p>
        </w:tc>
        <w:tc>
          <w:tcPr>
            <w:tcW w:w="0" w:type="dxa"/>
            <w:tcBorders>
              <w:top w:val="nil"/>
              <w:left w:val="single" w:sz="4" w:space="0" w:color="auto"/>
              <w:bottom w:val="nil"/>
              <w:right w:val="nil"/>
            </w:tcBorders>
            <w:vAlign w:val="center"/>
          </w:tcPr>
          <w:p w14:paraId="4C2088D0" w14:textId="0FB34463" w:rsidR="00AF59F4" w:rsidRPr="00E20618" w:rsidRDefault="00EC1368" w:rsidP="004C79D2">
            <w:pPr>
              <w:pStyle w:val="TableTextRight"/>
            </w:pPr>
            <w:r>
              <w:rPr>
                <w:rFonts w:cs="Calibri"/>
              </w:rPr>
              <w:t>38.8</w:t>
            </w:r>
          </w:p>
        </w:tc>
      </w:tr>
      <w:tr w:rsidR="00F67DB6" w:rsidRPr="0080495D" w14:paraId="3C98699B" w14:textId="77777777" w:rsidTr="0006553C">
        <w:tc>
          <w:tcPr>
            <w:tcW w:w="0" w:type="dxa"/>
          </w:tcPr>
          <w:p w14:paraId="42B71204" w14:textId="77777777" w:rsidR="00AF59F4" w:rsidRPr="00EE2810" w:rsidRDefault="00AF59F4" w:rsidP="004C79D2">
            <w:pPr>
              <w:pStyle w:val="Tabletextleftindent"/>
              <w:rPr>
                <w:b/>
              </w:rPr>
            </w:pPr>
            <w:r w:rsidRPr="00EE2810">
              <w:t>Rest of Victoria</w:t>
            </w:r>
          </w:p>
        </w:tc>
        <w:tc>
          <w:tcPr>
            <w:tcW w:w="0" w:type="dxa"/>
            <w:tcBorders>
              <w:top w:val="nil"/>
              <w:left w:val="nil"/>
              <w:bottom w:val="nil"/>
              <w:right w:val="nil"/>
            </w:tcBorders>
            <w:vAlign w:val="center"/>
          </w:tcPr>
          <w:p w14:paraId="043AF7FA" w14:textId="462FF989" w:rsidR="00AF59F4" w:rsidRPr="00E20618" w:rsidRDefault="00265CE5" w:rsidP="004C79D2">
            <w:pPr>
              <w:pStyle w:val="TableTextRight"/>
            </w:pPr>
            <w:r w:rsidRPr="00EE2810">
              <w:t>2.0</w:t>
            </w:r>
          </w:p>
        </w:tc>
        <w:tc>
          <w:tcPr>
            <w:tcW w:w="0" w:type="dxa"/>
            <w:tcBorders>
              <w:top w:val="nil"/>
              <w:left w:val="nil"/>
              <w:bottom w:val="nil"/>
              <w:right w:val="nil"/>
            </w:tcBorders>
            <w:shd w:val="clear" w:color="auto" w:fill="D2EDFF" w:themeFill="accent1" w:themeFillTint="1A"/>
            <w:vAlign w:val="center"/>
          </w:tcPr>
          <w:p w14:paraId="6547E119" w14:textId="35A04D93" w:rsidR="00AF59F4" w:rsidRPr="00E20618" w:rsidRDefault="00265CE5" w:rsidP="004C79D2">
            <w:pPr>
              <w:pStyle w:val="TableTextRight"/>
            </w:pPr>
            <w:r w:rsidRPr="00EE2810">
              <w:t>0.8</w:t>
            </w:r>
          </w:p>
        </w:tc>
        <w:tc>
          <w:tcPr>
            <w:tcW w:w="0" w:type="dxa"/>
            <w:tcBorders>
              <w:top w:val="nil"/>
              <w:left w:val="nil"/>
              <w:bottom w:val="nil"/>
              <w:right w:val="nil"/>
            </w:tcBorders>
            <w:vAlign w:val="center"/>
          </w:tcPr>
          <w:p w14:paraId="11936D87" w14:textId="06A47ED3" w:rsidR="00AF59F4" w:rsidRPr="00E20618" w:rsidRDefault="00265CE5" w:rsidP="004C79D2">
            <w:pPr>
              <w:pStyle w:val="TableTextRight"/>
            </w:pPr>
            <w:r w:rsidRPr="00EE2810">
              <w:t>1.3</w:t>
            </w:r>
          </w:p>
        </w:tc>
        <w:tc>
          <w:tcPr>
            <w:tcW w:w="0" w:type="dxa"/>
            <w:tcBorders>
              <w:top w:val="nil"/>
              <w:left w:val="nil"/>
              <w:bottom w:val="nil"/>
              <w:right w:val="nil"/>
            </w:tcBorders>
            <w:vAlign w:val="center"/>
          </w:tcPr>
          <w:p w14:paraId="5FDD87AB" w14:textId="3AB22292" w:rsidR="00AF59F4" w:rsidRPr="00E20618" w:rsidRDefault="00265CE5" w:rsidP="004C79D2">
            <w:pPr>
              <w:pStyle w:val="TableTextRight"/>
            </w:pPr>
            <w:r w:rsidRPr="00EE2810">
              <w:t>1.6</w:t>
            </w:r>
          </w:p>
        </w:tc>
        <w:tc>
          <w:tcPr>
            <w:tcW w:w="0" w:type="dxa"/>
            <w:tcBorders>
              <w:top w:val="nil"/>
              <w:left w:val="nil"/>
              <w:bottom w:val="nil"/>
              <w:right w:val="single" w:sz="4" w:space="0" w:color="auto"/>
            </w:tcBorders>
            <w:vAlign w:val="center"/>
          </w:tcPr>
          <w:p w14:paraId="50AA8ABB" w14:textId="6B53314D" w:rsidR="00AF59F4" w:rsidRPr="00E20618" w:rsidRDefault="00265CE5" w:rsidP="004C79D2">
            <w:pPr>
              <w:pStyle w:val="TableTextRight"/>
            </w:pPr>
            <w:r w:rsidRPr="00EE2810">
              <w:t>1.</w:t>
            </w:r>
            <w:r w:rsidR="00EC1368">
              <w:rPr>
                <w:rFonts w:cs="Calibri"/>
              </w:rPr>
              <w:t>5</w:t>
            </w:r>
          </w:p>
        </w:tc>
        <w:tc>
          <w:tcPr>
            <w:tcW w:w="0" w:type="dxa"/>
            <w:tcBorders>
              <w:top w:val="nil"/>
              <w:left w:val="single" w:sz="4" w:space="0" w:color="auto"/>
              <w:bottom w:val="nil"/>
              <w:right w:val="nil"/>
            </w:tcBorders>
            <w:vAlign w:val="center"/>
          </w:tcPr>
          <w:p w14:paraId="3998F915" w14:textId="524C354F" w:rsidR="00AF59F4" w:rsidRPr="00E20618" w:rsidRDefault="00EC1368" w:rsidP="004C79D2">
            <w:pPr>
              <w:pStyle w:val="TableTextRight"/>
            </w:pPr>
            <w:r>
              <w:rPr>
                <w:rFonts w:cs="Calibri"/>
              </w:rPr>
              <w:t>-</w:t>
            </w:r>
            <w:r w:rsidR="00265CE5" w:rsidRPr="00EE2810">
              <w:t>1.</w:t>
            </w:r>
            <w:r>
              <w:rPr>
                <w:rFonts w:cs="Calibri"/>
              </w:rPr>
              <w:t>4</w:t>
            </w:r>
          </w:p>
        </w:tc>
      </w:tr>
      <w:tr w:rsidR="00F67DB6" w:rsidRPr="0080495D" w14:paraId="654B1B35" w14:textId="77777777" w:rsidTr="0006553C">
        <w:tc>
          <w:tcPr>
            <w:tcW w:w="0" w:type="dxa"/>
          </w:tcPr>
          <w:p w14:paraId="3E182405" w14:textId="620A1D15" w:rsidR="00AF59F4" w:rsidRPr="00EE2810" w:rsidRDefault="00AF59F4" w:rsidP="004C79D2">
            <w:pPr>
              <w:pStyle w:val="TableColumnHeadingLeft"/>
            </w:pPr>
            <w:r w:rsidRPr="00EE2810">
              <w:t>Net overseas migration (</w:t>
            </w:r>
            <w:r w:rsidR="004B14AB" w:rsidRPr="00EE2810">
              <w:t>‘</w:t>
            </w:r>
            <w:r w:rsidRPr="00EE2810">
              <w:t>000)</w:t>
            </w:r>
          </w:p>
        </w:tc>
        <w:tc>
          <w:tcPr>
            <w:tcW w:w="0" w:type="dxa"/>
            <w:tcBorders>
              <w:top w:val="nil"/>
              <w:left w:val="nil"/>
              <w:bottom w:val="nil"/>
              <w:right w:val="nil"/>
            </w:tcBorders>
            <w:vAlign w:val="center"/>
          </w:tcPr>
          <w:p w14:paraId="3F2A9CF2" w14:textId="77777777" w:rsidR="00AF59F4" w:rsidRPr="00E20618" w:rsidRDefault="00AF59F4" w:rsidP="004C79D2">
            <w:pPr>
              <w:pStyle w:val="TableTextRight"/>
            </w:pPr>
          </w:p>
        </w:tc>
        <w:tc>
          <w:tcPr>
            <w:tcW w:w="0" w:type="dxa"/>
            <w:tcBorders>
              <w:top w:val="nil"/>
              <w:left w:val="nil"/>
              <w:bottom w:val="nil"/>
              <w:right w:val="nil"/>
            </w:tcBorders>
            <w:shd w:val="clear" w:color="auto" w:fill="D2EDFF" w:themeFill="accent1" w:themeFillTint="1A"/>
            <w:vAlign w:val="center"/>
          </w:tcPr>
          <w:p w14:paraId="60D3D48B" w14:textId="430F6232" w:rsidR="00AF59F4" w:rsidRPr="00E20618" w:rsidRDefault="00265CE5" w:rsidP="004C79D2">
            <w:pPr>
              <w:pStyle w:val="TableTextRight"/>
            </w:pPr>
            <w:r w:rsidRPr="00EE2810">
              <w:t> </w:t>
            </w:r>
          </w:p>
        </w:tc>
        <w:tc>
          <w:tcPr>
            <w:tcW w:w="0" w:type="dxa"/>
            <w:tcBorders>
              <w:top w:val="nil"/>
              <w:left w:val="nil"/>
              <w:bottom w:val="nil"/>
              <w:right w:val="nil"/>
            </w:tcBorders>
            <w:vAlign w:val="center"/>
          </w:tcPr>
          <w:p w14:paraId="398DB02A" w14:textId="77777777" w:rsidR="00AF59F4" w:rsidRPr="00E20618" w:rsidRDefault="00AF59F4" w:rsidP="004C79D2">
            <w:pPr>
              <w:pStyle w:val="TableTextRight"/>
            </w:pPr>
          </w:p>
        </w:tc>
        <w:tc>
          <w:tcPr>
            <w:tcW w:w="0" w:type="dxa"/>
            <w:tcBorders>
              <w:top w:val="nil"/>
              <w:left w:val="nil"/>
              <w:bottom w:val="nil"/>
              <w:right w:val="nil"/>
            </w:tcBorders>
            <w:vAlign w:val="center"/>
          </w:tcPr>
          <w:p w14:paraId="0BAC02AB" w14:textId="77777777" w:rsidR="00AF59F4" w:rsidRPr="00E20618" w:rsidRDefault="00AF59F4" w:rsidP="004C79D2">
            <w:pPr>
              <w:pStyle w:val="TableTextRight"/>
            </w:pPr>
          </w:p>
        </w:tc>
        <w:tc>
          <w:tcPr>
            <w:tcW w:w="0" w:type="dxa"/>
            <w:tcBorders>
              <w:top w:val="nil"/>
              <w:left w:val="nil"/>
              <w:bottom w:val="nil"/>
              <w:right w:val="single" w:sz="4" w:space="0" w:color="auto"/>
            </w:tcBorders>
            <w:vAlign w:val="center"/>
          </w:tcPr>
          <w:p w14:paraId="60EF1191" w14:textId="1653A906" w:rsidR="00AF59F4" w:rsidRPr="00E20618" w:rsidRDefault="00265CE5" w:rsidP="004C79D2">
            <w:pPr>
              <w:pStyle w:val="TableTextRight"/>
            </w:pPr>
            <w:r w:rsidRPr="00EE2810">
              <w:t> </w:t>
            </w:r>
          </w:p>
        </w:tc>
        <w:tc>
          <w:tcPr>
            <w:tcW w:w="0" w:type="dxa"/>
            <w:tcBorders>
              <w:top w:val="nil"/>
              <w:left w:val="single" w:sz="4" w:space="0" w:color="auto"/>
              <w:bottom w:val="nil"/>
              <w:right w:val="nil"/>
            </w:tcBorders>
            <w:vAlign w:val="center"/>
          </w:tcPr>
          <w:p w14:paraId="4E81D166" w14:textId="77777777" w:rsidR="00AF59F4" w:rsidRPr="00E20618" w:rsidRDefault="00AF59F4" w:rsidP="004C79D2">
            <w:pPr>
              <w:pStyle w:val="TableTextRight"/>
            </w:pPr>
          </w:p>
        </w:tc>
      </w:tr>
      <w:tr w:rsidR="00F67DB6" w:rsidRPr="0080495D" w14:paraId="181186EB" w14:textId="77777777" w:rsidTr="0006553C">
        <w:tc>
          <w:tcPr>
            <w:tcW w:w="0" w:type="dxa"/>
          </w:tcPr>
          <w:p w14:paraId="0D5FA257" w14:textId="77777777" w:rsidR="00AF59F4" w:rsidRPr="00EE2810" w:rsidRDefault="00AF59F4" w:rsidP="004C79D2">
            <w:pPr>
              <w:pStyle w:val="TableTextLeft"/>
              <w:rPr>
                <w:b/>
              </w:rPr>
            </w:pPr>
            <w:r w:rsidRPr="00EE2810">
              <w:t>Victoria</w:t>
            </w:r>
          </w:p>
        </w:tc>
        <w:tc>
          <w:tcPr>
            <w:tcW w:w="0" w:type="dxa"/>
            <w:tcBorders>
              <w:top w:val="nil"/>
              <w:left w:val="nil"/>
              <w:bottom w:val="nil"/>
              <w:right w:val="nil"/>
            </w:tcBorders>
            <w:vAlign w:val="center"/>
          </w:tcPr>
          <w:p w14:paraId="28E38E2B" w14:textId="550AD2AB" w:rsidR="00AF59F4" w:rsidRPr="00E20618" w:rsidRDefault="00265CE5" w:rsidP="004C79D2">
            <w:pPr>
              <w:pStyle w:val="TableTextRight"/>
            </w:pPr>
            <w:r w:rsidRPr="00EE2810">
              <w:t>65.7</w:t>
            </w:r>
          </w:p>
        </w:tc>
        <w:tc>
          <w:tcPr>
            <w:tcW w:w="0" w:type="dxa"/>
            <w:tcBorders>
              <w:top w:val="nil"/>
              <w:left w:val="nil"/>
              <w:bottom w:val="nil"/>
              <w:right w:val="nil"/>
            </w:tcBorders>
            <w:shd w:val="clear" w:color="auto" w:fill="D2EDFF" w:themeFill="accent1" w:themeFillTint="1A"/>
            <w:vAlign w:val="center"/>
          </w:tcPr>
          <w:p w14:paraId="3CD1C1B1" w14:textId="220E9EFC" w:rsidR="00AF59F4" w:rsidRPr="00E20618" w:rsidRDefault="00265CE5" w:rsidP="004C79D2">
            <w:pPr>
              <w:pStyle w:val="TableTextRight"/>
            </w:pPr>
            <w:r w:rsidRPr="00EE2810">
              <w:t>155.6</w:t>
            </w:r>
          </w:p>
        </w:tc>
        <w:tc>
          <w:tcPr>
            <w:tcW w:w="0" w:type="dxa"/>
            <w:tcBorders>
              <w:top w:val="nil"/>
              <w:left w:val="nil"/>
              <w:bottom w:val="nil"/>
              <w:right w:val="nil"/>
            </w:tcBorders>
            <w:vAlign w:val="center"/>
          </w:tcPr>
          <w:p w14:paraId="5600745F" w14:textId="50A5F609" w:rsidR="00AF59F4" w:rsidRPr="00E20618" w:rsidRDefault="00EC1368" w:rsidP="004C79D2">
            <w:pPr>
              <w:pStyle w:val="TableTextRight"/>
            </w:pPr>
            <w:r>
              <w:rPr>
                <w:rFonts w:cs="Calibri"/>
              </w:rPr>
              <w:t>129.3</w:t>
            </w:r>
          </w:p>
        </w:tc>
        <w:tc>
          <w:tcPr>
            <w:tcW w:w="0" w:type="dxa"/>
            <w:tcBorders>
              <w:top w:val="nil"/>
              <w:left w:val="nil"/>
              <w:bottom w:val="nil"/>
              <w:right w:val="nil"/>
            </w:tcBorders>
            <w:vAlign w:val="center"/>
          </w:tcPr>
          <w:p w14:paraId="6A7D4EE1" w14:textId="09DC850C" w:rsidR="00AF59F4" w:rsidRPr="00E20618" w:rsidRDefault="00EC1368" w:rsidP="004C79D2">
            <w:pPr>
              <w:pStyle w:val="TableTextRight"/>
            </w:pPr>
            <w:r>
              <w:rPr>
                <w:rFonts w:cs="Calibri"/>
              </w:rPr>
              <w:t>83.6</w:t>
            </w:r>
          </w:p>
        </w:tc>
        <w:tc>
          <w:tcPr>
            <w:tcW w:w="0" w:type="dxa"/>
            <w:tcBorders>
              <w:top w:val="nil"/>
              <w:left w:val="nil"/>
              <w:bottom w:val="nil"/>
              <w:right w:val="single" w:sz="4" w:space="0" w:color="auto"/>
            </w:tcBorders>
            <w:vAlign w:val="center"/>
          </w:tcPr>
          <w:p w14:paraId="6447FCEE" w14:textId="6BE8E5AA" w:rsidR="00AF59F4" w:rsidRPr="00E20618" w:rsidRDefault="00EC1368" w:rsidP="004C79D2">
            <w:pPr>
              <w:pStyle w:val="TableTextRight"/>
            </w:pPr>
            <w:r>
              <w:rPr>
                <w:rFonts w:cs="Calibri"/>
              </w:rPr>
              <w:t>87.4</w:t>
            </w:r>
          </w:p>
        </w:tc>
        <w:tc>
          <w:tcPr>
            <w:tcW w:w="0" w:type="dxa"/>
            <w:tcBorders>
              <w:top w:val="nil"/>
              <w:left w:val="single" w:sz="4" w:space="0" w:color="auto"/>
              <w:bottom w:val="nil"/>
              <w:right w:val="nil"/>
            </w:tcBorders>
            <w:vAlign w:val="center"/>
          </w:tcPr>
          <w:p w14:paraId="38BF2595" w14:textId="687B0B1C" w:rsidR="00AF59F4" w:rsidRPr="00E20618" w:rsidRDefault="00265CE5" w:rsidP="004C79D2">
            <w:pPr>
              <w:pStyle w:val="TableTextRight"/>
            </w:pPr>
            <w:r w:rsidRPr="00EE2810">
              <w:t>80.0</w:t>
            </w:r>
          </w:p>
        </w:tc>
      </w:tr>
      <w:tr w:rsidR="00F67DB6" w:rsidRPr="0080495D" w14:paraId="359DB0A9" w14:textId="77777777" w:rsidTr="00CE38F3">
        <w:tc>
          <w:tcPr>
            <w:tcW w:w="0" w:type="dxa"/>
            <w:tcBorders>
              <w:bottom w:val="nil"/>
            </w:tcBorders>
          </w:tcPr>
          <w:p w14:paraId="7371AB47" w14:textId="77777777" w:rsidR="00AF59F4" w:rsidRPr="00EE2810" w:rsidRDefault="00AF59F4" w:rsidP="004C79D2">
            <w:pPr>
              <w:pStyle w:val="Tabletextleftindent"/>
              <w:rPr>
                <w:b/>
              </w:rPr>
            </w:pPr>
            <w:r w:rsidRPr="00EE2810">
              <w:t xml:space="preserve">Greater Melbourne </w:t>
            </w:r>
          </w:p>
        </w:tc>
        <w:tc>
          <w:tcPr>
            <w:tcW w:w="0" w:type="dxa"/>
            <w:tcBorders>
              <w:top w:val="nil"/>
              <w:left w:val="nil"/>
              <w:bottom w:val="nil"/>
              <w:right w:val="nil"/>
            </w:tcBorders>
            <w:vAlign w:val="center"/>
          </w:tcPr>
          <w:p w14:paraId="6AC4AEB0" w14:textId="0D50FD4C" w:rsidR="00AF59F4" w:rsidRPr="00E20618" w:rsidRDefault="00265CE5" w:rsidP="004C79D2">
            <w:pPr>
              <w:pStyle w:val="TableTextRight"/>
            </w:pPr>
            <w:r w:rsidRPr="00EE2810">
              <w:t>57.9</w:t>
            </w:r>
          </w:p>
        </w:tc>
        <w:tc>
          <w:tcPr>
            <w:tcW w:w="0" w:type="dxa"/>
            <w:tcBorders>
              <w:top w:val="nil"/>
              <w:left w:val="nil"/>
              <w:bottom w:val="nil"/>
              <w:right w:val="nil"/>
            </w:tcBorders>
            <w:shd w:val="clear" w:color="auto" w:fill="D2EDFF" w:themeFill="accent1" w:themeFillTint="1A"/>
            <w:vAlign w:val="center"/>
          </w:tcPr>
          <w:p w14:paraId="166E855C" w14:textId="0C2674CD" w:rsidR="00AF59F4" w:rsidRPr="00E20618" w:rsidRDefault="00265CE5" w:rsidP="004C79D2">
            <w:pPr>
              <w:pStyle w:val="TableTextRight"/>
            </w:pPr>
            <w:r w:rsidRPr="00EE2810">
              <w:t>143.8</w:t>
            </w:r>
          </w:p>
        </w:tc>
        <w:tc>
          <w:tcPr>
            <w:tcW w:w="0" w:type="dxa"/>
            <w:tcBorders>
              <w:top w:val="nil"/>
              <w:left w:val="nil"/>
              <w:bottom w:val="nil"/>
              <w:right w:val="nil"/>
            </w:tcBorders>
            <w:vAlign w:val="center"/>
          </w:tcPr>
          <w:p w14:paraId="28FED1CC" w14:textId="60BF8F76" w:rsidR="00AF59F4" w:rsidRPr="00E20618" w:rsidRDefault="00EC1368" w:rsidP="004C79D2">
            <w:pPr>
              <w:pStyle w:val="TableTextRight"/>
            </w:pPr>
            <w:r>
              <w:rPr>
                <w:rFonts w:cs="Calibri"/>
              </w:rPr>
              <w:t>119.0</w:t>
            </w:r>
          </w:p>
        </w:tc>
        <w:tc>
          <w:tcPr>
            <w:tcW w:w="0" w:type="dxa"/>
            <w:tcBorders>
              <w:top w:val="nil"/>
              <w:left w:val="nil"/>
              <w:bottom w:val="nil"/>
              <w:right w:val="nil"/>
            </w:tcBorders>
            <w:vAlign w:val="center"/>
          </w:tcPr>
          <w:p w14:paraId="52C33B80" w14:textId="2FEF8081" w:rsidR="00AF59F4" w:rsidRPr="00E20618" w:rsidRDefault="00EC1368" w:rsidP="004C79D2">
            <w:pPr>
              <w:pStyle w:val="TableTextRight"/>
            </w:pPr>
            <w:r>
              <w:rPr>
                <w:rFonts w:cs="Calibri"/>
              </w:rPr>
              <w:t>76.3</w:t>
            </w:r>
          </w:p>
        </w:tc>
        <w:tc>
          <w:tcPr>
            <w:tcW w:w="0" w:type="dxa"/>
            <w:tcBorders>
              <w:top w:val="nil"/>
              <w:left w:val="nil"/>
              <w:bottom w:val="nil"/>
              <w:right w:val="single" w:sz="4" w:space="0" w:color="auto"/>
            </w:tcBorders>
            <w:vAlign w:val="center"/>
          </w:tcPr>
          <w:p w14:paraId="26CE86C7" w14:textId="12219827" w:rsidR="00AF59F4" w:rsidRPr="00E20618" w:rsidRDefault="00EC1368" w:rsidP="004C79D2">
            <w:pPr>
              <w:pStyle w:val="TableTextRight"/>
            </w:pPr>
            <w:r>
              <w:rPr>
                <w:rFonts w:cs="Calibri"/>
              </w:rPr>
              <w:t>79.9</w:t>
            </w:r>
          </w:p>
        </w:tc>
        <w:tc>
          <w:tcPr>
            <w:tcW w:w="0" w:type="dxa"/>
            <w:tcBorders>
              <w:top w:val="nil"/>
              <w:left w:val="single" w:sz="4" w:space="0" w:color="auto"/>
              <w:bottom w:val="nil"/>
              <w:right w:val="nil"/>
            </w:tcBorders>
            <w:vAlign w:val="center"/>
          </w:tcPr>
          <w:p w14:paraId="5C153BA3" w14:textId="2DD6C7FE" w:rsidR="00AF59F4" w:rsidRPr="00E20618" w:rsidRDefault="00EC1368" w:rsidP="004C79D2">
            <w:pPr>
              <w:pStyle w:val="TableTextRight"/>
            </w:pPr>
            <w:r>
              <w:rPr>
                <w:rFonts w:cs="Calibri"/>
              </w:rPr>
              <w:t>72.9</w:t>
            </w:r>
          </w:p>
        </w:tc>
      </w:tr>
      <w:tr w:rsidR="00F67DB6" w:rsidRPr="0080495D" w14:paraId="299A8C10" w14:textId="77777777" w:rsidTr="00CE38F3">
        <w:tc>
          <w:tcPr>
            <w:tcW w:w="0" w:type="dxa"/>
            <w:tcBorders>
              <w:bottom w:val="single" w:sz="4" w:space="0" w:color="auto"/>
            </w:tcBorders>
          </w:tcPr>
          <w:p w14:paraId="7D8F1211" w14:textId="77777777" w:rsidR="00AF59F4" w:rsidRPr="00EE2810" w:rsidRDefault="00AF59F4" w:rsidP="004C79D2">
            <w:pPr>
              <w:pStyle w:val="Tabletextleftindent"/>
              <w:rPr>
                <w:b/>
              </w:rPr>
            </w:pPr>
            <w:r w:rsidRPr="00EE2810">
              <w:t>Rest of Victoria</w:t>
            </w:r>
          </w:p>
        </w:tc>
        <w:tc>
          <w:tcPr>
            <w:tcW w:w="0" w:type="dxa"/>
            <w:tcBorders>
              <w:top w:val="nil"/>
              <w:left w:val="nil"/>
              <w:bottom w:val="single" w:sz="4" w:space="0" w:color="auto"/>
              <w:right w:val="nil"/>
            </w:tcBorders>
            <w:vAlign w:val="center"/>
          </w:tcPr>
          <w:p w14:paraId="74B50BBC" w14:textId="1C771C09" w:rsidR="00AF59F4" w:rsidRPr="00E20618" w:rsidRDefault="00265CE5" w:rsidP="004C79D2">
            <w:pPr>
              <w:pStyle w:val="TableTextRight"/>
            </w:pPr>
            <w:r w:rsidRPr="00F67DB6">
              <w:t>6.1</w:t>
            </w:r>
          </w:p>
        </w:tc>
        <w:tc>
          <w:tcPr>
            <w:tcW w:w="0" w:type="dxa"/>
            <w:tcBorders>
              <w:top w:val="nil"/>
              <w:left w:val="nil"/>
              <w:bottom w:val="single" w:sz="4" w:space="0" w:color="auto"/>
              <w:right w:val="nil"/>
            </w:tcBorders>
            <w:shd w:val="clear" w:color="auto" w:fill="D2EDFF" w:themeFill="accent1" w:themeFillTint="1A"/>
            <w:vAlign w:val="center"/>
          </w:tcPr>
          <w:p w14:paraId="60902B59" w14:textId="368F82C5" w:rsidR="00AF59F4" w:rsidRPr="00E20618" w:rsidRDefault="00265CE5" w:rsidP="004C79D2">
            <w:pPr>
              <w:pStyle w:val="TableTextRight"/>
            </w:pPr>
            <w:r w:rsidRPr="00F67DB6">
              <w:t>11.8</w:t>
            </w:r>
          </w:p>
        </w:tc>
        <w:tc>
          <w:tcPr>
            <w:tcW w:w="0" w:type="dxa"/>
            <w:tcBorders>
              <w:top w:val="nil"/>
              <w:left w:val="nil"/>
              <w:bottom w:val="single" w:sz="4" w:space="0" w:color="auto"/>
              <w:right w:val="nil"/>
            </w:tcBorders>
            <w:vAlign w:val="center"/>
          </w:tcPr>
          <w:p w14:paraId="15DBDF82" w14:textId="23C31B1D" w:rsidR="00AF59F4" w:rsidRPr="00E20618" w:rsidRDefault="00EC1368" w:rsidP="004C79D2">
            <w:pPr>
              <w:pStyle w:val="TableTextRight"/>
            </w:pPr>
            <w:r>
              <w:rPr>
                <w:rFonts w:cs="Calibri"/>
              </w:rPr>
              <w:t>10.3</w:t>
            </w:r>
          </w:p>
        </w:tc>
        <w:tc>
          <w:tcPr>
            <w:tcW w:w="0" w:type="dxa"/>
            <w:tcBorders>
              <w:top w:val="nil"/>
              <w:left w:val="nil"/>
              <w:bottom w:val="single" w:sz="4" w:space="0" w:color="auto"/>
              <w:right w:val="nil"/>
            </w:tcBorders>
            <w:vAlign w:val="center"/>
          </w:tcPr>
          <w:p w14:paraId="2F1A4077" w14:textId="0EF3F816" w:rsidR="00AF59F4" w:rsidRPr="00E20618" w:rsidRDefault="00EC1368" w:rsidP="004C79D2">
            <w:pPr>
              <w:pStyle w:val="TableTextRight"/>
            </w:pPr>
            <w:r>
              <w:rPr>
                <w:rFonts w:cs="Calibri"/>
              </w:rPr>
              <w:t>7.3</w:t>
            </w:r>
          </w:p>
        </w:tc>
        <w:tc>
          <w:tcPr>
            <w:tcW w:w="0" w:type="dxa"/>
            <w:tcBorders>
              <w:top w:val="nil"/>
              <w:left w:val="nil"/>
              <w:bottom w:val="single" w:sz="4" w:space="0" w:color="auto"/>
              <w:right w:val="single" w:sz="4" w:space="0" w:color="auto"/>
            </w:tcBorders>
            <w:vAlign w:val="center"/>
          </w:tcPr>
          <w:p w14:paraId="1D27DE96" w14:textId="40812195" w:rsidR="00AF59F4" w:rsidRPr="00E20618" w:rsidRDefault="00EC1368" w:rsidP="004C79D2">
            <w:pPr>
              <w:pStyle w:val="TableTextRight"/>
            </w:pPr>
            <w:r>
              <w:rPr>
                <w:rFonts w:cs="Calibri"/>
              </w:rPr>
              <w:t>7.5</w:t>
            </w:r>
          </w:p>
        </w:tc>
        <w:tc>
          <w:tcPr>
            <w:tcW w:w="0" w:type="dxa"/>
            <w:tcBorders>
              <w:top w:val="nil"/>
              <w:left w:val="single" w:sz="4" w:space="0" w:color="auto"/>
              <w:bottom w:val="single" w:sz="4" w:space="0" w:color="auto"/>
              <w:right w:val="nil"/>
            </w:tcBorders>
            <w:vAlign w:val="center"/>
          </w:tcPr>
          <w:p w14:paraId="1D92F3AA" w14:textId="06275EDD" w:rsidR="00AF59F4" w:rsidRPr="00E20618" w:rsidRDefault="00265CE5" w:rsidP="004C79D2">
            <w:pPr>
              <w:pStyle w:val="TableTextRight"/>
            </w:pPr>
            <w:r w:rsidRPr="00F67DB6">
              <w:t>7.0</w:t>
            </w:r>
          </w:p>
        </w:tc>
      </w:tr>
      <w:tr w:rsidR="00F67DB6" w:rsidRPr="0080495D" w14:paraId="5A84D1BD" w14:textId="77777777" w:rsidTr="00CE38F3">
        <w:tc>
          <w:tcPr>
            <w:tcW w:w="0" w:type="dxa"/>
            <w:tcBorders>
              <w:top w:val="single" w:sz="4" w:space="0" w:color="auto"/>
            </w:tcBorders>
          </w:tcPr>
          <w:p w14:paraId="28FC0A58" w14:textId="684405AC" w:rsidR="00AF59F4" w:rsidRPr="00EE2810" w:rsidRDefault="00AF59F4" w:rsidP="004C79D2">
            <w:pPr>
              <w:pStyle w:val="TableColumnHeadingLeft"/>
            </w:pPr>
            <w:r w:rsidRPr="00EE2810">
              <w:t>Net internal migration (</w:t>
            </w:r>
            <w:r w:rsidR="004B14AB" w:rsidRPr="00EE2810">
              <w:t>‘</w:t>
            </w:r>
            <w:r w:rsidRPr="00EE2810">
              <w:t>000)</w:t>
            </w:r>
          </w:p>
        </w:tc>
        <w:tc>
          <w:tcPr>
            <w:tcW w:w="0" w:type="dxa"/>
            <w:tcBorders>
              <w:top w:val="single" w:sz="4" w:space="0" w:color="auto"/>
              <w:left w:val="nil"/>
              <w:bottom w:val="nil"/>
              <w:right w:val="nil"/>
            </w:tcBorders>
            <w:vAlign w:val="center"/>
          </w:tcPr>
          <w:p w14:paraId="6825A536" w14:textId="77777777" w:rsidR="00AF59F4" w:rsidRPr="00E20618" w:rsidRDefault="00AF59F4" w:rsidP="004C79D2">
            <w:pPr>
              <w:pStyle w:val="TableTextRight"/>
            </w:pPr>
          </w:p>
        </w:tc>
        <w:tc>
          <w:tcPr>
            <w:tcW w:w="0" w:type="dxa"/>
            <w:tcBorders>
              <w:top w:val="single" w:sz="4" w:space="0" w:color="auto"/>
              <w:left w:val="nil"/>
              <w:bottom w:val="nil"/>
              <w:right w:val="nil"/>
            </w:tcBorders>
            <w:shd w:val="clear" w:color="auto" w:fill="D2EDFF" w:themeFill="accent1" w:themeFillTint="1A"/>
            <w:vAlign w:val="center"/>
          </w:tcPr>
          <w:p w14:paraId="07400141" w14:textId="50153AA6" w:rsidR="00AF59F4" w:rsidRPr="00E20618" w:rsidRDefault="00265CE5" w:rsidP="004C79D2">
            <w:pPr>
              <w:pStyle w:val="TableTextRight"/>
            </w:pPr>
            <w:r w:rsidRPr="00F67DB6">
              <w:t> </w:t>
            </w:r>
          </w:p>
        </w:tc>
        <w:tc>
          <w:tcPr>
            <w:tcW w:w="0" w:type="dxa"/>
            <w:tcBorders>
              <w:top w:val="single" w:sz="4" w:space="0" w:color="auto"/>
              <w:left w:val="nil"/>
              <w:bottom w:val="nil"/>
              <w:right w:val="nil"/>
            </w:tcBorders>
            <w:vAlign w:val="center"/>
          </w:tcPr>
          <w:p w14:paraId="3D7CDF06" w14:textId="77777777" w:rsidR="00AF59F4" w:rsidRPr="00E20618" w:rsidRDefault="00AF59F4" w:rsidP="004C79D2">
            <w:pPr>
              <w:pStyle w:val="TableTextRight"/>
            </w:pPr>
          </w:p>
        </w:tc>
        <w:tc>
          <w:tcPr>
            <w:tcW w:w="0" w:type="dxa"/>
            <w:tcBorders>
              <w:top w:val="single" w:sz="4" w:space="0" w:color="auto"/>
              <w:left w:val="nil"/>
              <w:bottom w:val="nil"/>
              <w:right w:val="nil"/>
            </w:tcBorders>
            <w:vAlign w:val="center"/>
          </w:tcPr>
          <w:p w14:paraId="7A84BCCC" w14:textId="77777777" w:rsidR="00AF59F4" w:rsidRPr="00E20618" w:rsidRDefault="00AF59F4" w:rsidP="004C79D2">
            <w:pPr>
              <w:pStyle w:val="TableTextRight"/>
            </w:pPr>
          </w:p>
        </w:tc>
        <w:tc>
          <w:tcPr>
            <w:tcW w:w="0" w:type="dxa"/>
            <w:tcBorders>
              <w:top w:val="single" w:sz="4" w:space="0" w:color="auto"/>
              <w:left w:val="nil"/>
              <w:bottom w:val="nil"/>
              <w:right w:val="single" w:sz="4" w:space="0" w:color="auto"/>
            </w:tcBorders>
            <w:vAlign w:val="center"/>
          </w:tcPr>
          <w:p w14:paraId="514BD339" w14:textId="63ABBB70" w:rsidR="00AF59F4" w:rsidRPr="00E20618" w:rsidRDefault="00265CE5" w:rsidP="004C79D2">
            <w:pPr>
              <w:pStyle w:val="TableTextRight"/>
            </w:pPr>
            <w:r w:rsidRPr="00F67DB6">
              <w:t> </w:t>
            </w:r>
          </w:p>
        </w:tc>
        <w:tc>
          <w:tcPr>
            <w:tcW w:w="0" w:type="dxa"/>
            <w:tcBorders>
              <w:top w:val="single" w:sz="4" w:space="0" w:color="auto"/>
              <w:left w:val="single" w:sz="4" w:space="0" w:color="auto"/>
              <w:bottom w:val="nil"/>
              <w:right w:val="nil"/>
            </w:tcBorders>
            <w:vAlign w:val="center"/>
          </w:tcPr>
          <w:p w14:paraId="64F307F3" w14:textId="77777777" w:rsidR="00AF59F4" w:rsidRPr="00E20618" w:rsidRDefault="00AF59F4" w:rsidP="004C79D2">
            <w:pPr>
              <w:pStyle w:val="TableTextRight"/>
            </w:pPr>
          </w:p>
        </w:tc>
      </w:tr>
      <w:tr w:rsidR="00F67DB6" w:rsidRPr="0080495D" w14:paraId="6912215C" w14:textId="77777777" w:rsidTr="0006553C">
        <w:tc>
          <w:tcPr>
            <w:tcW w:w="0" w:type="dxa"/>
          </w:tcPr>
          <w:p w14:paraId="346F1F0B" w14:textId="77777777" w:rsidR="00AF59F4" w:rsidRPr="00EE2810" w:rsidRDefault="00AF59F4" w:rsidP="004C79D2">
            <w:pPr>
              <w:pStyle w:val="TableTextLeft"/>
              <w:rPr>
                <w:b/>
              </w:rPr>
            </w:pPr>
            <w:r w:rsidRPr="00EE2810">
              <w:t>Victoria</w:t>
            </w:r>
          </w:p>
        </w:tc>
        <w:tc>
          <w:tcPr>
            <w:tcW w:w="0" w:type="dxa"/>
            <w:tcBorders>
              <w:top w:val="nil"/>
              <w:left w:val="nil"/>
              <w:bottom w:val="nil"/>
              <w:right w:val="nil"/>
            </w:tcBorders>
            <w:vAlign w:val="center"/>
          </w:tcPr>
          <w:p w14:paraId="2606CB9B" w14:textId="34F236CF" w:rsidR="00AF59F4" w:rsidRPr="00E20618" w:rsidRDefault="00EC1368" w:rsidP="004C79D2">
            <w:pPr>
              <w:pStyle w:val="TableTextRight"/>
            </w:pPr>
            <w:r>
              <w:rPr>
                <w:rFonts w:cs="Calibri"/>
              </w:rPr>
              <w:t>-</w:t>
            </w:r>
            <w:r w:rsidR="00265CE5" w:rsidRPr="00F67DB6">
              <w:t>14.9</w:t>
            </w:r>
          </w:p>
        </w:tc>
        <w:tc>
          <w:tcPr>
            <w:tcW w:w="0" w:type="dxa"/>
            <w:tcBorders>
              <w:top w:val="nil"/>
              <w:left w:val="nil"/>
              <w:bottom w:val="nil"/>
              <w:right w:val="nil"/>
            </w:tcBorders>
            <w:shd w:val="clear" w:color="auto" w:fill="D2EDFF" w:themeFill="accent1" w:themeFillTint="1A"/>
            <w:vAlign w:val="center"/>
          </w:tcPr>
          <w:p w14:paraId="6DBDAE48" w14:textId="4B2D6955" w:rsidR="00AF59F4" w:rsidRPr="00E20618" w:rsidRDefault="00EC1368" w:rsidP="004C79D2">
            <w:pPr>
              <w:pStyle w:val="TableTextRight"/>
            </w:pPr>
            <w:r>
              <w:rPr>
                <w:rFonts w:cs="Calibri"/>
              </w:rPr>
              <w:t>-</w:t>
            </w:r>
            <w:r w:rsidR="00265CE5" w:rsidRPr="00F67DB6">
              <w:t>2.3</w:t>
            </w:r>
          </w:p>
        </w:tc>
        <w:tc>
          <w:tcPr>
            <w:tcW w:w="0" w:type="dxa"/>
            <w:tcBorders>
              <w:top w:val="nil"/>
              <w:left w:val="nil"/>
              <w:bottom w:val="nil"/>
              <w:right w:val="nil"/>
            </w:tcBorders>
            <w:vAlign w:val="center"/>
          </w:tcPr>
          <w:p w14:paraId="20D3EA1B" w14:textId="282EBC52" w:rsidR="00AF59F4" w:rsidRPr="00E20618" w:rsidRDefault="00EC1368" w:rsidP="004C79D2">
            <w:pPr>
              <w:pStyle w:val="TableTextRight"/>
            </w:pPr>
            <w:r>
              <w:rPr>
                <w:rFonts w:cs="Calibri"/>
              </w:rPr>
              <w:t>-</w:t>
            </w:r>
            <w:r w:rsidR="00265CE5" w:rsidRPr="00F67DB6">
              <w:t>0.1</w:t>
            </w:r>
          </w:p>
        </w:tc>
        <w:tc>
          <w:tcPr>
            <w:tcW w:w="0" w:type="dxa"/>
            <w:tcBorders>
              <w:top w:val="nil"/>
              <w:left w:val="nil"/>
              <w:bottom w:val="nil"/>
              <w:right w:val="nil"/>
            </w:tcBorders>
            <w:vAlign w:val="center"/>
          </w:tcPr>
          <w:p w14:paraId="7CC8E1A6" w14:textId="23FB527C" w:rsidR="00AF59F4" w:rsidRPr="00E20618" w:rsidRDefault="00265CE5" w:rsidP="004C79D2">
            <w:pPr>
              <w:pStyle w:val="TableTextRight"/>
            </w:pPr>
            <w:r w:rsidRPr="00F67DB6">
              <w:t>2.</w:t>
            </w:r>
            <w:r w:rsidR="00EC1368">
              <w:rPr>
                <w:rFonts w:cs="Calibri"/>
              </w:rPr>
              <w:t>2</w:t>
            </w:r>
          </w:p>
        </w:tc>
        <w:tc>
          <w:tcPr>
            <w:tcW w:w="0" w:type="dxa"/>
            <w:tcBorders>
              <w:top w:val="nil"/>
              <w:left w:val="nil"/>
              <w:bottom w:val="nil"/>
              <w:right w:val="single" w:sz="4" w:space="0" w:color="auto"/>
            </w:tcBorders>
            <w:vAlign w:val="center"/>
          </w:tcPr>
          <w:p w14:paraId="4185A753" w14:textId="7B981777" w:rsidR="00AF59F4" w:rsidRPr="00E20618" w:rsidRDefault="00265CE5" w:rsidP="004C79D2">
            <w:pPr>
              <w:pStyle w:val="TableTextRight"/>
            </w:pPr>
            <w:r w:rsidRPr="00F67DB6">
              <w:t>4.</w:t>
            </w:r>
            <w:r w:rsidR="00EC1368">
              <w:rPr>
                <w:rFonts w:cs="Calibri"/>
              </w:rPr>
              <w:t>5</w:t>
            </w:r>
          </w:p>
        </w:tc>
        <w:tc>
          <w:tcPr>
            <w:tcW w:w="0" w:type="dxa"/>
            <w:tcBorders>
              <w:top w:val="nil"/>
              <w:left w:val="single" w:sz="4" w:space="0" w:color="auto"/>
              <w:bottom w:val="nil"/>
              <w:right w:val="nil"/>
            </w:tcBorders>
            <w:vAlign w:val="center"/>
          </w:tcPr>
          <w:p w14:paraId="3F70E51B" w14:textId="14C927D2" w:rsidR="00AF59F4" w:rsidRPr="00E20618" w:rsidRDefault="00265CE5" w:rsidP="004C79D2">
            <w:pPr>
              <w:pStyle w:val="TableTextRight"/>
            </w:pPr>
            <w:r w:rsidRPr="00F67DB6">
              <w:t>3.</w:t>
            </w:r>
            <w:r w:rsidR="00EC1368">
              <w:rPr>
                <w:rFonts w:cs="Calibri"/>
              </w:rPr>
              <w:t>4</w:t>
            </w:r>
          </w:p>
        </w:tc>
      </w:tr>
      <w:tr w:rsidR="00F67DB6" w:rsidRPr="0080495D" w14:paraId="61C24748" w14:textId="77777777" w:rsidTr="0006553C">
        <w:tc>
          <w:tcPr>
            <w:tcW w:w="0" w:type="dxa"/>
          </w:tcPr>
          <w:p w14:paraId="7796BD7B" w14:textId="77777777" w:rsidR="00AF59F4" w:rsidRPr="00EE2810" w:rsidRDefault="00AF59F4" w:rsidP="004C79D2">
            <w:pPr>
              <w:pStyle w:val="Tabletextleftindent"/>
              <w:rPr>
                <w:b/>
              </w:rPr>
            </w:pPr>
            <w:r w:rsidRPr="00EE2810">
              <w:t xml:space="preserve">Greater Melbourne </w:t>
            </w:r>
          </w:p>
        </w:tc>
        <w:tc>
          <w:tcPr>
            <w:tcW w:w="0" w:type="dxa"/>
            <w:tcBorders>
              <w:top w:val="nil"/>
              <w:left w:val="nil"/>
              <w:bottom w:val="nil"/>
              <w:right w:val="nil"/>
            </w:tcBorders>
            <w:vAlign w:val="center"/>
          </w:tcPr>
          <w:p w14:paraId="6CF00992" w14:textId="040952DF" w:rsidR="00AF59F4" w:rsidRPr="00E20618" w:rsidRDefault="00EC1368" w:rsidP="004C79D2">
            <w:pPr>
              <w:pStyle w:val="TableTextRight"/>
            </w:pPr>
            <w:r>
              <w:rPr>
                <w:rFonts w:cs="Calibri"/>
              </w:rPr>
              <w:t>-</w:t>
            </w:r>
            <w:r w:rsidR="00265CE5" w:rsidRPr="00F67DB6">
              <w:t>24.5</w:t>
            </w:r>
          </w:p>
        </w:tc>
        <w:tc>
          <w:tcPr>
            <w:tcW w:w="0" w:type="dxa"/>
            <w:tcBorders>
              <w:top w:val="nil"/>
              <w:left w:val="nil"/>
              <w:bottom w:val="nil"/>
              <w:right w:val="nil"/>
            </w:tcBorders>
            <w:shd w:val="clear" w:color="auto" w:fill="D2EDFF" w:themeFill="accent1" w:themeFillTint="1A"/>
            <w:vAlign w:val="center"/>
          </w:tcPr>
          <w:p w14:paraId="4FAC29D6" w14:textId="74BCF599" w:rsidR="00AF59F4" w:rsidRPr="00E20618" w:rsidRDefault="00EC1368" w:rsidP="004C79D2">
            <w:pPr>
              <w:pStyle w:val="TableTextRight"/>
            </w:pPr>
            <w:r>
              <w:rPr>
                <w:rFonts w:cs="Calibri"/>
              </w:rPr>
              <w:t>-</w:t>
            </w:r>
            <w:r w:rsidR="00265CE5" w:rsidRPr="00F67DB6">
              <w:t>6.0</w:t>
            </w:r>
          </w:p>
        </w:tc>
        <w:tc>
          <w:tcPr>
            <w:tcW w:w="0" w:type="dxa"/>
            <w:tcBorders>
              <w:top w:val="nil"/>
              <w:left w:val="nil"/>
              <w:bottom w:val="nil"/>
              <w:right w:val="nil"/>
            </w:tcBorders>
            <w:vAlign w:val="center"/>
          </w:tcPr>
          <w:p w14:paraId="1ACDE411" w14:textId="1026DE74" w:rsidR="00AF59F4" w:rsidRPr="00E20618" w:rsidRDefault="00EC1368" w:rsidP="004C79D2">
            <w:pPr>
              <w:pStyle w:val="TableTextRight"/>
            </w:pPr>
            <w:r>
              <w:rPr>
                <w:rFonts w:cs="Calibri"/>
              </w:rPr>
              <w:t>-</w:t>
            </w:r>
            <w:r w:rsidR="00265CE5" w:rsidRPr="00F67DB6">
              <w:t>4.2</w:t>
            </w:r>
          </w:p>
        </w:tc>
        <w:tc>
          <w:tcPr>
            <w:tcW w:w="0" w:type="dxa"/>
            <w:tcBorders>
              <w:top w:val="nil"/>
              <w:left w:val="nil"/>
              <w:bottom w:val="nil"/>
              <w:right w:val="nil"/>
            </w:tcBorders>
            <w:vAlign w:val="center"/>
          </w:tcPr>
          <w:p w14:paraId="67B3142D" w14:textId="6FB42165" w:rsidR="00AF59F4" w:rsidRPr="00E20618" w:rsidRDefault="00EC1368" w:rsidP="004C79D2">
            <w:pPr>
              <w:pStyle w:val="TableTextRight"/>
            </w:pPr>
            <w:r>
              <w:rPr>
                <w:rFonts w:cs="Calibri"/>
              </w:rPr>
              <w:t>-</w:t>
            </w:r>
            <w:r w:rsidR="00265CE5" w:rsidRPr="00F67DB6">
              <w:t>2.</w:t>
            </w:r>
            <w:r>
              <w:rPr>
                <w:rFonts w:cs="Calibri"/>
              </w:rPr>
              <w:t>3</w:t>
            </w:r>
          </w:p>
        </w:tc>
        <w:tc>
          <w:tcPr>
            <w:tcW w:w="0" w:type="dxa"/>
            <w:tcBorders>
              <w:top w:val="nil"/>
              <w:left w:val="nil"/>
              <w:bottom w:val="nil"/>
              <w:right w:val="single" w:sz="4" w:space="0" w:color="auto"/>
            </w:tcBorders>
            <w:vAlign w:val="center"/>
          </w:tcPr>
          <w:p w14:paraId="5C19DE6F" w14:textId="6E2509A1" w:rsidR="00AF59F4" w:rsidRPr="00E20618" w:rsidRDefault="00EC1368" w:rsidP="004C79D2">
            <w:pPr>
              <w:pStyle w:val="TableTextRight"/>
            </w:pPr>
            <w:r>
              <w:rPr>
                <w:rFonts w:cs="Calibri"/>
              </w:rPr>
              <w:t>-</w:t>
            </w:r>
            <w:r w:rsidR="00265CE5" w:rsidRPr="00F67DB6">
              <w:t>0.</w:t>
            </w:r>
            <w:r>
              <w:rPr>
                <w:rFonts w:cs="Calibri"/>
              </w:rPr>
              <w:t>4</w:t>
            </w:r>
          </w:p>
        </w:tc>
        <w:tc>
          <w:tcPr>
            <w:tcW w:w="0" w:type="dxa"/>
            <w:tcBorders>
              <w:top w:val="nil"/>
              <w:left w:val="single" w:sz="4" w:space="0" w:color="auto"/>
              <w:bottom w:val="nil"/>
              <w:right w:val="nil"/>
            </w:tcBorders>
            <w:vAlign w:val="center"/>
          </w:tcPr>
          <w:p w14:paraId="67772B3A" w14:textId="031494F3" w:rsidR="00AF59F4" w:rsidRPr="00E20618" w:rsidRDefault="00EC1368" w:rsidP="004C79D2">
            <w:pPr>
              <w:pStyle w:val="TableTextRight"/>
            </w:pPr>
            <w:r>
              <w:rPr>
                <w:rFonts w:cs="Calibri"/>
              </w:rPr>
              <w:t>-3.6</w:t>
            </w:r>
          </w:p>
        </w:tc>
      </w:tr>
      <w:tr w:rsidR="00F67DB6" w:rsidRPr="0080495D" w14:paraId="1C2ADB9E" w14:textId="77777777" w:rsidTr="0006553C">
        <w:tc>
          <w:tcPr>
            <w:tcW w:w="0" w:type="dxa"/>
            <w:tcBorders>
              <w:bottom w:val="single" w:sz="4" w:space="0" w:color="auto"/>
            </w:tcBorders>
          </w:tcPr>
          <w:p w14:paraId="75356E9E" w14:textId="77777777" w:rsidR="00AF59F4" w:rsidRPr="00EE2810" w:rsidRDefault="00AF59F4" w:rsidP="004C79D2">
            <w:pPr>
              <w:pStyle w:val="Tabletextleftindent"/>
              <w:rPr>
                <w:b/>
              </w:rPr>
            </w:pPr>
            <w:r w:rsidRPr="00EE2810">
              <w:t>Rest of Victoria</w:t>
            </w:r>
          </w:p>
        </w:tc>
        <w:tc>
          <w:tcPr>
            <w:tcW w:w="0" w:type="dxa"/>
            <w:tcBorders>
              <w:top w:val="nil"/>
              <w:left w:val="nil"/>
              <w:bottom w:val="single" w:sz="4" w:space="0" w:color="auto"/>
              <w:right w:val="nil"/>
            </w:tcBorders>
            <w:vAlign w:val="center"/>
          </w:tcPr>
          <w:p w14:paraId="1DE19EF5" w14:textId="17E24658" w:rsidR="00AF59F4" w:rsidRPr="00E20618" w:rsidRDefault="00265CE5" w:rsidP="004C79D2">
            <w:pPr>
              <w:pStyle w:val="TableTextRight"/>
            </w:pPr>
            <w:r w:rsidRPr="00F67DB6">
              <w:t>9.6</w:t>
            </w:r>
          </w:p>
        </w:tc>
        <w:tc>
          <w:tcPr>
            <w:tcW w:w="0" w:type="dxa"/>
            <w:tcBorders>
              <w:top w:val="nil"/>
              <w:left w:val="nil"/>
              <w:bottom w:val="single" w:sz="4" w:space="0" w:color="auto"/>
              <w:right w:val="nil"/>
            </w:tcBorders>
            <w:shd w:val="clear" w:color="auto" w:fill="D2EDFF" w:themeFill="accent1" w:themeFillTint="1A"/>
            <w:vAlign w:val="center"/>
          </w:tcPr>
          <w:p w14:paraId="739BE4B5" w14:textId="577C66D2" w:rsidR="00AF59F4" w:rsidRPr="00E20618" w:rsidRDefault="00265CE5" w:rsidP="004C79D2">
            <w:pPr>
              <w:pStyle w:val="TableTextRight"/>
            </w:pPr>
            <w:r w:rsidRPr="00F67DB6">
              <w:t>3.7</w:t>
            </w:r>
          </w:p>
        </w:tc>
        <w:tc>
          <w:tcPr>
            <w:tcW w:w="0" w:type="dxa"/>
            <w:tcBorders>
              <w:top w:val="nil"/>
              <w:left w:val="nil"/>
              <w:bottom w:val="single" w:sz="4" w:space="0" w:color="auto"/>
              <w:right w:val="nil"/>
            </w:tcBorders>
            <w:vAlign w:val="center"/>
          </w:tcPr>
          <w:p w14:paraId="3EA1ED70" w14:textId="329089CC" w:rsidR="00AF59F4" w:rsidRPr="00E20618" w:rsidRDefault="00265CE5" w:rsidP="004C79D2">
            <w:pPr>
              <w:pStyle w:val="TableTextRight"/>
            </w:pPr>
            <w:r w:rsidRPr="00F67DB6">
              <w:t>4.1</w:t>
            </w:r>
          </w:p>
        </w:tc>
        <w:tc>
          <w:tcPr>
            <w:tcW w:w="0" w:type="dxa"/>
            <w:tcBorders>
              <w:top w:val="nil"/>
              <w:left w:val="nil"/>
              <w:bottom w:val="single" w:sz="4" w:space="0" w:color="auto"/>
              <w:right w:val="nil"/>
            </w:tcBorders>
            <w:vAlign w:val="center"/>
          </w:tcPr>
          <w:p w14:paraId="651EBAED" w14:textId="47A2E3C7" w:rsidR="00AF59F4" w:rsidRPr="00E20618" w:rsidRDefault="00265CE5" w:rsidP="004C79D2">
            <w:pPr>
              <w:pStyle w:val="TableTextRight"/>
            </w:pPr>
            <w:r w:rsidRPr="00F67DB6">
              <w:t>4.</w:t>
            </w:r>
            <w:r w:rsidR="00EC1368">
              <w:rPr>
                <w:rFonts w:cs="Calibri"/>
              </w:rPr>
              <w:t>5</w:t>
            </w:r>
          </w:p>
        </w:tc>
        <w:tc>
          <w:tcPr>
            <w:tcW w:w="0" w:type="dxa"/>
            <w:tcBorders>
              <w:top w:val="nil"/>
              <w:left w:val="nil"/>
              <w:bottom w:val="single" w:sz="4" w:space="0" w:color="auto"/>
              <w:right w:val="single" w:sz="4" w:space="0" w:color="auto"/>
            </w:tcBorders>
            <w:vAlign w:val="center"/>
          </w:tcPr>
          <w:p w14:paraId="66F5FCBF" w14:textId="4F09174C" w:rsidR="00AF59F4" w:rsidRPr="00E20618" w:rsidRDefault="00EC1368" w:rsidP="004C79D2">
            <w:pPr>
              <w:pStyle w:val="TableTextRight"/>
            </w:pPr>
            <w:r>
              <w:rPr>
                <w:rFonts w:cs="Calibri"/>
              </w:rPr>
              <w:t>4.9</w:t>
            </w:r>
          </w:p>
        </w:tc>
        <w:tc>
          <w:tcPr>
            <w:tcW w:w="0" w:type="dxa"/>
            <w:tcBorders>
              <w:top w:val="nil"/>
              <w:left w:val="single" w:sz="4" w:space="0" w:color="auto"/>
              <w:bottom w:val="single" w:sz="4" w:space="0" w:color="auto"/>
              <w:right w:val="nil"/>
            </w:tcBorders>
            <w:vAlign w:val="center"/>
          </w:tcPr>
          <w:p w14:paraId="05EE25C0" w14:textId="2ACF8C76" w:rsidR="00AF59F4" w:rsidRPr="00E20618" w:rsidRDefault="00265CE5" w:rsidP="004C79D2">
            <w:pPr>
              <w:pStyle w:val="TableTextRight"/>
            </w:pPr>
            <w:r w:rsidRPr="00F67DB6">
              <w:t>7.</w:t>
            </w:r>
            <w:r w:rsidR="00EC1368">
              <w:rPr>
                <w:rFonts w:cs="Calibri"/>
              </w:rPr>
              <w:t>0</w:t>
            </w:r>
          </w:p>
        </w:tc>
      </w:tr>
      <w:tr w:rsidR="00F67DB6" w:rsidRPr="0080495D" w14:paraId="400FF866" w14:textId="77777777" w:rsidTr="0006553C">
        <w:tc>
          <w:tcPr>
            <w:tcW w:w="0" w:type="dxa"/>
            <w:tcBorders>
              <w:top w:val="single" w:sz="4" w:space="0" w:color="auto"/>
              <w:bottom w:val="nil"/>
            </w:tcBorders>
          </w:tcPr>
          <w:p w14:paraId="3337FDF6" w14:textId="77777777" w:rsidR="00AF59F4" w:rsidRPr="00EE2810" w:rsidRDefault="00AF59F4" w:rsidP="004C79D2">
            <w:pPr>
              <w:pStyle w:val="TableColumnHeadingLeft"/>
            </w:pPr>
            <w:r w:rsidRPr="00EE2810">
              <w:t>Median age (years)</w:t>
            </w:r>
          </w:p>
        </w:tc>
        <w:tc>
          <w:tcPr>
            <w:tcW w:w="0" w:type="dxa"/>
            <w:tcBorders>
              <w:top w:val="single" w:sz="4" w:space="0" w:color="auto"/>
              <w:left w:val="nil"/>
              <w:bottom w:val="nil"/>
              <w:right w:val="nil"/>
            </w:tcBorders>
            <w:vAlign w:val="center"/>
          </w:tcPr>
          <w:p w14:paraId="06169DBD" w14:textId="77777777" w:rsidR="00AF59F4" w:rsidRPr="00E20618" w:rsidRDefault="00AF59F4" w:rsidP="004C79D2">
            <w:pPr>
              <w:pStyle w:val="TableTextRight"/>
            </w:pPr>
          </w:p>
        </w:tc>
        <w:tc>
          <w:tcPr>
            <w:tcW w:w="0" w:type="dxa"/>
            <w:tcBorders>
              <w:top w:val="single" w:sz="4" w:space="0" w:color="auto"/>
              <w:left w:val="nil"/>
              <w:bottom w:val="nil"/>
              <w:right w:val="nil"/>
            </w:tcBorders>
            <w:shd w:val="clear" w:color="auto" w:fill="D2EDFF" w:themeFill="accent1" w:themeFillTint="1A"/>
            <w:vAlign w:val="center"/>
          </w:tcPr>
          <w:p w14:paraId="2CAE0732" w14:textId="3C1FA62B" w:rsidR="00AF59F4" w:rsidRPr="00E20618" w:rsidRDefault="00265CE5" w:rsidP="004C79D2">
            <w:pPr>
              <w:pStyle w:val="TableTextRight"/>
            </w:pPr>
            <w:r w:rsidRPr="00F67DB6">
              <w:t> </w:t>
            </w:r>
          </w:p>
        </w:tc>
        <w:tc>
          <w:tcPr>
            <w:tcW w:w="0" w:type="dxa"/>
            <w:tcBorders>
              <w:top w:val="single" w:sz="4" w:space="0" w:color="auto"/>
              <w:left w:val="nil"/>
              <w:bottom w:val="nil"/>
              <w:right w:val="nil"/>
            </w:tcBorders>
            <w:vAlign w:val="center"/>
          </w:tcPr>
          <w:p w14:paraId="2B56D119" w14:textId="77777777" w:rsidR="00AF59F4" w:rsidRPr="00E20618" w:rsidRDefault="00AF59F4" w:rsidP="004C79D2">
            <w:pPr>
              <w:pStyle w:val="TableTextRight"/>
            </w:pPr>
          </w:p>
        </w:tc>
        <w:tc>
          <w:tcPr>
            <w:tcW w:w="0" w:type="dxa"/>
            <w:tcBorders>
              <w:top w:val="single" w:sz="4" w:space="0" w:color="auto"/>
              <w:left w:val="nil"/>
              <w:bottom w:val="nil"/>
              <w:right w:val="nil"/>
            </w:tcBorders>
            <w:vAlign w:val="center"/>
          </w:tcPr>
          <w:p w14:paraId="3CA06DF2" w14:textId="77777777" w:rsidR="00AF59F4" w:rsidRPr="00E20618" w:rsidRDefault="00AF59F4" w:rsidP="004C79D2">
            <w:pPr>
              <w:pStyle w:val="TableTextRight"/>
            </w:pPr>
          </w:p>
        </w:tc>
        <w:tc>
          <w:tcPr>
            <w:tcW w:w="0" w:type="dxa"/>
            <w:tcBorders>
              <w:top w:val="single" w:sz="4" w:space="0" w:color="auto"/>
              <w:left w:val="nil"/>
              <w:bottom w:val="nil"/>
              <w:right w:val="single" w:sz="4" w:space="0" w:color="auto"/>
            </w:tcBorders>
            <w:vAlign w:val="center"/>
          </w:tcPr>
          <w:p w14:paraId="71A6A9CA" w14:textId="39C6FFC2" w:rsidR="00AF59F4" w:rsidRPr="00E20618" w:rsidRDefault="00265CE5" w:rsidP="004C79D2">
            <w:pPr>
              <w:pStyle w:val="TableTextRight"/>
            </w:pPr>
            <w:r w:rsidRPr="00F67DB6">
              <w:t> </w:t>
            </w:r>
          </w:p>
        </w:tc>
        <w:tc>
          <w:tcPr>
            <w:tcW w:w="0" w:type="dxa"/>
            <w:tcBorders>
              <w:top w:val="single" w:sz="4" w:space="0" w:color="auto"/>
              <w:left w:val="single" w:sz="4" w:space="0" w:color="auto"/>
              <w:bottom w:val="nil"/>
              <w:right w:val="nil"/>
            </w:tcBorders>
            <w:vAlign w:val="center"/>
          </w:tcPr>
          <w:p w14:paraId="21CC9229" w14:textId="77777777" w:rsidR="00AF59F4" w:rsidRPr="00E20618" w:rsidRDefault="00AF59F4" w:rsidP="004C79D2">
            <w:pPr>
              <w:pStyle w:val="TableTextRight"/>
            </w:pPr>
          </w:p>
        </w:tc>
      </w:tr>
      <w:tr w:rsidR="00F67DB6" w:rsidRPr="0080495D" w14:paraId="4DC212AD" w14:textId="77777777" w:rsidTr="0006553C">
        <w:tc>
          <w:tcPr>
            <w:tcW w:w="0" w:type="dxa"/>
            <w:tcBorders>
              <w:bottom w:val="nil"/>
            </w:tcBorders>
          </w:tcPr>
          <w:p w14:paraId="3FB94229" w14:textId="77777777" w:rsidR="00AF59F4" w:rsidRPr="00EE2810" w:rsidRDefault="00AF59F4" w:rsidP="004C79D2">
            <w:pPr>
              <w:pStyle w:val="TableTextLeft"/>
              <w:rPr>
                <w:i/>
              </w:rPr>
            </w:pPr>
            <w:r w:rsidRPr="00EE2810">
              <w:t>Victoria</w:t>
            </w:r>
          </w:p>
        </w:tc>
        <w:tc>
          <w:tcPr>
            <w:tcW w:w="0" w:type="dxa"/>
            <w:tcBorders>
              <w:top w:val="nil"/>
              <w:left w:val="nil"/>
              <w:bottom w:val="nil"/>
              <w:right w:val="nil"/>
            </w:tcBorders>
            <w:vAlign w:val="center"/>
          </w:tcPr>
          <w:p w14:paraId="412C0852" w14:textId="7689169A" w:rsidR="00AF59F4" w:rsidRPr="00E20618" w:rsidRDefault="00265CE5" w:rsidP="004C79D2">
            <w:pPr>
              <w:pStyle w:val="TableTextRight"/>
            </w:pPr>
            <w:r w:rsidRPr="00F67DB6">
              <w:t>37.</w:t>
            </w:r>
            <w:r>
              <w:rPr>
                <w:rFonts w:cs="Calibri"/>
              </w:rPr>
              <w:t>0</w:t>
            </w:r>
          </w:p>
        </w:tc>
        <w:tc>
          <w:tcPr>
            <w:tcW w:w="0" w:type="dxa"/>
            <w:tcBorders>
              <w:top w:val="nil"/>
              <w:left w:val="nil"/>
              <w:bottom w:val="nil"/>
              <w:right w:val="nil"/>
            </w:tcBorders>
            <w:shd w:val="clear" w:color="auto" w:fill="D2EDFF" w:themeFill="accent1" w:themeFillTint="1A"/>
            <w:vAlign w:val="center"/>
          </w:tcPr>
          <w:p w14:paraId="5147FB11" w14:textId="0434FB86" w:rsidR="00AF59F4" w:rsidRPr="00E20618" w:rsidRDefault="00265CE5" w:rsidP="004C79D2">
            <w:pPr>
              <w:pStyle w:val="TableTextRight"/>
            </w:pPr>
            <w:r w:rsidRPr="00F67DB6">
              <w:t>36.</w:t>
            </w:r>
            <w:r>
              <w:rPr>
                <w:rFonts w:cs="Calibri"/>
              </w:rPr>
              <w:t>9</w:t>
            </w:r>
          </w:p>
        </w:tc>
        <w:tc>
          <w:tcPr>
            <w:tcW w:w="0" w:type="dxa"/>
            <w:tcBorders>
              <w:top w:val="nil"/>
              <w:left w:val="nil"/>
              <w:bottom w:val="nil"/>
              <w:right w:val="nil"/>
            </w:tcBorders>
            <w:vAlign w:val="center"/>
          </w:tcPr>
          <w:p w14:paraId="5177ADBE" w14:textId="7FA1F49B" w:rsidR="00AF59F4" w:rsidRPr="00E20618" w:rsidRDefault="00265CE5" w:rsidP="004C79D2">
            <w:pPr>
              <w:pStyle w:val="TableTextRight"/>
            </w:pPr>
            <w:r w:rsidRPr="00F67DB6">
              <w:t>36.</w:t>
            </w:r>
            <w:r w:rsidR="000C3BE7">
              <w:rPr>
                <w:rFonts w:cs="Calibri"/>
              </w:rPr>
              <w:t>9</w:t>
            </w:r>
          </w:p>
        </w:tc>
        <w:tc>
          <w:tcPr>
            <w:tcW w:w="0" w:type="dxa"/>
            <w:tcBorders>
              <w:top w:val="nil"/>
              <w:left w:val="nil"/>
              <w:bottom w:val="nil"/>
              <w:right w:val="nil"/>
            </w:tcBorders>
            <w:vAlign w:val="center"/>
          </w:tcPr>
          <w:p w14:paraId="77512172" w14:textId="0331CF9B" w:rsidR="00AF59F4" w:rsidRPr="00E20618" w:rsidRDefault="00265CE5" w:rsidP="004C79D2">
            <w:pPr>
              <w:pStyle w:val="TableTextRight"/>
            </w:pPr>
            <w:r>
              <w:rPr>
                <w:rFonts w:cs="Calibri"/>
              </w:rPr>
              <w:t>3</w:t>
            </w:r>
            <w:r w:rsidR="00FE14AA">
              <w:rPr>
                <w:rFonts w:cs="Calibri"/>
              </w:rPr>
              <w:t>7.0</w:t>
            </w:r>
          </w:p>
        </w:tc>
        <w:tc>
          <w:tcPr>
            <w:tcW w:w="0" w:type="dxa"/>
            <w:tcBorders>
              <w:top w:val="nil"/>
              <w:left w:val="nil"/>
              <w:bottom w:val="nil"/>
              <w:right w:val="single" w:sz="4" w:space="0" w:color="auto"/>
            </w:tcBorders>
            <w:vAlign w:val="center"/>
          </w:tcPr>
          <w:p w14:paraId="7E7D00EE" w14:textId="13B5A044" w:rsidR="00AF59F4" w:rsidRPr="00E20618" w:rsidRDefault="00265CE5" w:rsidP="004C79D2">
            <w:pPr>
              <w:pStyle w:val="TableTextRight"/>
            </w:pPr>
            <w:r w:rsidRPr="00F67DB6">
              <w:t>37</w:t>
            </w:r>
            <w:r w:rsidR="00EC1368">
              <w:rPr>
                <w:rFonts w:cs="Calibri"/>
              </w:rPr>
              <w:t>.1</w:t>
            </w:r>
          </w:p>
        </w:tc>
        <w:tc>
          <w:tcPr>
            <w:tcW w:w="0" w:type="dxa"/>
            <w:tcBorders>
              <w:top w:val="nil"/>
              <w:left w:val="single" w:sz="4" w:space="0" w:color="auto"/>
              <w:bottom w:val="nil"/>
              <w:right w:val="nil"/>
            </w:tcBorders>
            <w:vAlign w:val="center"/>
          </w:tcPr>
          <w:p w14:paraId="1C99A7AB" w14:textId="4AC5F590" w:rsidR="00AF59F4" w:rsidRPr="00E20618" w:rsidRDefault="00265CE5" w:rsidP="004C79D2">
            <w:pPr>
              <w:pStyle w:val="TableTextRight"/>
            </w:pPr>
            <w:r w:rsidRPr="00F67DB6">
              <w:t>38</w:t>
            </w:r>
            <w:r w:rsidR="00EC1368">
              <w:rPr>
                <w:rFonts w:cs="Calibri"/>
              </w:rPr>
              <w:t>.</w:t>
            </w:r>
            <w:r w:rsidR="00806F18">
              <w:rPr>
                <w:rFonts w:cs="Calibri"/>
              </w:rPr>
              <w:t>1</w:t>
            </w:r>
          </w:p>
        </w:tc>
      </w:tr>
      <w:tr w:rsidR="00F67DB6" w:rsidRPr="0080495D" w14:paraId="0F4E9802" w14:textId="77777777" w:rsidTr="0006553C">
        <w:tc>
          <w:tcPr>
            <w:tcW w:w="0" w:type="dxa"/>
            <w:tcBorders>
              <w:bottom w:val="nil"/>
            </w:tcBorders>
          </w:tcPr>
          <w:p w14:paraId="29536299" w14:textId="77777777" w:rsidR="00AF59F4" w:rsidRPr="00EE2810" w:rsidRDefault="00AF59F4" w:rsidP="004C79D2">
            <w:pPr>
              <w:pStyle w:val="Tabletextleftindent"/>
            </w:pPr>
            <w:r w:rsidRPr="00EE2810">
              <w:t xml:space="preserve">Greater Melbourne </w:t>
            </w:r>
          </w:p>
        </w:tc>
        <w:tc>
          <w:tcPr>
            <w:tcW w:w="0" w:type="dxa"/>
            <w:tcBorders>
              <w:top w:val="nil"/>
              <w:left w:val="nil"/>
              <w:bottom w:val="nil"/>
              <w:right w:val="nil"/>
            </w:tcBorders>
            <w:vAlign w:val="center"/>
          </w:tcPr>
          <w:p w14:paraId="7EFA42B2" w14:textId="28F61300" w:rsidR="00AF59F4" w:rsidRPr="00E20618" w:rsidRDefault="00265CE5" w:rsidP="004C79D2">
            <w:pPr>
              <w:pStyle w:val="TableTextRight"/>
            </w:pPr>
            <w:r w:rsidRPr="00F67DB6">
              <w:t>35.</w:t>
            </w:r>
            <w:r w:rsidR="00FE14AA">
              <w:rPr>
                <w:rFonts w:cs="Calibri"/>
              </w:rPr>
              <w:t>9</w:t>
            </w:r>
          </w:p>
        </w:tc>
        <w:tc>
          <w:tcPr>
            <w:tcW w:w="0" w:type="dxa"/>
            <w:tcBorders>
              <w:top w:val="nil"/>
              <w:left w:val="nil"/>
              <w:bottom w:val="nil"/>
              <w:right w:val="nil"/>
            </w:tcBorders>
            <w:shd w:val="clear" w:color="auto" w:fill="D2EDFF" w:themeFill="accent1" w:themeFillTint="1A"/>
            <w:vAlign w:val="center"/>
          </w:tcPr>
          <w:p w14:paraId="61DDB2EE" w14:textId="0343A87E" w:rsidR="00AF59F4" w:rsidRPr="00E20618" w:rsidRDefault="00265CE5" w:rsidP="004C79D2">
            <w:pPr>
              <w:pStyle w:val="TableTextRight"/>
            </w:pPr>
            <w:r w:rsidRPr="00F67DB6">
              <w:t>35.</w:t>
            </w:r>
            <w:r w:rsidR="00FE14AA">
              <w:rPr>
                <w:rFonts w:cs="Calibri"/>
              </w:rPr>
              <w:t>7</w:t>
            </w:r>
          </w:p>
        </w:tc>
        <w:tc>
          <w:tcPr>
            <w:tcW w:w="0" w:type="dxa"/>
            <w:tcBorders>
              <w:top w:val="nil"/>
              <w:left w:val="nil"/>
              <w:bottom w:val="nil"/>
              <w:right w:val="nil"/>
            </w:tcBorders>
            <w:vAlign w:val="center"/>
          </w:tcPr>
          <w:p w14:paraId="11262F81" w14:textId="55A3AACF" w:rsidR="00AF59F4" w:rsidRPr="00E20618" w:rsidRDefault="00265CE5" w:rsidP="004C79D2">
            <w:pPr>
              <w:pStyle w:val="TableTextRight"/>
            </w:pPr>
            <w:r w:rsidRPr="00F67DB6">
              <w:t>35.</w:t>
            </w:r>
            <w:r w:rsidR="00FE14AA">
              <w:rPr>
                <w:rFonts w:cs="Calibri"/>
              </w:rPr>
              <w:t>6</w:t>
            </w:r>
          </w:p>
        </w:tc>
        <w:tc>
          <w:tcPr>
            <w:tcW w:w="0" w:type="dxa"/>
            <w:tcBorders>
              <w:top w:val="nil"/>
              <w:left w:val="nil"/>
              <w:bottom w:val="nil"/>
              <w:right w:val="nil"/>
            </w:tcBorders>
            <w:vAlign w:val="center"/>
          </w:tcPr>
          <w:p w14:paraId="00F90F94" w14:textId="02DCBA85" w:rsidR="00AF59F4" w:rsidRPr="00E20618" w:rsidRDefault="00265CE5" w:rsidP="004C79D2">
            <w:pPr>
              <w:pStyle w:val="TableTextRight"/>
            </w:pPr>
            <w:r w:rsidRPr="00F67DB6">
              <w:t>35.</w:t>
            </w:r>
            <w:r w:rsidR="00FE14AA">
              <w:rPr>
                <w:rFonts w:cs="Calibri"/>
              </w:rPr>
              <w:t>7</w:t>
            </w:r>
          </w:p>
        </w:tc>
        <w:tc>
          <w:tcPr>
            <w:tcW w:w="0" w:type="dxa"/>
            <w:tcBorders>
              <w:top w:val="nil"/>
              <w:left w:val="nil"/>
              <w:bottom w:val="nil"/>
              <w:right w:val="single" w:sz="4" w:space="0" w:color="auto"/>
            </w:tcBorders>
            <w:vAlign w:val="center"/>
          </w:tcPr>
          <w:p w14:paraId="6DD75E94" w14:textId="68EC3956" w:rsidR="00AF59F4" w:rsidRPr="00E20618" w:rsidRDefault="00265CE5" w:rsidP="004C79D2">
            <w:pPr>
              <w:pStyle w:val="TableTextRight"/>
            </w:pPr>
            <w:r w:rsidRPr="00F67DB6">
              <w:t>35.</w:t>
            </w:r>
            <w:r w:rsidR="00FE14AA">
              <w:rPr>
                <w:rFonts w:cs="Calibri"/>
              </w:rPr>
              <w:t>8</w:t>
            </w:r>
          </w:p>
        </w:tc>
        <w:tc>
          <w:tcPr>
            <w:tcW w:w="0" w:type="dxa"/>
            <w:tcBorders>
              <w:top w:val="nil"/>
              <w:left w:val="single" w:sz="4" w:space="0" w:color="auto"/>
              <w:bottom w:val="nil"/>
              <w:right w:val="nil"/>
            </w:tcBorders>
            <w:vAlign w:val="center"/>
          </w:tcPr>
          <w:p w14:paraId="7A544E59" w14:textId="49607ADA" w:rsidR="00AF59F4" w:rsidRPr="00E20618" w:rsidRDefault="00265CE5" w:rsidP="004C79D2">
            <w:pPr>
              <w:pStyle w:val="TableTextRight"/>
            </w:pPr>
            <w:r w:rsidRPr="00F67DB6">
              <w:t>36.</w:t>
            </w:r>
            <w:r w:rsidR="004A6B06">
              <w:t>5</w:t>
            </w:r>
          </w:p>
        </w:tc>
      </w:tr>
      <w:tr w:rsidR="00F67DB6" w:rsidRPr="0080495D" w14:paraId="3A5B96FA" w14:textId="77777777" w:rsidTr="0006553C">
        <w:tc>
          <w:tcPr>
            <w:tcW w:w="0" w:type="dxa"/>
            <w:tcBorders>
              <w:bottom w:val="single" w:sz="4" w:space="0" w:color="auto"/>
            </w:tcBorders>
          </w:tcPr>
          <w:p w14:paraId="552A38F3" w14:textId="77777777" w:rsidR="00AF59F4" w:rsidRPr="00EE2810" w:rsidRDefault="00AF59F4" w:rsidP="004C79D2">
            <w:pPr>
              <w:pStyle w:val="Tabletextleftindent"/>
            </w:pPr>
            <w:r w:rsidRPr="00EE2810">
              <w:t>Rest of Victoria</w:t>
            </w:r>
          </w:p>
        </w:tc>
        <w:tc>
          <w:tcPr>
            <w:tcW w:w="0" w:type="dxa"/>
            <w:tcBorders>
              <w:top w:val="nil"/>
              <w:left w:val="nil"/>
              <w:bottom w:val="single" w:sz="4" w:space="0" w:color="auto"/>
              <w:right w:val="nil"/>
            </w:tcBorders>
            <w:vAlign w:val="center"/>
          </w:tcPr>
          <w:p w14:paraId="4FD7B345" w14:textId="43CFCAB5" w:rsidR="00AF59F4" w:rsidRPr="00E20618" w:rsidRDefault="00265CE5" w:rsidP="004C79D2">
            <w:pPr>
              <w:pStyle w:val="TableTextRight"/>
            </w:pPr>
            <w:r w:rsidRPr="00F67DB6">
              <w:t>42.</w:t>
            </w:r>
            <w:r w:rsidR="0006553C" w:rsidRPr="00F67DB6">
              <w:t>2</w:t>
            </w:r>
          </w:p>
        </w:tc>
        <w:tc>
          <w:tcPr>
            <w:tcW w:w="0" w:type="dxa"/>
            <w:tcBorders>
              <w:top w:val="nil"/>
              <w:left w:val="nil"/>
              <w:bottom w:val="single" w:sz="4" w:space="0" w:color="auto"/>
              <w:right w:val="nil"/>
            </w:tcBorders>
            <w:shd w:val="clear" w:color="auto" w:fill="D2EDFF" w:themeFill="accent1" w:themeFillTint="1A"/>
            <w:vAlign w:val="center"/>
          </w:tcPr>
          <w:p w14:paraId="2105349C" w14:textId="41ECBEA7" w:rsidR="00AF59F4" w:rsidRPr="00E20618" w:rsidRDefault="00265CE5" w:rsidP="004C79D2">
            <w:pPr>
              <w:pStyle w:val="TableTextRight"/>
            </w:pPr>
            <w:r w:rsidRPr="00F67DB6">
              <w:t>42.3</w:t>
            </w:r>
          </w:p>
        </w:tc>
        <w:tc>
          <w:tcPr>
            <w:tcW w:w="0" w:type="dxa"/>
            <w:tcBorders>
              <w:top w:val="nil"/>
              <w:left w:val="nil"/>
              <w:bottom w:val="single" w:sz="4" w:space="0" w:color="auto"/>
              <w:right w:val="nil"/>
            </w:tcBorders>
            <w:vAlign w:val="center"/>
          </w:tcPr>
          <w:p w14:paraId="5FC016A4" w14:textId="63AEA1E1" w:rsidR="00AF59F4" w:rsidRPr="00E20618" w:rsidRDefault="00265CE5" w:rsidP="004C79D2">
            <w:pPr>
              <w:pStyle w:val="TableTextRight"/>
            </w:pPr>
            <w:r w:rsidRPr="00F67DB6">
              <w:t>42.</w:t>
            </w:r>
            <w:r w:rsidR="0006553C" w:rsidRPr="00F67DB6">
              <w:t>5</w:t>
            </w:r>
          </w:p>
        </w:tc>
        <w:tc>
          <w:tcPr>
            <w:tcW w:w="0" w:type="dxa"/>
            <w:tcBorders>
              <w:top w:val="nil"/>
              <w:left w:val="nil"/>
              <w:bottom w:val="single" w:sz="4" w:space="0" w:color="auto"/>
              <w:right w:val="nil"/>
            </w:tcBorders>
            <w:vAlign w:val="center"/>
          </w:tcPr>
          <w:p w14:paraId="673186D7" w14:textId="39166131" w:rsidR="00AF59F4" w:rsidRPr="00E20618" w:rsidRDefault="00265CE5" w:rsidP="004C79D2">
            <w:pPr>
              <w:pStyle w:val="TableTextRight"/>
            </w:pPr>
            <w:r w:rsidRPr="00F67DB6">
              <w:t>42.</w:t>
            </w:r>
            <w:r w:rsidR="0006553C" w:rsidRPr="00F67DB6">
              <w:t>7</w:t>
            </w:r>
          </w:p>
        </w:tc>
        <w:tc>
          <w:tcPr>
            <w:tcW w:w="0" w:type="dxa"/>
            <w:tcBorders>
              <w:top w:val="nil"/>
              <w:left w:val="nil"/>
              <w:bottom w:val="single" w:sz="4" w:space="0" w:color="auto"/>
              <w:right w:val="single" w:sz="4" w:space="0" w:color="auto"/>
            </w:tcBorders>
            <w:vAlign w:val="center"/>
          </w:tcPr>
          <w:p w14:paraId="720ECA35" w14:textId="385A745E" w:rsidR="00AF59F4" w:rsidRPr="00E20618" w:rsidRDefault="00EC1368" w:rsidP="004C79D2">
            <w:pPr>
              <w:pStyle w:val="TableTextRight"/>
            </w:pPr>
            <w:r>
              <w:rPr>
                <w:rFonts w:cs="Calibri"/>
              </w:rPr>
              <w:t>43.0</w:t>
            </w:r>
          </w:p>
        </w:tc>
        <w:tc>
          <w:tcPr>
            <w:tcW w:w="0" w:type="dxa"/>
            <w:tcBorders>
              <w:top w:val="nil"/>
              <w:left w:val="single" w:sz="4" w:space="0" w:color="auto"/>
              <w:bottom w:val="single" w:sz="4" w:space="0" w:color="auto"/>
              <w:right w:val="nil"/>
            </w:tcBorders>
            <w:vAlign w:val="center"/>
          </w:tcPr>
          <w:p w14:paraId="3C7046DE" w14:textId="012EF93E" w:rsidR="00AF59F4" w:rsidRPr="00E20618" w:rsidRDefault="00265CE5" w:rsidP="004C79D2">
            <w:pPr>
              <w:pStyle w:val="TableTextRight"/>
            </w:pPr>
            <w:r w:rsidRPr="00F67DB6">
              <w:t>45.</w:t>
            </w:r>
            <w:r w:rsidR="00EC1368">
              <w:rPr>
                <w:rFonts w:cs="Calibri"/>
              </w:rPr>
              <w:t>2</w:t>
            </w:r>
          </w:p>
        </w:tc>
      </w:tr>
    </w:tbl>
    <w:p w14:paraId="66BBD6F9" w14:textId="2EC89657" w:rsidR="00AF59F4" w:rsidRPr="00EA3637" w:rsidRDefault="00AF59F4" w:rsidP="00C14BAE">
      <w:pPr>
        <w:pStyle w:val="Source"/>
      </w:pPr>
      <w:r w:rsidRPr="0080495D">
        <w:t>Source:</w:t>
      </w:r>
      <w:r w:rsidR="00BC0E7F">
        <w:tab/>
      </w:r>
      <w:r w:rsidR="00DD1DCF">
        <w:rPr>
          <w:noProof/>
        </w:rPr>
        <w:t>ABS</w:t>
      </w:r>
      <w:r>
        <w:rPr>
          <w:noProof/>
        </w:rPr>
        <w:t>, National, state and territory population, March 2023</w:t>
      </w:r>
      <w:r w:rsidR="007E595A">
        <w:t>,</w:t>
      </w:r>
      <w:r w:rsidRPr="0080495D">
        <w:t xml:space="preserve"> </w:t>
      </w:r>
      <w:r w:rsidR="00DD1DCF">
        <w:rPr>
          <w:noProof/>
        </w:rPr>
        <w:t>ABS</w:t>
      </w:r>
      <w:r>
        <w:rPr>
          <w:noProof/>
        </w:rPr>
        <w:t>, Regional population 2021–22</w:t>
      </w:r>
      <w:r w:rsidR="007E595A">
        <w:rPr>
          <w:noProof/>
        </w:rPr>
        <w:t>,</w:t>
      </w:r>
      <w:r w:rsidR="00413137">
        <w:rPr>
          <w:noProof/>
        </w:rPr>
        <w:t xml:space="preserve"> </w:t>
      </w:r>
      <w:r w:rsidRPr="0080495D">
        <w:t>and Centre for Population projections.</w:t>
      </w:r>
    </w:p>
    <w:p w14:paraId="5D3D1063" w14:textId="2AA245CA" w:rsidR="00DD4AAA" w:rsidRDefault="00DD4AAA">
      <w:pPr>
        <w:spacing w:before="0" w:after="160" w:line="259" w:lineRule="auto"/>
      </w:pPr>
      <w:r>
        <w:br w:type="page"/>
      </w:r>
    </w:p>
    <w:p w14:paraId="481B8F6D" w14:textId="5E86B1E3" w:rsidR="00E47BB8" w:rsidRDefault="00472C9A" w:rsidP="00BA0D57">
      <w:pPr>
        <w:pStyle w:val="Heading2Numbered"/>
      </w:pPr>
      <w:bookmarkStart w:id="133" w:name="_Toc152920089"/>
      <w:bookmarkStart w:id="134" w:name="_Toc149846510"/>
      <w:bookmarkStart w:id="135" w:name="_Toc149846551"/>
      <w:bookmarkStart w:id="136" w:name="_Toc149846649"/>
      <w:bookmarkStart w:id="137" w:name="_Toc149847592"/>
      <w:bookmarkStart w:id="138" w:name="_Toc151994725"/>
      <w:bookmarkStart w:id="139" w:name="_Toc154050214"/>
      <w:bookmarkEnd w:id="133"/>
      <w:r>
        <w:lastRenderedPageBreak/>
        <w:t>Queensland</w:t>
      </w:r>
      <w:bookmarkEnd w:id="134"/>
      <w:bookmarkEnd w:id="135"/>
      <w:bookmarkEnd w:id="136"/>
      <w:bookmarkEnd w:id="137"/>
      <w:bookmarkEnd w:id="138"/>
      <w:bookmarkEnd w:id="139"/>
    </w:p>
    <w:p w14:paraId="5FFD312D" w14:textId="0D7459B2" w:rsidR="00457B3D" w:rsidRDefault="00457B3D" w:rsidP="00BA0D57">
      <w:bookmarkStart w:id="140" w:name="_Hlk116580987"/>
      <w:r>
        <w:t>Queensland</w:t>
      </w:r>
      <w:r w:rsidR="004B14AB">
        <w:t>’</w:t>
      </w:r>
      <w:r>
        <w:t xml:space="preserve">s population was </w:t>
      </w:r>
      <w:r w:rsidR="00105839">
        <w:t>5</w:t>
      </w:r>
      <w:r w:rsidR="005505A6" w:rsidDel="00EA63CC">
        <w:t>.</w:t>
      </w:r>
      <w:r w:rsidR="00893EB7">
        <w:t>3</w:t>
      </w:r>
      <w:r>
        <w:t xml:space="preserve"> million on 30 June 202</w:t>
      </w:r>
      <w:r w:rsidR="004D60DA">
        <w:t>2</w:t>
      </w:r>
      <w:r>
        <w:t xml:space="preserve"> and is projected to reach </w:t>
      </w:r>
      <w:r w:rsidR="005D2ED4">
        <w:t>6.</w:t>
      </w:r>
      <w:r w:rsidR="006800BD">
        <w:t>3</w:t>
      </w:r>
      <w:r>
        <w:t xml:space="preserve"> million by 203</w:t>
      </w:r>
      <w:r w:rsidR="004D60DA">
        <w:t>3</w:t>
      </w:r>
      <w:r>
        <w:t>–3</w:t>
      </w:r>
      <w:r w:rsidR="004D60DA">
        <w:t>4</w:t>
      </w:r>
      <w:r>
        <w:t xml:space="preserve">. </w:t>
      </w:r>
      <w:r w:rsidR="005752B0">
        <w:t xml:space="preserve">Population growth continues to recover from the pandemic impacted rate of </w:t>
      </w:r>
      <w:r w:rsidR="00CA0A7D">
        <w:t>1</w:t>
      </w:r>
      <w:r w:rsidR="001F3B6F">
        <w:t> per cent</w:t>
      </w:r>
      <w:r>
        <w:t xml:space="preserve"> in 2020–21. Growth </w:t>
      </w:r>
      <w:r w:rsidR="005752B0">
        <w:t xml:space="preserve">was </w:t>
      </w:r>
      <w:r w:rsidR="00FA25BF">
        <w:t>2</w:t>
      </w:r>
      <w:r w:rsidR="002F5F52" w:rsidDel="00EA63CC">
        <w:t>.0</w:t>
      </w:r>
      <w:r w:rsidR="001F3B6F">
        <w:t> per cent</w:t>
      </w:r>
      <w:r w:rsidR="005752B0">
        <w:t xml:space="preserve"> in 2021</w:t>
      </w:r>
      <w:r w:rsidR="00BA58D9">
        <w:t>–</w:t>
      </w:r>
      <w:r w:rsidR="005752B0">
        <w:t xml:space="preserve">22 and </w:t>
      </w:r>
      <w:r>
        <w:t xml:space="preserve">is forecast to </w:t>
      </w:r>
      <w:r w:rsidR="005752B0">
        <w:t>continue recovering</w:t>
      </w:r>
      <w:r>
        <w:t xml:space="preserve"> to </w:t>
      </w:r>
      <w:r w:rsidR="00FA25BF">
        <w:t>2.5</w:t>
      </w:r>
      <w:r w:rsidR="001F3B6F">
        <w:t> per cent</w:t>
      </w:r>
      <w:r>
        <w:t xml:space="preserve"> by 2022–23, before declining to </w:t>
      </w:r>
      <w:r w:rsidR="00902F67">
        <w:t>1.2</w:t>
      </w:r>
      <w:r w:rsidR="001F3B6F">
        <w:t> per cent</w:t>
      </w:r>
      <w:r>
        <w:t xml:space="preserve"> in 203</w:t>
      </w:r>
      <w:r w:rsidR="005752B0">
        <w:t>3</w:t>
      </w:r>
      <w:r>
        <w:t>–3</w:t>
      </w:r>
      <w:r w:rsidR="005752B0">
        <w:t>4</w:t>
      </w:r>
      <w:r>
        <w:t xml:space="preserve"> (</w:t>
      </w:r>
      <w:r w:rsidR="007B576C">
        <w:fldChar w:fldCharType="begin"/>
      </w:r>
      <w:r w:rsidR="007B576C">
        <w:instrText xml:space="preserve"> REF _Ref118134288 \r \h </w:instrText>
      </w:r>
      <w:r w:rsidR="007B576C">
        <w:fldChar w:fldCharType="separate"/>
      </w:r>
      <w:r w:rsidR="00CE6FEA">
        <w:t>Chart 22</w:t>
      </w:r>
      <w:r w:rsidR="007B576C">
        <w:fldChar w:fldCharType="end"/>
      </w:r>
      <w:r>
        <w:t>).</w:t>
      </w:r>
    </w:p>
    <w:p w14:paraId="0F547B4B" w14:textId="66CE22B4" w:rsidR="00457B3D" w:rsidRDefault="00457B3D" w:rsidP="00BA0D57">
      <w:r>
        <w:t xml:space="preserve">Net overseas migration to Queensland is forecast to recover from </w:t>
      </w:r>
      <w:r w:rsidR="007958D9">
        <w:t>13,000</w:t>
      </w:r>
      <w:r>
        <w:t xml:space="preserve"> </w:t>
      </w:r>
      <w:r w:rsidR="00A07345">
        <w:t>net departures</w:t>
      </w:r>
      <w:r>
        <w:t xml:space="preserve"> in 2020–21 to </w:t>
      </w:r>
      <w:r w:rsidR="00771CD2">
        <w:t>79,000</w:t>
      </w:r>
      <w:r>
        <w:t xml:space="preserve"> </w:t>
      </w:r>
      <w:r w:rsidR="00A07345">
        <w:t>net arrivals</w:t>
      </w:r>
      <w:r>
        <w:t xml:space="preserve"> in 202</w:t>
      </w:r>
      <w:r w:rsidR="00771CD2">
        <w:t>2</w:t>
      </w:r>
      <w:r>
        <w:t>–2</w:t>
      </w:r>
      <w:r w:rsidR="00771CD2">
        <w:t>3</w:t>
      </w:r>
      <w:r>
        <w:t xml:space="preserve">. This will be driven by the return of temporary migrants, especially international students and </w:t>
      </w:r>
      <w:r w:rsidR="00170003">
        <w:t>W</w:t>
      </w:r>
      <w:r>
        <w:t xml:space="preserve">orking </w:t>
      </w:r>
      <w:r w:rsidR="00170003">
        <w:t>H</w:t>
      </w:r>
      <w:r>
        <w:t xml:space="preserve">oliday </w:t>
      </w:r>
      <w:r w:rsidR="00170003">
        <w:t>M</w:t>
      </w:r>
      <w:r>
        <w:t xml:space="preserve">akers. Net overseas migration is forecast to contribute </w:t>
      </w:r>
      <w:r w:rsidR="003D5D3F">
        <w:t>1.5</w:t>
      </w:r>
      <w:r>
        <w:t xml:space="preserve"> percentage points to Queensland</w:t>
      </w:r>
      <w:r w:rsidR="004B14AB">
        <w:t>’</w:t>
      </w:r>
      <w:r>
        <w:t xml:space="preserve">s population growth rate in </w:t>
      </w:r>
      <w:r w:rsidR="003D5D3F">
        <w:t>2022</w:t>
      </w:r>
      <w:r w:rsidR="00E54F9C" w:rsidDel="00EA63CC">
        <w:t>–</w:t>
      </w:r>
      <w:r w:rsidR="003D5D3F">
        <w:t>23</w:t>
      </w:r>
      <w:r>
        <w:t xml:space="preserve">, up from </w:t>
      </w:r>
      <w:r w:rsidR="00BA0F38">
        <w:rPr>
          <w:rFonts w:cstheme="minorHAnsi"/>
        </w:rPr>
        <w:t>−</w:t>
      </w:r>
      <w:r>
        <w:t>0.</w:t>
      </w:r>
      <w:r w:rsidR="003D5D3F">
        <w:t>2</w:t>
      </w:r>
      <w:r>
        <w:t xml:space="preserve"> in 2020–21. Over the next decade, Queensland is expected to r</w:t>
      </w:r>
      <w:r w:rsidRPr="00C767EB">
        <w:t xml:space="preserve">etain a </w:t>
      </w:r>
      <w:r w:rsidR="00222CAD" w:rsidRPr="00E01AE5">
        <w:t>13</w:t>
      </w:r>
      <w:r w:rsidR="001F3B6F">
        <w:t> per cent</w:t>
      </w:r>
      <w:r>
        <w:rPr>
          <w:b/>
          <w:bCs/>
        </w:rPr>
        <w:t xml:space="preserve"> </w:t>
      </w:r>
      <w:r>
        <w:t>share</w:t>
      </w:r>
      <w:r>
        <w:rPr>
          <w:b/>
          <w:bCs/>
        </w:rPr>
        <w:t xml:space="preserve"> </w:t>
      </w:r>
      <w:r>
        <w:t>of national net overseas migration, consistent with its pre</w:t>
      </w:r>
      <w:r w:rsidR="004B14AB">
        <w:noBreakHyphen/>
      </w:r>
      <w:r>
        <w:t>pandemic share.</w:t>
      </w:r>
      <w:bookmarkEnd w:id="140"/>
    </w:p>
    <w:p w14:paraId="2FC0754F" w14:textId="1F7BD7D0" w:rsidR="00457B3D" w:rsidRDefault="00457B3D" w:rsidP="00BA0D57">
      <w:r>
        <w:t xml:space="preserve">Net interstate migration </w:t>
      </w:r>
      <w:r w:rsidDel="00EA63CC">
        <w:t xml:space="preserve">is projected to </w:t>
      </w:r>
      <w:r w:rsidR="00923340">
        <w:t>be</w:t>
      </w:r>
      <w:r>
        <w:t xml:space="preserve"> </w:t>
      </w:r>
      <w:r w:rsidR="00CC400E">
        <w:t>29,000</w:t>
      </w:r>
      <w:r>
        <w:t xml:space="preserve"> in 202</w:t>
      </w:r>
      <w:r w:rsidR="00DD0E5C">
        <w:t>2</w:t>
      </w:r>
      <w:r>
        <w:t>–2</w:t>
      </w:r>
      <w:r w:rsidR="00DD0E5C">
        <w:t>3</w:t>
      </w:r>
      <w:r>
        <w:t xml:space="preserve">, before </w:t>
      </w:r>
      <w:r w:rsidR="00923340" w:rsidDel="00EA63CC">
        <w:t xml:space="preserve">declining </w:t>
      </w:r>
      <w:r w:rsidDel="00EA63CC">
        <w:t xml:space="preserve">to </w:t>
      </w:r>
      <w:r w:rsidR="00BC4B43">
        <w:t>its</w:t>
      </w:r>
      <w:r w:rsidR="00BC4B43" w:rsidDel="00EA63CC">
        <w:t xml:space="preserve"> long</w:t>
      </w:r>
      <w:r w:rsidR="00310A93">
        <w:t xml:space="preserve"> </w:t>
      </w:r>
      <w:r w:rsidR="00BC4B43" w:rsidDel="00EA63CC">
        <w:t>term trend</w:t>
      </w:r>
      <w:r w:rsidDel="00EA63CC">
        <w:t xml:space="preserve"> of </w:t>
      </w:r>
      <w:r w:rsidR="003D5F42">
        <w:t>19,000</w:t>
      </w:r>
      <w:r>
        <w:t xml:space="preserve"> in 202</w:t>
      </w:r>
      <w:r w:rsidR="00DD0E5C">
        <w:t>5</w:t>
      </w:r>
      <w:r>
        <w:t>–2</w:t>
      </w:r>
      <w:r w:rsidR="00DD0E5C">
        <w:t>6</w:t>
      </w:r>
      <w:r>
        <w:t xml:space="preserve">. Over the projection period, Queensland is expected to continue to have the highest interstate migration of any state or territory. </w:t>
      </w:r>
    </w:p>
    <w:p w14:paraId="684C06B3" w14:textId="6713859B" w:rsidR="00131C8A" w:rsidRPr="00926A5E" w:rsidRDefault="00131C8A" w:rsidP="00694846">
      <w:pPr>
        <w:pStyle w:val="ChartMainHeading"/>
      </w:pPr>
      <w:bookmarkStart w:id="141" w:name="_Ref118134288"/>
      <w:r w:rsidRPr="00926A5E">
        <w:t>Population growth and components, Queensland</w:t>
      </w:r>
      <w:bookmarkEnd w:id="141"/>
    </w:p>
    <w:p w14:paraId="4DE8E234" w14:textId="6C48829B" w:rsidR="009203BE" w:rsidRDefault="00C949CD" w:rsidP="002375F0">
      <w:pPr>
        <w:pStyle w:val="ChartGraphic"/>
      </w:pPr>
      <w:r w:rsidRPr="00C949CD">
        <w:t xml:space="preserve"> </w:t>
      </w:r>
      <w:r w:rsidR="00C16DBB" w:rsidRPr="00C16DBB">
        <w:rPr>
          <w:noProof/>
        </w:rPr>
        <w:drawing>
          <wp:inline distT="0" distB="0" distL="0" distR="0" wp14:anchorId="5B6B5431" wp14:editId="164465D9">
            <wp:extent cx="5581650" cy="2886075"/>
            <wp:effectExtent l="0" t="0" r="0" b="0"/>
            <wp:docPr id="44" name="Picture 44" descr="This chart shows population growth by component for Queensland. This includes natural increase, net overseas migration and net interstate migration. Intercensal difference is also shown. Natural increase, net overseas migration and net interstate migration all contribute to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chart shows population growth by component for Queensland. This includes natural increase, net overseas migration and net interstate migration. Intercensal difference is also shown. Natural increase, net overseas migration and net interstate migration all contribute to population growth over the projection perio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5C914D8C" w14:textId="1B2CAD73" w:rsidR="00131C8A" w:rsidRPr="00694846" w:rsidRDefault="00131C8A" w:rsidP="00F50F07">
      <w:pPr>
        <w:pStyle w:val="Source"/>
        <w:rPr>
          <w:rStyle w:val="Hyperlink"/>
          <w:sz w:val="20"/>
        </w:rPr>
      </w:pPr>
      <w:r w:rsidRPr="0080495D">
        <w:t xml:space="preserve">Source: </w:t>
      </w:r>
      <w:r w:rsidR="00C6176C">
        <w:tab/>
      </w:r>
      <w:r w:rsidR="00DD1DCF">
        <w:rPr>
          <w:noProof/>
        </w:rPr>
        <w:t>ABS</w:t>
      </w:r>
      <w:r>
        <w:rPr>
          <w:noProof/>
        </w:rPr>
        <w:t xml:space="preserve">, National, state and territory </w:t>
      </w:r>
      <w:r w:rsidRPr="00C6176C">
        <w:t>population</w:t>
      </w:r>
      <w:r>
        <w:rPr>
          <w:noProof/>
        </w:rPr>
        <w:t xml:space="preserve">, March </w:t>
      </w:r>
      <w:r w:rsidR="007E08F1">
        <w:rPr>
          <w:noProof/>
        </w:rPr>
        <w:t>2023 and</w:t>
      </w:r>
      <w:r w:rsidRPr="0080495D">
        <w:t xml:space="preserve"> Centre for Population projections.</w:t>
      </w:r>
    </w:p>
    <w:p w14:paraId="4D78D6CB" w14:textId="36731FD8" w:rsidR="007D1B30" w:rsidRDefault="00BB4BD2" w:rsidP="00926A5E">
      <w:r w:rsidDel="00EA63CC">
        <w:t xml:space="preserve">The </w:t>
      </w:r>
      <w:r w:rsidR="007D1B30">
        <w:t>population</w:t>
      </w:r>
      <w:r w:rsidDel="00EA63CC">
        <w:t xml:space="preserve"> of </w:t>
      </w:r>
      <w:r w:rsidRPr="00694846" w:rsidDel="00EA63CC">
        <w:rPr>
          <w:rStyle w:val="Strong"/>
        </w:rPr>
        <w:t xml:space="preserve">Greater </w:t>
      </w:r>
      <w:r w:rsidR="007D1B30" w:rsidRPr="00694846">
        <w:rPr>
          <w:rStyle w:val="Strong"/>
        </w:rPr>
        <w:t>Brisbane</w:t>
      </w:r>
      <w:r w:rsidR="007D1B30" w:rsidRPr="00F659B0">
        <w:rPr>
          <w:b/>
        </w:rPr>
        <w:t xml:space="preserve"> </w:t>
      </w:r>
      <w:r w:rsidR="007D1B30">
        <w:t xml:space="preserve">was </w:t>
      </w:r>
      <w:r w:rsidR="00CE48C5">
        <w:t>2.6</w:t>
      </w:r>
      <w:r w:rsidR="007D1B30">
        <w:t xml:space="preserve"> million</w:t>
      </w:r>
      <w:r w:rsidR="007D1B30" w:rsidDel="00EA63CC">
        <w:t xml:space="preserve"> on 30 June 202</w:t>
      </w:r>
      <w:r w:rsidR="00694FB3" w:rsidDel="00EA63CC">
        <w:t>2</w:t>
      </w:r>
      <w:r w:rsidR="007D1B30">
        <w:t xml:space="preserve">, representing </w:t>
      </w:r>
      <w:r w:rsidR="00D63089">
        <w:t>49</w:t>
      </w:r>
      <w:r w:rsidR="001F3B6F">
        <w:t> per cent</w:t>
      </w:r>
      <w:r w:rsidR="007D1B30">
        <w:t xml:space="preserve"> of Queensland</w:t>
      </w:r>
      <w:r w:rsidR="004B14AB">
        <w:t>’</w:t>
      </w:r>
      <w:r w:rsidR="007D1B30">
        <w:t xml:space="preserve">s population. Population growth in Brisbane </w:t>
      </w:r>
      <w:r w:rsidR="00D11EB1">
        <w:t>was</w:t>
      </w:r>
      <w:r w:rsidR="00C6245F">
        <w:t xml:space="preserve"> </w:t>
      </w:r>
      <w:r w:rsidR="00D11EB1">
        <w:t>2.</w:t>
      </w:r>
      <w:r w:rsidR="006C55D2">
        <w:t>2</w:t>
      </w:r>
      <w:r w:rsidR="001F3B6F">
        <w:t> per cent</w:t>
      </w:r>
      <w:r w:rsidR="00D11EB1">
        <w:t xml:space="preserve"> </w:t>
      </w:r>
      <w:r w:rsidR="00C6245F">
        <w:t>in 2021</w:t>
      </w:r>
      <w:r w:rsidR="00E54F9C" w:rsidDel="00EA63CC">
        <w:t>–</w:t>
      </w:r>
      <w:r w:rsidR="00C6245F">
        <w:t>22 and</w:t>
      </w:r>
      <w:r w:rsidR="007D1B30">
        <w:t xml:space="preserve"> is forecast to </w:t>
      </w:r>
      <w:r w:rsidR="005437F6">
        <w:t>increase</w:t>
      </w:r>
      <w:r w:rsidR="007D1B30">
        <w:t xml:space="preserve"> to </w:t>
      </w:r>
      <w:r w:rsidR="005437F6">
        <w:t>3</w:t>
      </w:r>
      <w:r w:rsidR="009F1C43" w:rsidDel="00EA63CC">
        <w:t>.0</w:t>
      </w:r>
      <w:r w:rsidR="001F3B6F">
        <w:t> per cent</w:t>
      </w:r>
      <w:r w:rsidR="007D1B30">
        <w:t xml:space="preserve"> by 2022–23, slowing to </w:t>
      </w:r>
      <w:r w:rsidR="00774EAD">
        <w:t>1.3</w:t>
      </w:r>
      <w:r w:rsidR="001F3B6F">
        <w:t> per cent</w:t>
      </w:r>
      <w:r w:rsidR="007D1B30">
        <w:t xml:space="preserve"> by 203</w:t>
      </w:r>
      <w:r w:rsidR="00C6245F">
        <w:t>3</w:t>
      </w:r>
      <w:r w:rsidR="007D1B30">
        <w:t>–3</w:t>
      </w:r>
      <w:r w:rsidR="00C6245F">
        <w:t>4</w:t>
      </w:r>
      <w:r w:rsidR="007D1B30">
        <w:t xml:space="preserve">. </w:t>
      </w:r>
      <w:r w:rsidR="00C53EDC">
        <w:t>Greater Brisbane</w:t>
      </w:r>
      <w:r w:rsidR="00654B62">
        <w:t xml:space="preserve"> is projected to continue attracting the highest level of </w:t>
      </w:r>
      <w:r w:rsidR="00393C5F">
        <w:t xml:space="preserve">internal </w:t>
      </w:r>
      <w:r w:rsidR="00654B62">
        <w:t xml:space="preserve">migrants </w:t>
      </w:r>
      <w:r w:rsidR="004D4070">
        <w:t xml:space="preserve">of any </w:t>
      </w:r>
      <w:r w:rsidR="00654B62">
        <w:t>capital cit</w:t>
      </w:r>
      <w:r w:rsidR="004D4070">
        <w:t>y</w:t>
      </w:r>
      <w:r w:rsidR="00C30F9D">
        <w:t>,</w:t>
      </w:r>
      <w:r w:rsidR="00C30F9D" w:rsidDel="00EA63CC">
        <w:t xml:space="preserve"> but </w:t>
      </w:r>
      <w:r w:rsidR="00F937EF" w:rsidDel="00EA63CC">
        <w:t xml:space="preserve">net overseas migration </w:t>
      </w:r>
      <w:r w:rsidR="00D33883">
        <w:t>is nonetheless expected to</w:t>
      </w:r>
      <w:r w:rsidR="00F937EF">
        <w:t xml:space="preserve"> be </w:t>
      </w:r>
      <w:r w:rsidR="00C30F9D" w:rsidDel="00EA63CC">
        <w:t xml:space="preserve">the </w:t>
      </w:r>
      <w:r w:rsidR="38B2DDBA">
        <w:t xml:space="preserve">largest source </w:t>
      </w:r>
      <w:r w:rsidR="00C30F9D">
        <w:t xml:space="preserve">of </w:t>
      </w:r>
      <w:r w:rsidR="004D4070">
        <w:t xml:space="preserve">its </w:t>
      </w:r>
      <w:r w:rsidR="00F937EF">
        <w:t>population</w:t>
      </w:r>
      <w:r w:rsidR="004D4070">
        <w:t xml:space="preserve"> </w:t>
      </w:r>
      <w:r w:rsidR="00C30F9D" w:rsidDel="00EA63CC">
        <w:t>growth</w:t>
      </w:r>
      <w:r w:rsidR="00654B62" w:rsidDel="00EA63CC">
        <w:t>.</w:t>
      </w:r>
      <w:r w:rsidR="007D1B30">
        <w:t xml:space="preserve"> Brisbane</w:t>
      </w:r>
      <w:r w:rsidR="004B14AB">
        <w:t>’</w:t>
      </w:r>
      <w:r w:rsidR="007D1B30">
        <w:t xml:space="preserve">s population is projected to be </w:t>
      </w:r>
      <w:r w:rsidR="00AF29A9">
        <w:t>3.2</w:t>
      </w:r>
      <w:r w:rsidR="001D610E" w:rsidDel="00EA63CC">
        <w:t> </w:t>
      </w:r>
      <w:r w:rsidR="007D1B30">
        <w:t>million in 203</w:t>
      </w:r>
      <w:r w:rsidR="00C6245F">
        <w:t>3</w:t>
      </w:r>
      <w:r w:rsidR="00B4660A">
        <w:t>–</w:t>
      </w:r>
      <w:r w:rsidR="007D1B30">
        <w:t>3</w:t>
      </w:r>
      <w:r w:rsidR="00C6245F">
        <w:t>4</w:t>
      </w:r>
      <w:r w:rsidR="007D1B30">
        <w:t xml:space="preserve">. </w:t>
      </w:r>
      <w:r w:rsidR="00174FBC">
        <w:t>The population of Brisbane is projected to overtake to the population of rest of Queensland in 2027</w:t>
      </w:r>
      <w:r w:rsidR="00B4660A">
        <w:t>–</w:t>
      </w:r>
      <w:r w:rsidR="00174FBC">
        <w:t>28</w:t>
      </w:r>
      <w:r w:rsidR="005C4136">
        <w:t>, which</w:t>
      </w:r>
      <w:r w:rsidR="005B4F6E">
        <w:t xml:space="preserve"> would be the first time </w:t>
      </w:r>
      <w:r w:rsidR="00F601CD">
        <w:t>since 1978</w:t>
      </w:r>
      <w:r w:rsidR="005B4F6E">
        <w:t xml:space="preserve"> </w:t>
      </w:r>
      <w:r w:rsidR="002C66C9">
        <w:t xml:space="preserve">that Greater Brisbane </w:t>
      </w:r>
      <w:r w:rsidR="00E70E07">
        <w:t xml:space="preserve">has </w:t>
      </w:r>
      <w:r w:rsidR="002C66C9">
        <w:t>had a larger population than the rest of Queensland</w:t>
      </w:r>
      <w:r w:rsidR="00AA355A">
        <w:t>.</w:t>
      </w:r>
    </w:p>
    <w:p w14:paraId="2FD5029D" w14:textId="1A9B189A" w:rsidR="007D1B30" w:rsidRDefault="007D1B30" w:rsidP="00926A5E">
      <w:r>
        <w:t xml:space="preserve">The population of the </w:t>
      </w:r>
      <w:r w:rsidRPr="001F764F">
        <w:rPr>
          <w:b/>
        </w:rPr>
        <w:t>rest of Queensland</w:t>
      </w:r>
      <w:r>
        <w:t xml:space="preserve"> on 30 June 202</w:t>
      </w:r>
      <w:r w:rsidR="009908FD">
        <w:t>2</w:t>
      </w:r>
      <w:r>
        <w:t xml:space="preserve"> was </w:t>
      </w:r>
      <w:r w:rsidR="00983BEE">
        <w:t>2.7</w:t>
      </w:r>
      <w:r>
        <w:t xml:space="preserve"> million. Strong flows of internal migration contributed to relatively strong population growth of </w:t>
      </w:r>
      <w:r w:rsidR="00FB4BE5">
        <w:t>1.8</w:t>
      </w:r>
      <w:r w:rsidR="001F3B6F">
        <w:t> per cent</w:t>
      </w:r>
      <w:r>
        <w:t xml:space="preserve"> in 202</w:t>
      </w:r>
      <w:r w:rsidR="00616EB2">
        <w:t>1</w:t>
      </w:r>
      <w:r>
        <w:t>–2</w:t>
      </w:r>
      <w:r w:rsidR="00616EB2">
        <w:t>2</w:t>
      </w:r>
      <w:r>
        <w:t xml:space="preserve">. </w:t>
      </w:r>
      <w:r w:rsidR="00477F43">
        <w:t>The r</w:t>
      </w:r>
      <w:r w:rsidR="001E399E">
        <w:t xml:space="preserve">est of Queensland will be the strongest </w:t>
      </w:r>
      <w:r w:rsidR="00B86CA5">
        <w:t>growing rest</w:t>
      </w:r>
      <w:r w:rsidR="004B14AB">
        <w:noBreakHyphen/>
      </w:r>
      <w:r w:rsidR="00B86CA5">
        <w:t>of</w:t>
      </w:r>
      <w:r w:rsidR="004B14AB">
        <w:noBreakHyphen/>
      </w:r>
      <w:r w:rsidR="00B86CA5">
        <w:t>state area over the projection period</w:t>
      </w:r>
      <w:r w:rsidR="00A247A9">
        <w:t>. As with all areas</w:t>
      </w:r>
      <w:r w:rsidR="00F54D4E">
        <w:t>,</w:t>
      </w:r>
      <w:r w:rsidR="00B86CA5">
        <w:t xml:space="preserve"> strong</w:t>
      </w:r>
      <w:r w:rsidR="00F54D4E">
        <w:t xml:space="preserve"> overseas migration </w:t>
      </w:r>
      <w:r w:rsidR="008B4E42">
        <w:t xml:space="preserve">is </w:t>
      </w:r>
      <w:r w:rsidR="00F54D4E">
        <w:t xml:space="preserve">projected to be </w:t>
      </w:r>
      <w:r w:rsidR="00DA0A6D">
        <w:t>a</w:t>
      </w:r>
      <w:r w:rsidR="00F54D4E">
        <w:t xml:space="preserve"> ma</w:t>
      </w:r>
      <w:r w:rsidR="00DA0A6D">
        <w:t>jor</w:t>
      </w:r>
      <w:r w:rsidR="00F54D4E">
        <w:t xml:space="preserve"> driver of growth</w:t>
      </w:r>
      <w:r w:rsidR="000545EB">
        <w:t>.</w:t>
      </w:r>
      <w:r w:rsidR="00DA0A6D">
        <w:t xml:space="preserve"> </w:t>
      </w:r>
      <w:r w:rsidR="000545EB">
        <w:t>H</w:t>
      </w:r>
      <w:r w:rsidR="00DA0A6D">
        <w:t>owever</w:t>
      </w:r>
      <w:r w:rsidR="000545EB">
        <w:t>,</w:t>
      </w:r>
      <w:r w:rsidR="00DA0A6D">
        <w:t xml:space="preserve"> u</w:t>
      </w:r>
      <w:r w:rsidR="00AA0E28">
        <w:t>nlike many other rest</w:t>
      </w:r>
      <w:r w:rsidR="004B14AB">
        <w:noBreakHyphen/>
      </w:r>
      <w:r w:rsidR="00AA0E28">
        <w:t>of</w:t>
      </w:r>
      <w:r w:rsidR="004B14AB">
        <w:noBreakHyphen/>
      </w:r>
      <w:r w:rsidR="00AA0E28">
        <w:t>state areas, n</w:t>
      </w:r>
      <w:r w:rsidR="008F14DC">
        <w:t xml:space="preserve">atural increase </w:t>
      </w:r>
      <w:r w:rsidR="008F14DC">
        <w:lastRenderedPageBreak/>
        <w:t xml:space="preserve">and internal migration will </w:t>
      </w:r>
      <w:r w:rsidR="00AA0E28">
        <w:t xml:space="preserve">also </w:t>
      </w:r>
      <w:r w:rsidR="00F14111">
        <w:t xml:space="preserve">add </w:t>
      </w:r>
      <w:r w:rsidR="00AA0E28">
        <w:t>strongly</w:t>
      </w:r>
      <w:r w:rsidR="00F14111">
        <w:t xml:space="preserve"> to population growth in the rest of Queensland. </w:t>
      </w:r>
      <w:r>
        <w:t xml:space="preserve">The population of the rest of Queensland is projected to be </w:t>
      </w:r>
      <w:r w:rsidR="00C225EB">
        <w:t>3.</w:t>
      </w:r>
      <w:r w:rsidR="00D36C3E">
        <w:t>1</w:t>
      </w:r>
      <w:r>
        <w:t xml:space="preserve"> million in 203</w:t>
      </w:r>
      <w:r w:rsidR="00A05AAD">
        <w:t>3</w:t>
      </w:r>
      <w:r>
        <w:t>–3</w:t>
      </w:r>
      <w:r w:rsidR="00A05AAD">
        <w:t>4</w:t>
      </w:r>
      <w:r>
        <w:t xml:space="preserve"> and to be just below half of the state</w:t>
      </w:r>
      <w:r w:rsidR="004B14AB">
        <w:t>’</w:t>
      </w:r>
      <w:r>
        <w:t>s population.</w:t>
      </w:r>
    </w:p>
    <w:p w14:paraId="089CEAB9" w14:textId="76ECCAB5" w:rsidR="00AB485B" w:rsidRPr="0080495D" w:rsidRDefault="00AB485B" w:rsidP="00CD4338">
      <w:pPr>
        <w:pStyle w:val="ChartMainHeading"/>
      </w:pPr>
      <w:r w:rsidRPr="0080495D">
        <w:t>Population growth in Queensland, Greater Brisbane and the Rest of Queensland</w:t>
      </w:r>
    </w:p>
    <w:p w14:paraId="611223AD" w14:textId="0E97C345" w:rsidR="00B56BDD" w:rsidRPr="0080495D" w:rsidRDefault="00543D1A" w:rsidP="00C6176C">
      <w:pPr>
        <w:pStyle w:val="ChartGraphic"/>
      </w:pPr>
      <w:r w:rsidRPr="00543D1A">
        <w:rPr>
          <w:noProof/>
        </w:rPr>
        <w:drawing>
          <wp:inline distT="0" distB="0" distL="0" distR="0" wp14:anchorId="0D95B538" wp14:editId="2FC23051">
            <wp:extent cx="5581650" cy="2885440"/>
            <wp:effectExtent l="0" t="0" r="0" b="0"/>
            <wp:docPr id="30" name="Picture 30" descr="This chart shows population growth for Brisbane, Queensland and the rest of Queensland. Population growth in all three areas declined in 2019-20 and 2020-21. Population growth is forecast to recover in all 3 areas and reach a peak in 2022-23, before declining in 2023-24 and slowly declining from there until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chart shows population growth for Brisbane, Queensland and the rest of Queensland. Population growth in all three areas declined in 2019-20 and 2020-21. Population growth is forecast to recover in all 3 areas and reach a peak in 2022-23, before declining in 2023-24 and slowly declining from there until 2033-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885440"/>
                    </a:xfrm>
                    <a:prstGeom prst="rect">
                      <a:avLst/>
                    </a:prstGeom>
                    <a:noFill/>
                    <a:ln>
                      <a:noFill/>
                    </a:ln>
                  </pic:spPr>
                </pic:pic>
              </a:graphicData>
            </a:graphic>
          </wp:inline>
        </w:drawing>
      </w:r>
    </w:p>
    <w:p w14:paraId="29082171" w14:textId="3067F7AB" w:rsidR="00AB485B" w:rsidRPr="00C6176C" w:rsidRDefault="00AB485B" w:rsidP="00F50F07">
      <w:pPr>
        <w:pStyle w:val="Source"/>
      </w:pPr>
      <w:r w:rsidRPr="00C6176C">
        <w:t xml:space="preserve">Source: </w:t>
      </w:r>
      <w:r w:rsidR="00C6176C">
        <w:tab/>
      </w:r>
      <w:r w:rsidR="00DD1DCF" w:rsidRPr="00C6176C">
        <w:t>ABS</w:t>
      </w:r>
      <w:r w:rsidRPr="00C6176C">
        <w:t>, Regional population</w:t>
      </w:r>
      <w:r w:rsidR="003A0185" w:rsidRPr="00C6176C">
        <w:t xml:space="preserve"> 2021–22</w:t>
      </w:r>
      <w:r w:rsidR="00994AF6">
        <w:t>,</w:t>
      </w:r>
      <w:r w:rsidRPr="00C6176C">
        <w:t xml:space="preserve"> </w:t>
      </w:r>
      <w:r w:rsidR="00DD1DCF" w:rsidRPr="00C6176C">
        <w:t>ABS</w:t>
      </w:r>
      <w:r w:rsidRPr="00C6176C">
        <w:t>, National, state and territory population, March 202</w:t>
      </w:r>
      <w:r w:rsidR="000D638D" w:rsidRPr="00C6176C">
        <w:t>3</w:t>
      </w:r>
      <w:r w:rsidR="00994AF6">
        <w:t>,</w:t>
      </w:r>
      <w:r w:rsidRPr="00C6176C">
        <w:t xml:space="preserve"> and Centre for Population projections.</w:t>
      </w:r>
    </w:p>
    <w:p w14:paraId="6268B9FA" w14:textId="6E716A01" w:rsidR="00DD4AAA" w:rsidRDefault="00DD4AAA">
      <w:pPr>
        <w:spacing w:before="0" w:after="160" w:line="259" w:lineRule="auto"/>
      </w:pPr>
      <w:r>
        <w:br w:type="page"/>
      </w:r>
    </w:p>
    <w:p w14:paraId="3E7C3068" w14:textId="77777777" w:rsidR="0058534A" w:rsidRPr="00926A5E" w:rsidRDefault="0058534A" w:rsidP="00D638F1">
      <w:pPr>
        <w:pStyle w:val="TableMainHeading"/>
      </w:pPr>
      <w:r w:rsidRPr="00926A5E">
        <w:lastRenderedPageBreak/>
        <w:t>Population projections, Queensland</w:t>
      </w:r>
    </w:p>
    <w:tbl>
      <w:tblPr>
        <w:tblStyle w:val="CPOPTable"/>
        <w:tblW w:w="0" w:type="auto"/>
        <w:tblLook w:val="04A0" w:firstRow="1" w:lastRow="0" w:firstColumn="1" w:lastColumn="0" w:noHBand="0" w:noVBand="1"/>
      </w:tblPr>
      <w:tblGrid>
        <w:gridCol w:w="3096"/>
        <w:gridCol w:w="996"/>
        <w:gridCol w:w="996"/>
        <w:gridCol w:w="996"/>
        <w:gridCol w:w="996"/>
        <w:gridCol w:w="996"/>
        <w:gridCol w:w="996"/>
      </w:tblGrid>
      <w:tr w:rsidR="0058534A" w:rsidRPr="0080495D" w14:paraId="2400B674" w14:textId="77777777">
        <w:trPr>
          <w:cnfStyle w:val="100000000000" w:firstRow="1" w:lastRow="0" w:firstColumn="0" w:lastColumn="0" w:oddVBand="0" w:evenVBand="0" w:oddHBand="0" w:evenHBand="0" w:firstRowFirstColumn="0" w:firstRowLastColumn="0" w:lastRowFirstColumn="0" w:lastRowLastColumn="0"/>
        </w:trPr>
        <w:tc>
          <w:tcPr>
            <w:tcW w:w="3096" w:type="dxa"/>
          </w:tcPr>
          <w:p w14:paraId="3D59E384" w14:textId="77777777" w:rsidR="0058534A" w:rsidRPr="0080495D" w:rsidRDefault="0058534A" w:rsidP="0058534A">
            <w:pPr>
              <w:spacing w:after="0"/>
            </w:pPr>
          </w:p>
        </w:tc>
        <w:tc>
          <w:tcPr>
            <w:tcW w:w="996" w:type="dxa"/>
          </w:tcPr>
          <w:p w14:paraId="3C7A21B6" w14:textId="5C46F39B" w:rsidR="0058534A" w:rsidRPr="001251CA" w:rsidRDefault="0058534A" w:rsidP="004C79D2">
            <w:pPr>
              <w:pStyle w:val="TableColumnHeadingRight"/>
            </w:pPr>
            <w:r w:rsidRPr="001251CA">
              <w:t>2021–22</w:t>
            </w:r>
          </w:p>
        </w:tc>
        <w:tc>
          <w:tcPr>
            <w:tcW w:w="996" w:type="dxa"/>
            <w:shd w:val="clear" w:color="auto" w:fill="D2EDFF" w:themeFill="accent1" w:themeFillTint="1A"/>
          </w:tcPr>
          <w:p w14:paraId="346C0607" w14:textId="55F37C6A" w:rsidR="0058534A" w:rsidRPr="001251CA" w:rsidRDefault="0058534A" w:rsidP="004C79D2">
            <w:pPr>
              <w:pStyle w:val="TableColumnHeadingRight"/>
            </w:pPr>
            <w:r w:rsidRPr="001251CA">
              <w:t>2022–23</w:t>
            </w:r>
          </w:p>
        </w:tc>
        <w:tc>
          <w:tcPr>
            <w:tcW w:w="996" w:type="dxa"/>
          </w:tcPr>
          <w:p w14:paraId="2F301C40" w14:textId="54734527" w:rsidR="0058534A" w:rsidRPr="001251CA" w:rsidRDefault="0058534A" w:rsidP="004C79D2">
            <w:pPr>
              <w:pStyle w:val="TableColumnHeadingRight"/>
            </w:pPr>
            <w:r w:rsidRPr="001251CA">
              <w:t>2023–24</w:t>
            </w:r>
          </w:p>
        </w:tc>
        <w:tc>
          <w:tcPr>
            <w:tcW w:w="996" w:type="dxa"/>
          </w:tcPr>
          <w:p w14:paraId="63B897B1" w14:textId="67B61C55" w:rsidR="0058534A" w:rsidRPr="001251CA" w:rsidRDefault="0058534A" w:rsidP="004C79D2">
            <w:pPr>
              <w:pStyle w:val="TableColumnHeadingRight"/>
            </w:pPr>
            <w:r w:rsidRPr="001251CA">
              <w:t>2024–25</w:t>
            </w:r>
          </w:p>
        </w:tc>
        <w:tc>
          <w:tcPr>
            <w:tcW w:w="996" w:type="dxa"/>
          </w:tcPr>
          <w:p w14:paraId="3BA05657" w14:textId="05F4A5A9" w:rsidR="0058534A" w:rsidRPr="001251CA" w:rsidRDefault="0058534A" w:rsidP="004C79D2">
            <w:pPr>
              <w:pStyle w:val="TableColumnHeadingRight"/>
            </w:pPr>
            <w:r w:rsidRPr="001251CA">
              <w:t>2025–26</w:t>
            </w:r>
          </w:p>
        </w:tc>
        <w:tc>
          <w:tcPr>
            <w:tcW w:w="996" w:type="dxa"/>
          </w:tcPr>
          <w:p w14:paraId="111D16CF" w14:textId="1D9FF370" w:rsidR="0058534A" w:rsidRPr="001251CA" w:rsidRDefault="0058534A" w:rsidP="004C79D2">
            <w:pPr>
              <w:pStyle w:val="TableColumnHeadingRight"/>
            </w:pPr>
            <w:r w:rsidRPr="001251CA">
              <w:t>2033–34</w:t>
            </w:r>
          </w:p>
        </w:tc>
      </w:tr>
      <w:tr w:rsidR="00154117" w:rsidRPr="0080495D" w14:paraId="4D34FBF3" w14:textId="77777777" w:rsidTr="00D638F1">
        <w:tc>
          <w:tcPr>
            <w:tcW w:w="0" w:type="dxa"/>
          </w:tcPr>
          <w:p w14:paraId="4A643CE8" w14:textId="0354EF85" w:rsidR="0058534A" w:rsidRPr="00F72F18" w:rsidRDefault="0058534A" w:rsidP="004C79D2">
            <w:pPr>
              <w:pStyle w:val="TableColumnHeadingLeft"/>
            </w:pPr>
            <w:r w:rsidRPr="00F72F18">
              <w:t>Population (</w:t>
            </w:r>
            <w:r w:rsidR="004B14AB" w:rsidRPr="00F72F18">
              <w:t>‘</w:t>
            </w:r>
            <w:r w:rsidRPr="00F72F18">
              <w:t>000)</w:t>
            </w:r>
          </w:p>
        </w:tc>
        <w:tc>
          <w:tcPr>
            <w:tcW w:w="0" w:type="dxa"/>
            <w:vAlign w:val="center"/>
          </w:tcPr>
          <w:p w14:paraId="0281760A" w14:textId="77777777" w:rsidR="0058534A" w:rsidRPr="00E20618" w:rsidRDefault="0058534A" w:rsidP="00D638F1">
            <w:pPr>
              <w:pStyle w:val="TableTextRight"/>
            </w:pPr>
          </w:p>
        </w:tc>
        <w:tc>
          <w:tcPr>
            <w:tcW w:w="0" w:type="dxa"/>
            <w:shd w:val="clear" w:color="auto" w:fill="D2EDFF" w:themeFill="accent1" w:themeFillTint="1A"/>
            <w:vAlign w:val="center"/>
          </w:tcPr>
          <w:p w14:paraId="3B9A045F" w14:textId="7B184774" w:rsidR="0058534A" w:rsidRPr="00E20618" w:rsidRDefault="00E06C28" w:rsidP="00D638F1">
            <w:pPr>
              <w:pStyle w:val="TableTextRight"/>
            </w:pPr>
            <w:r w:rsidRPr="00F67DB6">
              <w:rPr>
                <w:rFonts w:ascii="Calibri" w:hAnsi="Calibri"/>
              </w:rPr>
              <w:t> </w:t>
            </w:r>
          </w:p>
        </w:tc>
        <w:tc>
          <w:tcPr>
            <w:tcW w:w="0" w:type="dxa"/>
            <w:vAlign w:val="center"/>
          </w:tcPr>
          <w:p w14:paraId="1EA686D5" w14:textId="77777777" w:rsidR="0058534A" w:rsidRPr="00E20618" w:rsidRDefault="0058534A" w:rsidP="00D638F1">
            <w:pPr>
              <w:pStyle w:val="TableTextRight"/>
            </w:pPr>
          </w:p>
        </w:tc>
        <w:tc>
          <w:tcPr>
            <w:tcW w:w="0" w:type="dxa"/>
            <w:vAlign w:val="center"/>
          </w:tcPr>
          <w:p w14:paraId="758F6D72" w14:textId="77777777" w:rsidR="0058534A" w:rsidRPr="00E20618" w:rsidRDefault="0058534A" w:rsidP="00D638F1">
            <w:pPr>
              <w:pStyle w:val="TableTextRight"/>
            </w:pPr>
          </w:p>
        </w:tc>
        <w:tc>
          <w:tcPr>
            <w:tcW w:w="0" w:type="dxa"/>
            <w:tcBorders>
              <w:right w:val="single" w:sz="4" w:space="0" w:color="auto"/>
            </w:tcBorders>
            <w:vAlign w:val="center"/>
          </w:tcPr>
          <w:p w14:paraId="1A66A6FA" w14:textId="6D7A3A01" w:rsidR="0058534A" w:rsidRPr="00E20618" w:rsidRDefault="00E06C28" w:rsidP="00D638F1">
            <w:pPr>
              <w:pStyle w:val="TableTextRight"/>
            </w:pPr>
            <w:r w:rsidRPr="00F67DB6">
              <w:rPr>
                <w:rFonts w:ascii="Calibri" w:hAnsi="Calibri"/>
              </w:rPr>
              <w:t> </w:t>
            </w:r>
          </w:p>
        </w:tc>
        <w:tc>
          <w:tcPr>
            <w:tcW w:w="0" w:type="dxa"/>
            <w:tcBorders>
              <w:top w:val="single" w:sz="4" w:space="0" w:color="000000" w:themeColor="text1"/>
              <w:left w:val="single" w:sz="4" w:space="0" w:color="auto"/>
              <w:bottom w:val="nil"/>
            </w:tcBorders>
            <w:vAlign w:val="center"/>
          </w:tcPr>
          <w:p w14:paraId="6F208255" w14:textId="77777777" w:rsidR="0058534A" w:rsidRPr="00E20618" w:rsidRDefault="0058534A" w:rsidP="00D638F1">
            <w:pPr>
              <w:pStyle w:val="TableTextRight"/>
            </w:pPr>
          </w:p>
        </w:tc>
      </w:tr>
      <w:tr w:rsidR="00154117" w:rsidRPr="0080495D" w14:paraId="4DB7397D" w14:textId="77777777" w:rsidTr="00D638F1">
        <w:tc>
          <w:tcPr>
            <w:tcW w:w="0" w:type="dxa"/>
          </w:tcPr>
          <w:p w14:paraId="04B289E6" w14:textId="77777777" w:rsidR="0058534A" w:rsidRPr="00F72F18" w:rsidRDefault="0058534A" w:rsidP="004C79D2">
            <w:pPr>
              <w:pStyle w:val="TableTextLeft"/>
            </w:pPr>
            <w:r w:rsidRPr="00F72F18">
              <w:t>Queensland</w:t>
            </w:r>
          </w:p>
        </w:tc>
        <w:tc>
          <w:tcPr>
            <w:tcW w:w="0" w:type="dxa"/>
            <w:tcBorders>
              <w:top w:val="nil"/>
              <w:left w:val="nil"/>
              <w:bottom w:val="nil"/>
              <w:right w:val="nil"/>
            </w:tcBorders>
            <w:vAlign w:val="center"/>
          </w:tcPr>
          <w:p w14:paraId="5060F041" w14:textId="051024CA" w:rsidR="0058534A" w:rsidRPr="00E20618" w:rsidRDefault="00E06C28" w:rsidP="004C79D2">
            <w:pPr>
              <w:pStyle w:val="TableTextRight"/>
              <w:rPr>
                <w:rFonts w:cstheme="minorHAnsi"/>
              </w:rPr>
            </w:pPr>
            <w:r w:rsidRPr="00F67DB6">
              <w:t>5,321</w:t>
            </w:r>
          </w:p>
        </w:tc>
        <w:tc>
          <w:tcPr>
            <w:tcW w:w="0" w:type="dxa"/>
            <w:tcBorders>
              <w:top w:val="nil"/>
              <w:left w:val="nil"/>
              <w:bottom w:val="nil"/>
              <w:right w:val="nil"/>
            </w:tcBorders>
            <w:shd w:val="clear" w:color="auto" w:fill="D2EDFF" w:themeFill="accent1" w:themeFillTint="1A"/>
            <w:vAlign w:val="center"/>
          </w:tcPr>
          <w:p w14:paraId="31EDD431" w14:textId="57600690" w:rsidR="0058534A" w:rsidRPr="00E20618" w:rsidRDefault="00E06C28" w:rsidP="004C79D2">
            <w:pPr>
              <w:pStyle w:val="TableTextRight"/>
              <w:rPr>
                <w:rFonts w:cstheme="minorHAnsi"/>
              </w:rPr>
            </w:pPr>
            <w:r w:rsidRPr="00F67DB6">
              <w:t>5,455</w:t>
            </w:r>
          </w:p>
        </w:tc>
        <w:tc>
          <w:tcPr>
            <w:tcW w:w="0" w:type="dxa"/>
            <w:tcBorders>
              <w:top w:val="nil"/>
              <w:left w:val="nil"/>
              <w:bottom w:val="nil"/>
              <w:right w:val="nil"/>
            </w:tcBorders>
            <w:vAlign w:val="center"/>
          </w:tcPr>
          <w:p w14:paraId="0BF228D5" w14:textId="4AA70E88" w:rsidR="0058534A" w:rsidRPr="00E20618" w:rsidRDefault="00E06C28" w:rsidP="004C79D2">
            <w:pPr>
              <w:pStyle w:val="TableTextRight"/>
              <w:rPr>
                <w:rFonts w:cstheme="minorHAnsi"/>
              </w:rPr>
            </w:pPr>
            <w:r w:rsidRPr="00F67DB6">
              <w:t>5,</w:t>
            </w:r>
            <w:r w:rsidR="00810E6F">
              <w:rPr>
                <w:rFonts w:cs="Calibri"/>
              </w:rPr>
              <w:t>561</w:t>
            </w:r>
          </w:p>
        </w:tc>
        <w:tc>
          <w:tcPr>
            <w:tcW w:w="0" w:type="dxa"/>
            <w:tcBorders>
              <w:top w:val="nil"/>
              <w:left w:val="nil"/>
              <w:bottom w:val="nil"/>
              <w:right w:val="nil"/>
            </w:tcBorders>
            <w:vAlign w:val="center"/>
          </w:tcPr>
          <w:p w14:paraId="64151C5D" w14:textId="05E55645" w:rsidR="0058534A" w:rsidRPr="00E20618" w:rsidRDefault="00E06C28" w:rsidP="004C79D2">
            <w:pPr>
              <w:pStyle w:val="TableTextRight"/>
              <w:rPr>
                <w:rFonts w:cstheme="minorHAnsi"/>
              </w:rPr>
            </w:pPr>
            <w:r w:rsidRPr="00F67DB6">
              <w:t>5,</w:t>
            </w:r>
            <w:r w:rsidR="00810E6F">
              <w:rPr>
                <w:rFonts w:cs="Calibri"/>
              </w:rPr>
              <w:t>646</w:t>
            </w:r>
          </w:p>
        </w:tc>
        <w:tc>
          <w:tcPr>
            <w:tcW w:w="0" w:type="dxa"/>
            <w:tcBorders>
              <w:top w:val="nil"/>
              <w:left w:val="nil"/>
              <w:bottom w:val="nil"/>
              <w:right w:val="single" w:sz="4" w:space="0" w:color="auto"/>
            </w:tcBorders>
            <w:vAlign w:val="center"/>
          </w:tcPr>
          <w:p w14:paraId="18EE0357" w14:textId="4A2B46E5" w:rsidR="0058534A" w:rsidRPr="00E20618" w:rsidRDefault="00E06C28" w:rsidP="004C79D2">
            <w:pPr>
              <w:pStyle w:val="TableTextRight"/>
              <w:rPr>
                <w:rFonts w:cstheme="minorHAnsi"/>
              </w:rPr>
            </w:pPr>
            <w:r w:rsidRPr="00F67DB6">
              <w:t>5,</w:t>
            </w:r>
            <w:r w:rsidR="00810E6F">
              <w:rPr>
                <w:rFonts w:cs="Calibri"/>
              </w:rPr>
              <w:t>727</w:t>
            </w:r>
          </w:p>
        </w:tc>
        <w:tc>
          <w:tcPr>
            <w:tcW w:w="0" w:type="dxa"/>
            <w:tcBorders>
              <w:top w:val="nil"/>
              <w:left w:val="single" w:sz="4" w:space="0" w:color="auto"/>
              <w:bottom w:val="nil"/>
              <w:right w:val="nil"/>
            </w:tcBorders>
            <w:vAlign w:val="center"/>
          </w:tcPr>
          <w:p w14:paraId="7E02D520" w14:textId="794B9103" w:rsidR="0058534A" w:rsidRPr="00E20618" w:rsidRDefault="00E06C28" w:rsidP="004C79D2">
            <w:pPr>
              <w:pStyle w:val="TableTextRight"/>
              <w:rPr>
                <w:rFonts w:cstheme="minorHAnsi"/>
              </w:rPr>
            </w:pPr>
            <w:r w:rsidRPr="00F67DB6">
              <w:t>6,</w:t>
            </w:r>
            <w:r w:rsidR="00810E6F">
              <w:rPr>
                <w:rFonts w:cs="Calibri"/>
              </w:rPr>
              <w:t>330</w:t>
            </w:r>
          </w:p>
        </w:tc>
      </w:tr>
      <w:tr w:rsidR="00154117" w:rsidRPr="0080495D" w14:paraId="39BC40D4" w14:textId="77777777" w:rsidTr="00D638F1">
        <w:tc>
          <w:tcPr>
            <w:tcW w:w="0" w:type="dxa"/>
          </w:tcPr>
          <w:p w14:paraId="09255CD6" w14:textId="77777777" w:rsidR="0058534A" w:rsidRPr="00154117" w:rsidRDefault="0058534A" w:rsidP="004C79D2">
            <w:pPr>
              <w:pStyle w:val="Tabletextleftindent"/>
            </w:pPr>
            <w:r w:rsidRPr="00154117">
              <w:t>Greater Brisbane</w:t>
            </w:r>
          </w:p>
        </w:tc>
        <w:tc>
          <w:tcPr>
            <w:tcW w:w="0" w:type="dxa"/>
            <w:tcBorders>
              <w:top w:val="nil"/>
              <w:left w:val="nil"/>
              <w:bottom w:val="nil"/>
              <w:right w:val="nil"/>
            </w:tcBorders>
            <w:vAlign w:val="center"/>
          </w:tcPr>
          <w:p w14:paraId="79672AD9" w14:textId="22B3788A" w:rsidR="0058534A" w:rsidRPr="00E20618" w:rsidRDefault="00E06C28" w:rsidP="004C79D2">
            <w:pPr>
              <w:pStyle w:val="TableTextRight"/>
              <w:rPr>
                <w:rFonts w:cstheme="minorHAnsi"/>
              </w:rPr>
            </w:pPr>
            <w:r w:rsidRPr="00F67DB6">
              <w:t>2,625</w:t>
            </w:r>
          </w:p>
        </w:tc>
        <w:tc>
          <w:tcPr>
            <w:tcW w:w="0" w:type="dxa"/>
            <w:tcBorders>
              <w:top w:val="nil"/>
              <w:left w:val="nil"/>
              <w:bottom w:val="nil"/>
              <w:right w:val="nil"/>
            </w:tcBorders>
            <w:shd w:val="clear" w:color="auto" w:fill="D2EDFF" w:themeFill="accent1" w:themeFillTint="1A"/>
            <w:vAlign w:val="center"/>
          </w:tcPr>
          <w:p w14:paraId="05E3AE03" w14:textId="5A23FCC1" w:rsidR="0058534A" w:rsidRPr="00E20618" w:rsidRDefault="00E06C28" w:rsidP="004C79D2">
            <w:pPr>
              <w:pStyle w:val="TableTextRight"/>
              <w:rPr>
                <w:rFonts w:cstheme="minorHAnsi"/>
              </w:rPr>
            </w:pPr>
            <w:r w:rsidRPr="00F67DB6">
              <w:t>2,703</w:t>
            </w:r>
          </w:p>
        </w:tc>
        <w:tc>
          <w:tcPr>
            <w:tcW w:w="0" w:type="dxa"/>
            <w:tcBorders>
              <w:top w:val="nil"/>
              <w:left w:val="nil"/>
              <w:bottom w:val="nil"/>
              <w:right w:val="nil"/>
            </w:tcBorders>
            <w:vAlign w:val="center"/>
          </w:tcPr>
          <w:p w14:paraId="0A976137" w14:textId="6307076A" w:rsidR="0058534A" w:rsidRPr="00E20618" w:rsidRDefault="00E06C28" w:rsidP="004C79D2">
            <w:pPr>
              <w:pStyle w:val="TableTextRight"/>
              <w:rPr>
                <w:rFonts w:cstheme="minorHAnsi"/>
              </w:rPr>
            </w:pPr>
            <w:r w:rsidRPr="00F67DB6">
              <w:t>2,</w:t>
            </w:r>
            <w:r w:rsidR="00810E6F">
              <w:rPr>
                <w:rFonts w:cs="Calibri"/>
              </w:rPr>
              <w:t>764</w:t>
            </w:r>
          </w:p>
        </w:tc>
        <w:tc>
          <w:tcPr>
            <w:tcW w:w="0" w:type="dxa"/>
            <w:tcBorders>
              <w:top w:val="nil"/>
              <w:left w:val="nil"/>
              <w:bottom w:val="nil"/>
              <w:right w:val="nil"/>
            </w:tcBorders>
            <w:vAlign w:val="center"/>
          </w:tcPr>
          <w:p w14:paraId="6C793054" w14:textId="1FB459EE" w:rsidR="0058534A" w:rsidRPr="00E20618" w:rsidRDefault="00E06C28" w:rsidP="004C79D2">
            <w:pPr>
              <w:pStyle w:val="TableTextRight"/>
              <w:rPr>
                <w:rFonts w:cstheme="minorHAnsi"/>
              </w:rPr>
            </w:pPr>
            <w:r w:rsidRPr="00F67DB6">
              <w:t>2,</w:t>
            </w:r>
            <w:r w:rsidR="00810E6F">
              <w:rPr>
                <w:rFonts w:cs="Calibri"/>
              </w:rPr>
              <w:t>811</w:t>
            </w:r>
          </w:p>
        </w:tc>
        <w:tc>
          <w:tcPr>
            <w:tcW w:w="0" w:type="dxa"/>
            <w:tcBorders>
              <w:top w:val="nil"/>
              <w:left w:val="nil"/>
              <w:bottom w:val="nil"/>
              <w:right w:val="single" w:sz="4" w:space="0" w:color="auto"/>
            </w:tcBorders>
            <w:vAlign w:val="center"/>
          </w:tcPr>
          <w:p w14:paraId="003FECF2" w14:textId="64EAD2EE" w:rsidR="0058534A" w:rsidRPr="00E20618" w:rsidRDefault="00E06C28" w:rsidP="004C79D2">
            <w:pPr>
              <w:pStyle w:val="TableTextRight"/>
              <w:rPr>
                <w:rFonts w:cstheme="minorHAnsi"/>
              </w:rPr>
            </w:pPr>
            <w:r w:rsidRPr="00F67DB6">
              <w:t>2,</w:t>
            </w:r>
            <w:r w:rsidR="00810E6F">
              <w:rPr>
                <w:rFonts w:cs="Calibri"/>
              </w:rPr>
              <w:t>857</w:t>
            </w:r>
          </w:p>
        </w:tc>
        <w:tc>
          <w:tcPr>
            <w:tcW w:w="0" w:type="dxa"/>
            <w:tcBorders>
              <w:top w:val="nil"/>
              <w:left w:val="single" w:sz="4" w:space="0" w:color="auto"/>
              <w:bottom w:val="nil"/>
              <w:right w:val="nil"/>
            </w:tcBorders>
            <w:vAlign w:val="center"/>
          </w:tcPr>
          <w:p w14:paraId="2F71BF14" w14:textId="1FAADBA4" w:rsidR="0058534A" w:rsidRPr="00E20618" w:rsidRDefault="00E06C28" w:rsidP="004C79D2">
            <w:pPr>
              <w:pStyle w:val="TableTextRight"/>
              <w:rPr>
                <w:rFonts w:cstheme="minorHAnsi"/>
              </w:rPr>
            </w:pPr>
            <w:r w:rsidRPr="00F67DB6">
              <w:t>3,</w:t>
            </w:r>
            <w:r w:rsidR="00810E6F">
              <w:rPr>
                <w:rFonts w:cs="Calibri"/>
              </w:rPr>
              <w:t>192</w:t>
            </w:r>
          </w:p>
        </w:tc>
      </w:tr>
      <w:tr w:rsidR="00154117" w:rsidRPr="0080495D" w14:paraId="052497E8" w14:textId="77777777" w:rsidTr="00D638F1">
        <w:tc>
          <w:tcPr>
            <w:tcW w:w="0" w:type="dxa"/>
          </w:tcPr>
          <w:p w14:paraId="060FCFB9" w14:textId="66A800DE" w:rsidR="0058534A" w:rsidRPr="00154117" w:rsidRDefault="0058534A" w:rsidP="004C79D2">
            <w:pPr>
              <w:pStyle w:val="Tabletextleftindent"/>
            </w:pPr>
            <w:r w:rsidRPr="00154117">
              <w:t>Rest</w:t>
            </w:r>
            <w:r w:rsidR="00FD3B97">
              <w:t> </w:t>
            </w:r>
            <w:r w:rsidRPr="00154117">
              <w:t>of</w:t>
            </w:r>
            <w:r w:rsidR="00FD3B97">
              <w:t> </w:t>
            </w:r>
            <w:r w:rsidRPr="00154117">
              <w:t>Queensland</w:t>
            </w:r>
          </w:p>
        </w:tc>
        <w:tc>
          <w:tcPr>
            <w:tcW w:w="0" w:type="dxa"/>
            <w:tcBorders>
              <w:top w:val="nil"/>
              <w:left w:val="nil"/>
              <w:bottom w:val="nil"/>
              <w:right w:val="nil"/>
            </w:tcBorders>
            <w:vAlign w:val="center"/>
          </w:tcPr>
          <w:p w14:paraId="27A0A35B" w14:textId="60C7947F" w:rsidR="0058534A" w:rsidRPr="00E20618" w:rsidRDefault="00E06C28" w:rsidP="004C79D2">
            <w:pPr>
              <w:pStyle w:val="TableTextRight"/>
              <w:rPr>
                <w:rFonts w:cstheme="minorHAnsi"/>
              </w:rPr>
            </w:pPr>
            <w:r w:rsidRPr="00F67DB6">
              <w:t>2,695</w:t>
            </w:r>
          </w:p>
        </w:tc>
        <w:tc>
          <w:tcPr>
            <w:tcW w:w="0" w:type="dxa"/>
            <w:tcBorders>
              <w:top w:val="nil"/>
              <w:left w:val="nil"/>
              <w:bottom w:val="nil"/>
              <w:right w:val="nil"/>
            </w:tcBorders>
            <w:shd w:val="clear" w:color="auto" w:fill="D2EDFF" w:themeFill="accent1" w:themeFillTint="1A"/>
            <w:vAlign w:val="center"/>
          </w:tcPr>
          <w:p w14:paraId="58A7A7E8" w14:textId="6398AEF7" w:rsidR="0058534A" w:rsidRPr="00E20618" w:rsidRDefault="00E06C28" w:rsidP="004C79D2">
            <w:pPr>
              <w:pStyle w:val="TableTextRight"/>
              <w:rPr>
                <w:rFonts w:cstheme="minorHAnsi"/>
              </w:rPr>
            </w:pPr>
            <w:r w:rsidRPr="00F67DB6">
              <w:t>2,751</w:t>
            </w:r>
          </w:p>
        </w:tc>
        <w:tc>
          <w:tcPr>
            <w:tcW w:w="0" w:type="dxa"/>
            <w:tcBorders>
              <w:top w:val="nil"/>
              <w:left w:val="nil"/>
              <w:bottom w:val="nil"/>
              <w:right w:val="nil"/>
            </w:tcBorders>
            <w:vAlign w:val="center"/>
          </w:tcPr>
          <w:p w14:paraId="32E164EB" w14:textId="56362F45" w:rsidR="0058534A" w:rsidRPr="00E20618" w:rsidRDefault="00E06C28" w:rsidP="004C79D2">
            <w:pPr>
              <w:pStyle w:val="TableTextRight"/>
              <w:rPr>
                <w:rFonts w:cstheme="minorHAnsi"/>
              </w:rPr>
            </w:pPr>
            <w:r w:rsidRPr="00F67DB6">
              <w:t>2,</w:t>
            </w:r>
            <w:r w:rsidR="00810E6F">
              <w:rPr>
                <w:rFonts w:cs="Calibri"/>
              </w:rPr>
              <w:t>797</w:t>
            </w:r>
          </w:p>
        </w:tc>
        <w:tc>
          <w:tcPr>
            <w:tcW w:w="0" w:type="dxa"/>
            <w:tcBorders>
              <w:top w:val="nil"/>
              <w:left w:val="nil"/>
              <w:bottom w:val="nil"/>
              <w:right w:val="nil"/>
            </w:tcBorders>
            <w:vAlign w:val="center"/>
          </w:tcPr>
          <w:p w14:paraId="0BE96BF5" w14:textId="77C0561C" w:rsidR="0058534A" w:rsidRPr="00E20618" w:rsidRDefault="00E06C28" w:rsidP="004C79D2">
            <w:pPr>
              <w:pStyle w:val="TableTextRight"/>
              <w:rPr>
                <w:rFonts w:cstheme="minorHAnsi"/>
              </w:rPr>
            </w:pPr>
            <w:r w:rsidRPr="00F67DB6">
              <w:t>2,</w:t>
            </w:r>
            <w:r w:rsidR="00810E6F">
              <w:rPr>
                <w:rFonts w:cs="Calibri"/>
              </w:rPr>
              <w:t>835</w:t>
            </w:r>
          </w:p>
        </w:tc>
        <w:tc>
          <w:tcPr>
            <w:tcW w:w="0" w:type="dxa"/>
            <w:tcBorders>
              <w:top w:val="nil"/>
              <w:left w:val="nil"/>
              <w:bottom w:val="nil"/>
              <w:right w:val="single" w:sz="4" w:space="0" w:color="auto"/>
            </w:tcBorders>
            <w:vAlign w:val="center"/>
          </w:tcPr>
          <w:p w14:paraId="14DF4EA7" w14:textId="28B46D87" w:rsidR="0058534A" w:rsidRPr="00E20618" w:rsidRDefault="00E06C28" w:rsidP="004C79D2">
            <w:pPr>
              <w:pStyle w:val="TableTextRight"/>
              <w:rPr>
                <w:rFonts w:cstheme="minorHAnsi"/>
              </w:rPr>
            </w:pPr>
            <w:r w:rsidRPr="00F67DB6">
              <w:t>2,</w:t>
            </w:r>
            <w:r w:rsidR="00810E6F">
              <w:rPr>
                <w:rFonts w:cs="Calibri"/>
              </w:rPr>
              <w:t>870</w:t>
            </w:r>
          </w:p>
        </w:tc>
        <w:tc>
          <w:tcPr>
            <w:tcW w:w="0" w:type="dxa"/>
            <w:tcBorders>
              <w:top w:val="nil"/>
              <w:left w:val="single" w:sz="4" w:space="0" w:color="auto"/>
              <w:bottom w:val="nil"/>
              <w:right w:val="nil"/>
            </w:tcBorders>
            <w:vAlign w:val="center"/>
          </w:tcPr>
          <w:p w14:paraId="55D91C6E" w14:textId="2CDAA98A" w:rsidR="0058534A" w:rsidRPr="00E20618" w:rsidRDefault="00E06C28" w:rsidP="004C79D2">
            <w:pPr>
              <w:pStyle w:val="TableTextRight"/>
              <w:rPr>
                <w:rFonts w:cstheme="minorHAnsi"/>
              </w:rPr>
            </w:pPr>
            <w:r w:rsidRPr="00F67DB6">
              <w:t>3,</w:t>
            </w:r>
            <w:r w:rsidR="00810E6F">
              <w:rPr>
                <w:rFonts w:cs="Calibri"/>
              </w:rPr>
              <w:t>138</w:t>
            </w:r>
          </w:p>
        </w:tc>
      </w:tr>
      <w:tr w:rsidR="00154117" w:rsidRPr="0080495D" w14:paraId="6C1D9699" w14:textId="77777777" w:rsidTr="00D638F1">
        <w:tc>
          <w:tcPr>
            <w:tcW w:w="0" w:type="dxa"/>
          </w:tcPr>
          <w:p w14:paraId="67E460FE" w14:textId="5BA6D046" w:rsidR="0058534A" w:rsidRPr="00154117" w:rsidRDefault="0058534A" w:rsidP="004C79D2">
            <w:pPr>
              <w:pStyle w:val="TableColumnHeadingLeft"/>
            </w:pPr>
            <w:r w:rsidRPr="00154117">
              <w:t>Population growth (per</w:t>
            </w:r>
            <w:r w:rsidR="00FD3B97">
              <w:rPr>
                <w:bCs/>
              </w:rPr>
              <w:t> </w:t>
            </w:r>
            <w:r w:rsidRPr="00154117">
              <w:t>cent)</w:t>
            </w:r>
          </w:p>
        </w:tc>
        <w:tc>
          <w:tcPr>
            <w:tcW w:w="0" w:type="dxa"/>
            <w:tcBorders>
              <w:top w:val="nil"/>
              <w:left w:val="nil"/>
              <w:bottom w:val="nil"/>
              <w:right w:val="nil"/>
            </w:tcBorders>
            <w:vAlign w:val="center"/>
          </w:tcPr>
          <w:p w14:paraId="3F69D594" w14:textId="77777777" w:rsidR="0058534A" w:rsidRPr="00E20618" w:rsidRDefault="0058534A" w:rsidP="004C79D2">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5A33586B" w14:textId="53B2FC1D" w:rsidR="0058534A" w:rsidRPr="00E20618" w:rsidRDefault="00E06C28" w:rsidP="004C79D2">
            <w:pPr>
              <w:pStyle w:val="TableTextRight"/>
              <w:rPr>
                <w:rFonts w:cstheme="minorHAnsi"/>
              </w:rPr>
            </w:pPr>
            <w:r w:rsidRPr="00F67DB6">
              <w:t> </w:t>
            </w:r>
          </w:p>
        </w:tc>
        <w:tc>
          <w:tcPr>
            <w:tcW w:w="0" w:type="dxa"/>
            <w:tcBorders>
              <w:top w:val="nil"/>
              <w:left w:val="nil"/>
              <w:bottom w:val="nil"/>
              <w:right w:val="nil"/>
            </w:tcBorders>
            <w:vAlign w:val="center"/>
          </w:tcPr>
          <w:p w14:paraId="7ED3EFE9" w14:textId="77777777" w:rsidR="0058534A" w:rsidRPr="00E20618" w:rsidRDefault="0058534A" w:rsidP="004C79D2">
            <w:pPr>
              <w:pStyle w:val="TableTextRight"/>
              <w:rPr>
                <w:rFonts w:cstheme="minorHAnsi"/>
              </w:rPr>
            </w:pPr>
          </w:p>
        </w:tc>
        <w:tc>
          <w:tcPr>
            <w:tcW w:w="0" w:type="dxa"/>
            <w:tcBorders>
              <w:top w:val="nil"/>
              <w:left w:val="nil"/>
              <w:bottom w:val="nil"/>
              <w:right w:val="nil"/>
            </w:tcBorders>
            <w:vAlign w:val="center"/>
          </w:tcPr>
          <w:p w14:paraId="23A7C531" w14:textId="77777777" w:rsidR="0058534A" w:rsidRPr="00E20618" w:rsidRDefault="0058534A" w:rsidP="004C79D2">
            <w:pPr>
              <w:pStyle w:val="TableTextRight"/>
              <w:rPr>
                <w:rFonts w:cstheme="minorHAnsi"/>
              </w:rPr>
            </w:pPr>
          </w:p>
        </w:tc>
        <w:tc>
          <w:tcPr>
            <w:tcW w:w="0" w:type="dxa"/>
            <w:tcBorders>
              <w:top w:val="nil"/>
              <w:left w:val="nil"/>
              <w:bottom w:val="nil"/>
              <w:right w:val="single" w:sz="4" w:space="0" w:color="auto"/>
            </w:tcBorders>
            <w:vAlign w:val="center"/>
          </w:tcPr>
          <w:p w14:paraId="7644B2E7" w14:textId="147EC066" w:rsidR="0058534A" w:rsidRPr="00E20618" w:rsidRDefault="00E06C28" w:rsidP="004C79D2">
            <w:pPr>
              <w:pStyle w:val="TableTextRight"/>
              <w:rPr>
                <w:rFonts w:cstheme="minorHAnsi"/>
              </w:rPr>
            </w:pPr>
            <w:r w:rsidRPr="00F67DB6">
              <w:t> </w:t>
            </w:r>
          </w:p>
        </w:tc>
        <w:tc>
          <w:tcPr>
            <w:tcW w:w="0" w:type="dxa"/>
            <w:tcBorders>
              <w:top w:val="nil"/>
              <w:left w:val="single" w:sz="4" w:space="0" w:color="auto"/>
              <w:bottom w:val="nil"/>
              <w:right w:val="nil"/>
            </w:tcBorders>
            <w:vAlign w:val="center"/>
          </w:tcPr>
          <w:p w14:paraId="44903A69" w14:textId="77777777" w:rsidR="0058534A" w:rsidRPr="00E20618" w:rsidRDefault="0058534A" w:rsidP="004C79D2">
            <w:pPr>
              <w:pStyle w:val="TableTextRight"/>
              <w:rPr>
                <w:rFonts w:cstheme="minorHAnsi"/>
              </w:rPr>
            </w:pPr>
          </w:p>
        </w:tc>
      </w:tr>
      <w:tr w:rsidR="00154117" w:rsidRPr="0080495D" w14:paraId="4C44F7DC" w14:textId="77777777" w:rsidTr="00D638F1">
        <w:tc>
          <w:tcPr>
            <w:tcW w:w="0" w:type="dxa"/>
          </w:tcPr>
          <w:p w14:paraId="46275E39" w14:textId="77777777" w:rsidR="0058534A" w:rsidRPr="00154117" w:rsidRDefault="0058534A" w:rsidP="004C79D2">
            <w:pPr>
              <w:pStyle w:val="TableTextLeft"/>
            </w:pPr>
            <w:r w:rsidRPr="00154117">
              <w:t>Queensland</w:t>
            </w:r>
          </w:p>
        </w:tc>
        <w:tc>
          <w:tcPr>
            <w:tcW w:w="0" w:type="dxa"/>
            <w:tcBorders>
              <w:top w:val="nil"/>
              <w:left w:val="nil"/>
              <w:bottom w:val="nil"/>
              <w:right w:val="nil"/>
            </w:tcBorders>
            <w:vAlign w:val="center"/>
          </w:tcPr>
          <w:p w14:paraId="6F56873F" w14:textId="5DA7D70E" w:rsidR="0058534A" w:rsidRPr="00E20618" w:rsidRDefault="00E06C28" w:rsidP="004C79D2">
            <w:pPr>
              <w:pStyle w:val="TableTextRight"/>
              <w:rPr>
                <w:rFonts w:cstheme="minorHAnsi"/>
              </w:rPr>
            </w:pPr>
            <w:r w:rsidRPr="00F67DB6">
              <w:t>2.0</w:t>
            </w:r>
          </w:p>
        </w:tc>
        <w:tc>
          <w:tcPr>
            <w:tcW w:w="0" w:type="dxa"/>
            <w:tcBorders>
              <w:top w:val="nil"/>
              <w:left w:val="nil"/>
              <w:bottom w:val="nil"/>
              <w:right w:val="nil"/>
            </w:tcBorders>
            <w:shd w:val="clear" w:color="auto" w:fill="D2EDFF" w:themeFill="accent1" w:themeFillTint="1A"/>
            <w:vAlign w:val="center"/>
          </w:tcPr>
          <w:p w14:paraId="658F7438" w14:textId="0AF2114D" w:rsidR="0058534A" w:rsidRPr="00E20618" w:rsidRDefault="00E06C28" w:rsidP="004C79D2">
            <w:pPr>
              <w:pStyle w:val="TableTextRight"/>
              <w:rPr>
                <w:rFonts w:cstheme="minorHAnsi"/>
              </w:rPr>
            </w:pPr>
            <w:r w:rsidRPr="00F67DB6">
              <w:t>2.5</w:t>
            </w:r>
          </w:p>
        </w:tc>
        <w:tc>
          <w:tcPr>
            <w:tcW w:w="0" w:type="dxa"/>
            <w:tcBorders>
              <w:top w:val="nil"/>
              <w:left w:val="nil"/>
              <w:bottom w:val="nil"/>
              <w:right w:val="nil"/>
            </w:tcBorders>
            <w:vAlign w:val="center"/>
          </w:tcPr>
          <w:p w14:paraId="4B6A7DC2" w14:textId="2990EFAA" w:rsidR="0058534A" w:rsidRPr="00E20618" w:rsidRDefault="00810E6F" w:rsidP="004C79D2">
            <w:pPr>
              <w:pStyle w:val="TableTextRight"/>
              <w:rPr>
                <w:rFonts w:cstheme="minorHAnsi"/>
              </w:rPr>
            </w:pPr>
            <w:r>
              <w:rPr>
                <w:rFonts w:cs="Calibri"/>
              </w:rPr>
              <w:t>1.9</w:t>
            </w:r>
          </w:p>
        </w:tc>
        <w:tc>
          <w:tcPr>
            <w:tcW w:w="0" w:type="dxa"/>
            <w:tcBorders>
              <w:top w:val="nil"/>
              <w:left w:val="nil"/>
              <w:bottom w:val="nil"/>
              <w:right w:val="nil"/>
            </w:tcBorders>
            <w:vAlign w:val="center"/>
          </w:tcPr>
          <w:p w14:paraId="4F674727" w14:textId="38470541" w:rsidR="0058534A" w:rsidRPr="00E20618" w:rsidRDefault="00E06C28" w:rsidP="004C79D2">
            <w:pPr>
              <w:pStyle w:val="TableTextRight"/>
              <w:rPr>
                <w:rFonts w:cstheme="minorHAnsi"/>
              </w:rPr>
            </w:pPr>
            <w:r w:rsidRPr="00F67DB6">
              <w:t>1.</w:t>
            </w:r>
            <w:r w:rsidR="00810E6F">
              <w:rPr>
                <w:rFonts w:cs="Calibri"/>
              </w:rPr>
              <w:t>5</w:t>
            </w:r>
          </w:p>
        </w:tc>
        <w:tc>
          <w:tcPr>
            <w:tcW w:w="0" w:type="dxa"/>
            <w:tcBorders>
              <w:top w:val="nil"/>
              <w:left w:val="nil"/>
              <w:bottom w:val="nil"/>
              <w:right w:val="single" w:sz="4" w:space="0" w:color="auto"/>
            </w:tcBorders>
            <w:vAlign w:val="center"/>
          </w:tcPr>
          <w:p w14:paraId="48218E8A" w14:textId="17A166CF" w:rsidR="0058534A" w:rsidRPr="00E20618" w:rsidRDefault="00E06C28" w:rsidP="004C79D2">
            <w:pPr>
              <w:pStyle w:val="TableTextRight"/>
              <w:rPr>
                <w:rFonts w:cstheme="minorHAnsi"/>
              </w:rPr>
            </w:pPr>
            <w:r w:rsidRPr="00F67DB6">
              <w:t>1.</w:t>
            </w:r>
            <w:r w:rsidR="00810E6F">
              <w:rPr>
                <w:rFonts w:cs="Calibri"/>
              </w:rPr>
              <w:t>4</w:t>
            </w:r>
          </w:p>
        </w:tc>
        <w:tc>
          <w:tcPr>
            <w:tcW w:w="0" w:type="dxa"/>
            <w:tcBorders>
              <w:top w:val="nil"/>
              <w:left w:val="single" w:sz="4" w:space="0" w:color="auto"/>
              <w:bottom w:val="nil"/>
              <w:right w:val="nil"/>
            </w:tcBorders>
            <w:vAlign w:val="center"/>
          </w:tcPr>
          <w:p w14:paraId="4A662923" w14:textId="09F1E3CB" w:rsidR="0058534A" w:rsidRPr="00E20618" w:rsidRDefault="00E06C28" w:rsidP="004C79D2">
            <w:pPr>
              <w:pStyle w:val="TableTextRight"/>
              <w:rPr>
                <w:rFonts w:cstheme="minorHAnsi"/>
              </w:rPr>
            </w:pPr>
            <w:r w:rsidRPr="00F67DB6">
              <w:t>1.2</w:t>
            </w:r>
          </w:p>
        </w:tc>
      </w:tr>
      <w:tr w:rsidR="00154117" w:rsidRPr="0080495D" w14:paraId="14B4A5E1" w14:textId="77777777" w:rsidTr="00D638F1">
        <w:tc>
          <w:tcPr>
            <w:tcW w:w="0" w:type="dxa"/>
          </w:tcPr>
          <w:p w14:paraId="0CE58C17" w14:textId="77777777" w:rsidR="0058534A" w:rsidRPr="00154117" w:rsidRDefault="0058534A" w:rsidP="004C79D2">
            <w:pPr>
              <w:pStyle w:val="Tabletextleftindent"/>
            </w:pPr>
            <w:r w:rsidRPr="00154117">
              <w:t>Greater Brisbane</w:t>
            </w:r>
          </w:p>
        </w:tc>
        <w:tc>
          <w:tcPr>
            <w:tcW w:w="0" w:type="dxa"/>
            <w:tcBorders>
              <w:top w:val="nil"/>
              <w:left w:val="nil"/>
              <w:bottom w:val="nil"/>
              <w:right w:val="nil"/>
            </w:tcBorders>
            <w:vAlign w:val="center"/>
          </w:tcPr>
          <w:p w14:paraId="5D3C07AD" w14:textId="1FBCA835" w:rsidR="0058534A" w:rsidRPr="00E20618" w:rsidRDefault="00E06C28" w:rsidP="004C79D2">
            <w:pPr>
              <w:pStyle w:val="TableTextRight"/>
              <w:rPr>
                <w:rFonts w:cstheme="minorHAnsi"/>
              </w:rPr>
            </w:pPr>
            <w:r w:rsidRPr="00F67DB6">
              <w:t>2.2</w:t>
            </w:r>
          </w:p>
        </w:tc>
        <w:tc>
          <w:tcPr>
            <w:tcW w:w="0" w:type="dxa"/>
            <w:tcBorders>
              <w:top w:val="nil"/>
              <w:left w:val="nil"/>
              <w:bottom w:val="nil"/>
              <w:right w:val="nil"/>
            </w:tcBorders>
            <w:shd w:val="clear" w:color="auto" w:fill="D2EDFF" w:themeFill="accent1" w:themeFillTint="1A"/>
            <w:vAlign w:val="center"/>
          </w:tcPr>
          <w:p w14:paraId="62FF4FF6" w14:textId="238DBB58" w:rsidR="0058534A" w:rsidRPr="00E20618" w:rsidRDefault="00E06C28" w:rsidP="004C79D2">
            <w:pPr>
              <w:pStyle w:val="TableTextRight"/>
              <w:rPr>
                <w:rFonts w:cstheme="minorHAnsi"/>
              </w:rPr>
            </w:pPr>
            <w:r w:rsidRPr="00F67DB6">
              <w:t>3.0</w:t>
            </w:r>
          </w:p>
        </w:tc>
        <w:tc>
          <w:tcPr>
            <w:tcW w:w="0" w:type="dxa"/>
            <w:tcBorders>
              <w:top w:val="nil"/>
              <w:left w:val="nil"/>
              <w:bottom w:val="nil"/>
              <w:right w:val="nil"/>
            </w:tcBorders>
            <w:vAlign w:val="center"/>
          </w:tcPr>
          <w:p w14:paraId="77AB8195" w14:textId="25F1BEA9" w:rsidR="0058534A" w:rsidRPr="00E20618" w:rsidRDefault="00E06C28" w:rsidP="004C79D2">
            <w:pPr>
              <w:pStyle w:val="TableTextRight"/>
              <w:rPr>
                <w:rFonts w:cstheme="minorHAnsi"/>
              </w:rPr>
            </w:pPr>
            <w:r w:rsidRPr="00F67DB6">
              <w:t>2.</w:t>
            </w:r>
            <w:r w:rsidR="00810E6F">
              <w:rPr>
                <w:rFonts w:cs="Calibri"/>
              </w:rPr>
              <w:t>2</w:t>
            </w:r>
          </w:p>
        </w:tc>
        <w:tc>
          <w:tcPr>
            <w:tcW w:w="0" w:type="dxa"/>
            <w:tcBorders>
              <w:top w:val="nil"/>
              <w:left w:val="nil"/>
              <w:bottom w:val="nil"/>
              <w:right w:val="nil"/>
            </w:tcBorders>
            <w:vAlign w:val="center"/>
          </w:tcPr>
          <w:p w14:paraId="09971C94" w14:textId="462C1A5B" w:rsidR="0058534A" w:rsidRPr="00E20618" w:rsidRDefault="00E06C28" w:rsidP="004C79D2">
            <w:pPr>
              <w:pStyle w:val="TableTextRight"/>
              <w:rPr>
                <w:rFonts w:cstheme="minorHAnsi"/>
              </w:rPr>
            </w:pPr>
            <w:r w:rsidRPr="00F67DB6">
              <w:t>1.</w:t>
            </w:r>
            <w:r w:rsidR="00810E6F">
              <w:rPr>
                <w:rFonts w:cs="Calibri"/>
              </w:rPr>
              <w:t>7</w:t>
            </w:r>
          </w:p>
        </w:tc>
        <w:tc>
          <w:tcPr>
            <w:tcW w:w="0" w:type="dxa"/>
            <w:tcBorders>
              <w:top w:val="nil"/>
              <w:left w:val="nil"/>
              <w:bottom w:val="nil"/>
              <w:right w:val="single" w:sz="4" w:space="0" w:color="auto"/>
            </w:tcBorders>
            <w:vAlign w:val="center"/>
          </w:tcPr>
          <w:p w14:paraId="05301F87" w14:textId="24FC0168" w:rsidR="0058534A" w:rsidRPr="00E20618" w:rsidRDefault="00E06C28" w:rsidP="004C79D2">
            <w:pPr>
              <w:pStyle w:val="TableTextRight"/>
              <w:rPr>
                <w:rFonts w:cstheme="minorHAnsi"/>
              </w:rPr>
            </w:pPr>
            <w:r w:rsidRPr="00F67DB6">
              <w:t>1.</w:t>
            </w:r>
            <w:r w:rsidR="00810E6F">
              <w:rPr>
                <w:rFonts w:cs="Calibri"/>
              </w:rPr>
              <w:t>6</w:t>
            </w:r>
          </w:p>
        </w:tc>
        <w:tc>
          <w:tcPr>
            <w:tcW w:w="0" w:type="dxa"/>
            <w:tcBorders>
              <w:top w:val="nil"/>
              <w:left w:val="single" w:sz="4" w:space="0" w:color="auto"/>
              <w:bottom w:val="nil"/>
              <w:right w:val="nil"/>
            </w:tcBorders>
            <w:vAlign w:val="center"/>
          </w:tcPr>
          <w:p w14:paraId="223635A4" w14:textId="30E19D52" w:rsidR="0058534A" w:rsidRPr="00E20618" w:rsidRDefault="00E06C28" w:rsidP="004C79D2">
            <w:pPr>
              <w:pStyle w:val="TableTextRight"/>
              <w:rPr>
                <w:rFonts w:cstheme="minorHAnsi"/>
              </w:rPr>
            </w:pPr>
            <w:r w:rsidRPr="00F67DB6">
              <w:t>1.3</w:t>
            </w:r>
          </w:p>
        </w:tc>
      </w:tr>
      <w:tr w:rsidR="00154117" w:rsidRPr="0080495D" w14:paraId="6E11ABAB" w14:textId="77777777" w:rsidTr="00D638F1">
        <w:tc>
          <w:tcPr>
            <w:tcW w:w="0" w:type="dxa"/>
          </w:tcPr>
          <w:p w14:paraId="714C5F49" w14:textId="77777777" w:rsidR="0058534A" w:rsidRPr="00154117" w:rsidRDefault="0058534A" w:rsidP="004C79D2">
            <w:pPr>
              <w:pStyle w:val="Tabletextleftindent"/>
            </w:pPr>
            <w:r w:rsidRPr="00154117">
              <w:t>Rest of Queensland</w:t>
            </w:r>
          </w:p>
        </w:tc>
        <w:tc>
          <w:tcPr>
            <w:tcW w:w="0" w:type="dxa"/>
            <w:tcBorders>
              <w:top w:val="nil"/>
              <w:left w:val="nil"/>
              <w:bottom w:val="nil"/>
              <w:right w:val="nil"/>
            </w:tcBorders>
            <w:vAlign w:val="center"/>
          </w:tcPr>
          <w:p w14:paraId="19F0565A" w14:textId="5A5D28E1" w:rsidR="0058534A" w:rsidRPr="00E20618" w:rsidRDefault="00E06C28" w:rsidP="004C79D2">
            <w:pPr>
              <w:pStyle w:val="TableTextRight"/>
              <w:rPr>
                <w:rFonts w:cstheme="minorHAnsi"/>
              </w:rPr>
            </w:pPr>
            <w:r w:rsidRPr="00F67DB6">
              <w:t>1.8</w:t>
            </w:r>
          </w:p>
        </w:tc>
        <w:tc>
          <w:tcPr>
            <w:tcW w:w="0" w:type="dxa"/>
            <w:tcBorders>
              <w:top w:val="nil"/>
              <w:left w:val="nil"/>
              <w:bottom w:val="nil"/>
              <w:right w:val="nil"/>
            </w:tcBorders>
            <w:shd w:val="clear" w:color="auto" w:fill="D2EDFF" w:themeFill="accent1" w:themeFillTint="1A"/>
            <w:vAlign w:val="center"/>
          </w:tcPr>
          <w:p w14:paraId="342D84A7" w14:textId="42F634A0" w:rsidR="0058534A" w:rsidRPr="00E20618" w:rsidRDefault="00E06C28" w:rsidP="004C79D2">
            <w:pPr>
              <w:pStyle w:val="TableTextRight"/>
              <w:rPr>
                <w:rFonts w:cstheme="minorHAnsi"/>
              </w:rPr>
            </w:pPr>
            <w:r w:rsidRPr="00F67DB6">
              <w:t>2.1</w:t>
            </w:r>
          </w:p>
        </w:tc>
        <w:tc>
          <w:tcPr>
            <w:tcW w:w="0" w:type="dxa"/>
            <w:tcBorders>
              <w:top w:val="nil"/>
              <w:left w:val="nil"/>
              <w:bottom w:val="nil"/>
              <w:right w:val="nil"/>
            </w:tcBorders>
            <w:vAlign w:val="center"/>
          </w:tcPr>
          <w:p w14:paraId="5146B8DC" w14:textId="7A4DC5BF" w:rsidR="0058534A" w:rsidRPr="00E20618" w:rsidRDefault="00E06C28" w:rsidP="004C79D2">
            <w:pPr>
              <w:pStyle w:val="TableTextRight"/>
              <w:rPr>
                <w:rFonts w:cstheme="minorHAnsi"/>
              </w:rPr>
            </w:pPr>
            <w:r w:rsidRPr="00F67DB6">
              <w:t>1.7</w:t>
            </w:r>
          </w:p>
        </w:tc>
        <w:tc>
          <w:tcPr>
            <w:tcW w:w="0" w:type="dxa"/>
            <w:tcBorders>
              <w:top w:val="nil"/>
              <w:left w:val="nil"/>
              <w:bottom w:val="nil"/>
              <w:right w:val="nil"/>
            </w:tcBorders>
            <w:vAlign w:val="center"/>
          </w:tcPr>
          <w:p w14:paraId="212EA09F" w14:textId="72CEBF48" w:rsidR="0058534A" w:rsidRPr="00E20618" w:rsidRDefault="00E06C28" w:rsidP="004C79D2">
            <w:pPr>
              <w:pStyle w:val="TableTextRight"/>
              <w:rPr>
                <w:rFonts w:cstheme="minorHAnsi"/>
              </w:rPr>
            </w:pPr>
            <w:r w:rsidRPr="00F67DB6">
              <w:t>1.</w:t>
            </w:r>
            <w:r w:rsidR="00810E6F">
              <w:rPr>
                <w:rFonts w:cs="Calibri"/>
              </w:rPr>
              <w:t>3</w:t>
            </w:r>
          </w:p>
        </w:tc>
        <w:tc>
          <w:tcPr>
            <w:tcW w:w="0" w:type="dxa"/>
            <w:tcBorders>
              <w:top w:val="nil"/>
              <w:left w:val="nil"/>
              <w:bottom w:val="nil"/>
              <w:right w:val="single" w:sz="4" w:space="0" w:color="auto"/>
            </w:tcBorders>
            <w:vAlign w:val="center"/>
          </w:tcPr>
          <w:p w14:paraId="14D4BF4B" w14:textId="149074D8" w:rsidR="0058534A" w:rsidRPr="00E20618" w:rsidRDefault="00E06C28" w:rsidP="004C79D2">
            <w:pPr>
              <w:pStyle w:val="TableTextRight"/>
              <w:rPr>
                <w:rFonts w:cstheme="minorHAnsi"/>
              </w:rPr>
            </w:pPr>
            <w:r w:rsidRPr="00F67DB6">
              <w:t>1.3</w:t>
            </w:r>
          </w:p>
        </w:tc>
        <w:tc>
          <w:tcPr>
            <w:tcW w:w="0" w:type="dxa"/>
            <w:tcBorders>
              <w:top w:val="nil"/>
              <w:left w:val="single" w:sz="4" w:space="0" w:color="auto"/>
              <w:bottom w:val="nil"/>
              <w:right w:val="nil"/>
            </w:tcBorders>
            <w:vAlign w:val="center"/>
          </w:tcPr>
          <w:p w14:paraId="40BB5752" w14:textId="04DF307B" w:rsidR="0058534A" w:rsidRPr="00E20618" w:rsidRDefault="00E06C28" w:rsidP="004C79D2">
            <w:pPr>
              <w:pStyle w:val="TableTextRight"/>
              <w:rPr>
                <w:rFonts w:cstheme="minorHAnsi"/>
              </w:rPr>
            </w:pPr>
            <w:r w:rsidRPr="00F67DB6">
              <w:t>1.1</w:t>
            </w:r>
          </w:p>
        </w:tc>
      </w:tr>
      <w:tr w:rsidR="00154117" w:rsidRPr="0080495D" w14:paraId="4C4A24FB" w14:textId="77777777" w:rsidTr="00D638F1">
        <w:tc>
          <w:tcPr>
            <w:tcW w:w="0" w:type="dxa"/>
          </w:tcPr>
          <w:p w14:paraId="36F3B8E1" w14:textId="6F1A37EC" w:rsidR="0058534A" w:rsidRPr="00154117" w:rsidRDefault="0058534A" w:rsidP="004C79D2">
            <w:pPr>
              <w:pStyle w:val="TableColumnHeadingLeft"/>
            </w:pPr>
            <w:r w:rsidRPr="00154117">
              <w:t>Population growth (</w:t>
            </w:r>
            <w:r w:rsidR="004B14AB" w:rsidRPr="00154117">
              <w:t>‘</w:t>
            </w:r>
            <w:r w:rsidRPr="00154117">
              <w:t>000)</w:t>
            </w:r>
          </w:p>
        </w:tc>
        <w:tc>
          <w:tcPr>
            <w:tcW w:w="0" w:type="dxa"/>
            <w:tcBorders>
              <w:top w:val="nil"/>
              <w:left w:val="nil"/>
              <w:bottom w:val="nil"/>
              <w:right w:val="nil"/>
            </w:tcBorders>
            <w:vAlign w:val="center"/>
          </w:tcPr>
          <w:p w14:paraId="3F087006" w14:textId="77777777" w:rsidR="0058534A" w:rsidRPr="00E20618" w:rsidRDefault="0058534A" w:rsidP="004C79D2">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41BE5951" w14:textId="01538008" w:rsidR="0058534A" w:rsidRPr="00E20618" w:rsidRDefault="00E06C28" w:rsidP="004C79D2">
            <w:pPr>
              <w:pStyle w:val="TableTextRight"/>
              <w:rPr>
                <w:rFonts w:cstheme="minorHAnsi"/>
              </w:rPr>
            </w:pPr>
            <w:r w:rsidRPr="00F67DB6">
              <w:t> </w:t>
            </w:r>
          </w:p>
        </w:tc>
        <w:tc>
          <w:tcPr>
            <w:tcW w:w="0" w:type="dxa"/>
            <w:tcBorders>
              <w:top w:val="nil"/>
              <w:left w:val="nil"/>
              <w:bottom w:val="nil"/>
              <w:right w:val="nil"/>
            </w:tcBorders>
            <w:vAlign w:val="center"/>
          </w:tcPr>
          <w:p w14:paraId="3E7548AD" w14:textId="77777777" w:rsidR="0058534A" w:rsidRPr="00E20618" w:rsidRDefault="0058534A" w:rsidP="004C79D2">
            <w:pPr>
              <w:pStyle w:val="TableTextRight"/>
              <w:rPr>
                <w:rFonts w:cstheme="minorHAnsi"/>
              </w:rPr>
            </w:pPr>
          </w:p>
        </w:tc>
        <w:tc>
          <w:tcPr>
            <w:tcW w:w="0" w:type="dxa"/>
            <w:tcBorders>
              <w:top w:val="nil"/>
              <w:left w:val="nil"/>
              <w:bottom w:val="nil"/>
              <w:right w:val="nil"/>
            </w:tcBorders>
            <w:vAlign w:val="center"/>
          </w:tcPr>
          <w:p w14:paraId="3471DCEE" w14:textId="77777777" w:rsidR="0058534A" w:rsidRPr="00E20618" w:rsidRDefault="0058534A" w:rsidP="004C79D2">
            <w:pPr>
              <w:pStyle w:val="TableTextRight"/>
              <w:rPr>
                <w:rFonts w:cstheme="minorHAnsi"/>
              </w:rPr>
            </w:pPr>
          </w:p>
        </w:tc>
        <w:tc>
          <w:tcPr>
            <w:tcW w:w="0" w:type="dxa"/>
            <w:tcBorders>
              <w:top w:val="nil"/>
              <w:left w:val="nil"/>
              <w:bottom w:val="nil"/>
              <w:right w:val="single" w:sz="4" w:space="0" w:color="auto"/>
            </w:tcBorders>
            <w:vAlign w:val="center"/>
          </w:tcPr>
          <w:p w14:paraId="0F356643" w14:textId="7B635FDC" w:rsidR="0058534A" w:rsidRPr="00E20618" w:rsidRDefault="00E06C28" w:rsidP="004C79D2">
            <w:pPr>
              <w:pStyle w:val="TableTextRight"/>
              <w:rPr>
                <w:rFonts w:cstheme="minorHAnsi"/>
              </w:rPr>
            </w:pPr>
            <w:r w:rsidRPr="00F67DB6">
              <w:t> </w:t>
            </w:r>
          </w:p>
        </w:tc>
        <w:tc>
          <w:tcPr>
            <w:tcW w:w="0" w:type="dxa"/>
            <w:tcBorders>
              <w:top w:val="nil"/>
              <w:left w:val="single" w:sz="4" w:space="0" w:color="auto"/>
              <w:bottom w:val="nil"/>
              <w:right w:val="nil"/>
            </w:tcBorders>
            <w:vAlign w:val="center"/>
          </w:tcPr>
          <w:p w14:paraId="0EA0DCFA" w14:textId="77777777" w:rsidR="0058534A" w:rsidRPr="00E20618" w:rsidRDefault="0058534A" w:rsidP="004C79D2">
            <w:pPr>
              <w:pStyle w:val="TableTextRight"/>
              <w:rPr>
                <w:rFonts w:cstheme="minorHAnsi"/>
              </w:rPr>
            </w:pPr>
          </w:p>
        </w:tc>
      </w:tr>
      <w:tr w:rsidR="00154117" w:rsidRPr="0080495D" w14:paraId="06FEDA99" w14:textId="77777777" w:rsidTr="00D638F1">
        <w:tc>
          <w:tcPr>
            <w:tcW w:w="0" w:type="dxa"/>
          </w:tcPr>
          <w:p w14:paraId="537999EF" w14:textId="77777777" w:rsidR="0058534A" w:rsidRPr="00154117" w:rsidRDefault="0058534A" w:rsidP="004C79D2">
            <w:pPr>
              <w:pStyle w:val="TableTextLeft"/>
              <w:rPr>
                <w:b/>
              </w:rPr>
            </w:pPr>
            <w:r w:rsidRPr="00154117">
              <w:t>Queensland</w:t>
            </w:r>
          </w:p>
        </w:tc>
        <w:tc>
          <w:tcPr>
            <w:tcW w:w="0" w:type="dxa"/>
            <w:tcBorders>
              <w:top w:val="nil"/>
              <w:left w:val="nil"/>
              <w:bottom w:val="nil"/>
              <w:right w:val="nil"/>
            </w:tcBorders>
            <w:vAlign w:val="center"/>
          </w:tcPr>
          <w:p w14:paraId="7B133D1D" w14:textId="2E617A87" w:rsidR="0058534A" w:rsidRPr="00E20618" w:rsidRDefault="00E06C28" w:rsidP="004C79D2">
            <w:pPr>
              <w:pStyle w:val="TableTextRight"/>
              <w:rPr>
                <w:rFonts w:cstheme="minorHAnsi"/>
              </w:rPr>
            </w:pPr>
            <w:r w:rsidRPr="00F67DB6">
              <w:t>104.9</w:t>
            </w:r>
          </w:p>
        </w:tc>
        <w:tc>
          <w:tcPr>
            <w:tcW w:w="0" w:type="dxa"/>
            <w:tcBorders>
              <w:top w:val="nil"/>
              <w:left w:val="nil"/>
              <w:bottom w:val="nil"/>
              <w:right w:val="nil"/>
            </w:tcBorders>
            <w:shd w:val="clear" w:color="auto" w:fill="D2EDFF" w:themeFill="accent1" w:themeFillTint="1A"/>
            <w:vAlign w:val="center"/>
          </w:tcPr>
          <w:p w14:paraId="2C1C72D4" w14:textId="6CA658F1" w:rsidR="0058534A" w:rsidRPr="00E20618" w:rsidRDefault="00E06C28" w:rsidP="004C79D2">
            <w:pPr>
              <w:pStyle w:val="TableTextRight"/>
              <w:rPr>
                <w:rFonts w:cstheme="minorHAnsi"/>
              </w:rPr>
            </w:pPr>
            <w:r w:rsidRPr="00F67DB6">
              <w:t>134.1</w:t>
            </w:r>
          </w:p>
        </w:tc>
        <w:tc>
          <w:tcPr>
            <w:tcW w:w="0" w:type="dxa"/>
            <w:tcBorders>
              <w:top w:val="nil"/>
              <w:left w:val="nil"/>
              <w:bottom w:val="nil"/>
              <w:right w:val="nil"/>
            </w:tcBorders>
            <w:vAlign w:val="center"/>
          </w:tcPr>
          <w:p w14:paraId="5A6DFB11" w14:textId="008D1875" w:rsidR="0058534A" w:rsidRPr="00E20618" w:rsidRDefault="00810E6F" w:rsidP="004C79D2">
            <w:pPr>
              <w:pStyle w:val="TableTextRight"/>
              <w:rPr>
                <w:rFonts w:cstheme="minorHAnsi"/>
              </w:rPr>
            </w:pPr>
            <w:r>
              <w:rPr>
                <w:rFonts w:cs="Calibri"/>
              </w:rPr>
              <w:t>105.9</w:t>
            </w:r>
          </w:p>
        </w:tc>
        <w:tc>
          <w:tcPr>
            <w:tcW w:w="0" w:type="dxa"/>
            <w:tcBorders>
              <w:top w:val="nil"/>
              <w:left w:val="nil"/>
              <w:bottom w:val="nil"/>
              <w:right w:val="nil"/>
            </w:tcBorders>
            <w:vAlign w:val="center"/>
          </w:tcPr>
          <w:p w14:paraId="4845A307" w14:textId="3FEFF82D" w:rsidR="0058534A" w:rsidRPr="00E20618" w:rsidRDefault="00810E6F" w:rsidP="004C79D2">
            <w:pPr>
              <w:pStyle w:val="TableTextRight"/>
              <w:rPr>
                <w:rFonts w:cstheme="minorHAnsi"/>
              </w:rPr>
            </w:pPr>
            <w:r>
              <w:rPr>
                <w:rFonts w:cs="Calibri"/>
              </w:rPr>
              <w:t>85.2</w:t>
            </w:r>
          </w:p>
        </w:tc>
        <w:tc>
          <w:tcPr>
            <w:tcW w:w="0" w:type="dxa"/>
            <w:tcBorders>
              <w:top w:val="nil"/>
              <w:left w:val="nil"/>
              <w:bottom w:val="nil"/>
              <w:right w:val="single" w:sz="4" w:space="0" w:color="auto"/>
            </w:tcBorders>
            <w:vAlign w:val="center"/>
          </w:tcPr>
          <w:p w14:paraId="328C13F1" w14:textId="7410AE9D" w:rsidR="0058534A" w:rsidRPr="00E20618" w:rsidRDefault="00810E6F" w:rsidP="004C79D2">
            <w:pPr>
              <w:pStyle w:val="TableTextRight"/>
              <w:rPr>
                <w:rFonts w:cstheme="minorHAnsi"/>
              </w:rPr>
            </w:pPr>
            <w:r>
              <w:rPr>
                <w:rFonts w:cs="Calibri"/>
              </w:rPr>
              <w:t>81</w:t>
            </w:r>
            <w:r w:rsidR="00E06C28" w:rsidRPr="00F67DB6">
              <w:t>.5</w:t>
            </w:r>
          </w:p>
        </w:tc>
        <w:tc>
          <w:tcPr>
            <w:tcW w:w="0" w:type="dxa"/>
            <w:tcBorders>
              <w:top w:val="nil"/>
              <w:left w:val="single" w:sz="4" w:space="0" w:color="auto"/>
              <w:bottom w:val="nil"/>
              <w:right w:val="nil"/>
            </w:tcBorders>
            <w:vAlign w:val="center"/>
          </w:tcPr>
          <w:p w14:paraId="42E5DA92" w14:textId="3F07A14A" w:rsidR="0058534A" w:rsidRPr="00E20618" w:rsidRDefault="00810E6F" w:rsidP="004C79D2">
            <w:pPr>
              <w:pStyle w:val="TableTextRight"/>
              <w:rPr>
                <w:rFonts w:cstheme="minorHAnsi"/>
              </w:rPr>
            </w:pPr>
            <w:r>
              <w:rPr>
                <w:rFonts w:cs="Calibri"/>
              </w:rPr>
              <w:t>73.4</w:t>
            </w:r>
          </w:p>
        </w:tc>
      </w:tr>
      <w:tr w:rsidR="00154117" w:rsidRPr="0080495D" w14:paraId="154FD22B" w14:textId="77777777" w:rsidTr="00D638F1">
        <w:tc>
          <w:tcPr>
            <w:tcW w:w="0" w:type="dxa"/>
          </w:tcPr>
          <w:p w14:paraId="7A14E4F6" w14:textId="77777777" w:rsidR="0058534A" w:rsidRPr="00154117" w:rsidRDefault="0058534A" w:rsidP="004C79D2">
            <w:pPr>
              <w:pStyle w:val="Tabletextleftindent"/>
              <w:rPr>
                <w:b/>
              </w:rPr>
            </w:pPr>
            <w:r w:rsidRPr="00154117">
              <w:t>Greater Brisbane</w:t>
            </w:r>
          </w:p>
        </w:tc>
        <w:tc>
          <w:tcPr>
            <w:tcW w:w="0" w:type="dxa"/>
            <w:tcBorders>
              <w:top w:val="nil"/>
              <w:left w:val="nil"/>
              <w:bottom w:val="nil"/>
              <w:right w:val="nil"/>
            </w:tcBorders>
            <w:vAlign w:val="center"/>
          </w:tcPr>
          <w:p w14:paraId="0EA0B937" w14:textId="5C468FB5" w:rsidR="0058534A" w:rsidRPr="00E20618" w:rsidRDefault="00E06C28" w:rsidP="004C79D2">
            <w:pPr>
              <w:pStyle w:val="TableTextRight"/>
              <w:rPr>
                <w:rFonts w:cstheme="minorHAnsi"/>
              </w:rPr>
            </w:pPr>
            <w:r w:rsidRPr="00F67DB6">
              <w:t>57.6</w:t>
            </w:r>
          </w:p>
        </w:tc>
        <w:tc>
          <w:tcPr>
            <w:tcW w:w="0" w:type="dxa"/>
            <w:tcBorders>
              <w:top w:val="nil"/>
              <w:left w:val="nil"/>
              <w:bottom w:val="nil"/>
              <w:right w:val="nil"/>
            </w:tcBorders>
            <w:shd w:val="clear" w:color="auto" w:fill="D2EDFF" w:themeFill="accent1" w:themeFillTint="1A"/>
            <w:vAlign w:val="center"/>
          </w:tcPr>
          <w:p w14:paraId="46EE3298" w14:textId="1A03F789" w:rsidR="0058534A" w:rsidRPr="00E20618" w:rsidRDefault="00E06C28" w:rsidP="004C79D2">
            <w:pPr>
              <w:pStyle w:val="TableTextRight"/>
              <w:rPr>
                <w:rFonts w:cstheme="minorHAnsi"/>
              </w:rPr>
            </w:pPr>
            <w:r w:rsidRPr="00F67DB6">
              <w:t>77.9</w:t>
            </w:r>
          </w:p>
        </w:tc>
        <w:tc>
          <w:tcPr>
            <w:tcW w:w="0" w:type="dxa"/>
            <w:tcBorders>
              <w:top w:val="nil"/>
              <w:left w:val="nil"/>
              <w:bottom w:val="nil"/>
              <w:right w:val="nil"/>
            </w:tcBorders>
            <w:vAlign w:val="center"/>
          </w:tcPr>
          <w:p w14:paraId="3B17D33A" w14:textId="097CB8FC" w:rsidR="0058534A" w:rsidRPr="00E20618" w:rsidRDefault="00810E6F" w:rsidP="004C79D2">
            <w:pPr>
              <w:pStyle w:val="TableTextRight"/>
              <w:rPr>
                <w:rFonts w:cstheme="minorHAnsi"/>
              </w:rPr>
            </w:pPr>
            <w:r>
              <w:rPr>
                <w:rFonts w:cs="Calibri"/>
              </w:rPr>
              <w:t>60.4</w:t>
            </w:r>
          </w:p>
        </w:tc>
        <w:tc>
          <w:tcPr>
            <w:tcW w:w="0" w:type="dxa"/>
            <w:tcBorders>
              <w:top w:val="nil"/>
              <w:left w:val="nil"/>
              <w:bottom w:val="nil"/>
              <w:right w:val="nil"/>
            </w:tcBorders>
            <w:vAlign w:val="center"/>
          </w:tcPr>
          <w:p w14:paraId="1C0F2207" w14:textId="22C36F39" w:rsidR="0058534A" w:rsidRPr="00E20618" w:rsidRDefault="00810E6F" w:rsidP="004C79D2">
            <w:pPr>
              <w:pStyle w:val="TableTextRight"/>
              <w:rPr>
                <w:rFonts w:cstheme="minorHAnsi"/>
              </w:rPr>
            </w:pPr>
            <w:r>
              <w:rPr>
                <w:rFonts w:cs="Calibri"/>
              </w:rPr>
              <w:t>47.6</w:t>
            </w:r>
          </w:p>
        </w:tc>
        <w:tc>
          <w:tcPr>
            <w:tcW w:w="0" w:type="dxa"/>
            <w:tcBorders>
              <w:top w:val="nil"/>
              <w:left w:val="nil"/>
              <w:bottom w:val="nil"/>
              <w:right w:val="single" w:sz="4" w:space="0" w:color="auto"/>
            </w:tcBorders>
            <w:vAlign w:val="center"/>
          </w:tcPr>
          <w:p w14:paraId="0B9924BD" w14:textId="3E8EA14B" w:rsidR="0058534A" w:rsidRPr="00E20618" w:rsidRDefault="00810E6F" w:rsidP="004C79D2">
            <w:pPr>
              <w:pStyle w:val="TableTextRight"/>
              <w:rPr>
                <w:rFonts w:cstheme="minorHAnsi"/>
              </w:rPr>
            </w:pPr>
            <w:r>
              <w:rPr>
                <w:rFonts w:cs="Calibri"/>
              </w:rPr>
              <w:t>45.7</w:t>
            </w:r>
          </w:p>
        </w:tc>
        <w:tc>
          <w:tcPr>
            <w:tcW w:w="0" w:type="dxa"/>
            <w:tcBorders>
              <w:top w:val="nil"/>
              <w:left w:val="single" w:sz="4" w:space="0" w:color="auto"/>
              <w:bottom w:val="nil"/>
              <w:right w:val="nil"/>
            </w:tcBorders>
            <w:vAlign w:val="center"/>
          </w:tcPr>
          <w:p w14:paraId="0D231100" w14:textId="00CE8DF2" w:rsidR="0058534A" w:rsidRPr="00E20618" w:rsidRDefault="00810E6F" w:rsidP="004C79D2">
            <w:pPr>
              <w:pStyle w:val="TableTextRight"/>
              <w:rPr>
                <w:rFonts w:cstheme="minorHAnsi"/>
              </w:rPr>
            </w:pPr>
            <w:r>
              <w:rPr>
                <w:rFonts w:cs="Calibri"/>
              </w:rPr>
              <w:t>40.6</w:t>
            </w:r>
          </w:p>
        </w:tc>
      </w:tr>
      <w:tr w:rsidR="00F67DB6" w:rsidRPr="0080495D" w14:paraId="4C0ED7A8" w14:textId="77777777">
        <w:tc>
          <w:tcPr>
            <w:tcW w:w="0" w:type="dxa"/>
            <w:tcBorders>
              <w:bottom w:val="single" w:sz="4" w:space="0" w:color="auto"/>
            </w:tcBorders>
          </w:tcPr>
          <w:p w14:paraId="323E72B2" w14:textId="77777777" w:rsidR="0058534A" w:rsidRPr="00154117" w:rsidRDefault="0058534A" w:rsidP="004C79D2">
            <w:pPr>
              <w:pStyle w:val="Tabletextleftindent"/>
              <w:rPr>
                <w:b/>
              </w:rPr>
            </w:pPr>
            <w:r w:rsidRPr="00154117">
              <w:t>Rest of Queensland</w:t>
            </w:r>
          </w:p>
        </w:tc>
        <w:tc>
          <w:tcPr>
            <w:tcW w:w="0" w:type="dxa"/>
            <w:tcBorders>
              <w:top w:val="nil"/>
              <w:left w:val="nil"/>
              <w:bottom w:val="single" w:sz="4" w:space="0" w:color="auto"/>
              <w:right w:val="nil"/>
            </w:tcBorders>
            <w:vAlign w:val="center"/>
          </w:tcPr>
          <w:p w14:paraId="20C2DD8C" w14:textId="065FC624" w:rsidR="0058534A" w:rsidRPr="00E20618" w:rsidRDefault="00E06C28" w:rsidP="004C79D2">
            <w:pPr>
              <w:pStyle w:val="TableTextRight"/>
              <w:rPr>
                <w:rFonts w:cstheme="minorHAnsi"/>
              </w:rPr>
            </w:pPr>
            <w:r w:rsidRPr="00F67DB6">
              <w:t>47.1</w:t>
            </w:r>
          </w:p>
        </w:tc>
        <w:tc>
          <w:tcPr>
            <w:tcW w:w="0" w:type="dxa"/>
            <w:tcBorders>
              <w:top w:val="nil"/>
              <w:left w:val="nil"/>
              <w:bottom w:val="single" w:sz="4" w:space="0" w:color="auto"/>
              <w:right w:val="nil"/>
            </w:tcBorders>
            <w:shd w:val="clear" w:color="auto" w:fill="D2EDFF" w:themeFill="accent1" w:themeFillTint="1A"/>
            <w:vAlign w:val="center"/>
          </w:tcPr>
          <w:p w14:paraId="6EBA1741" w14:textId="23411983" w:rsidR="0058534A" w:rsidRPr="00E20618" w:rsidRDefault="00E06C28" w:rsidP="004C79D2">
            <w:pPr>
              <w:pStyle w:val="TableTextRight"/>
              <w:rPr>
                <w:rFonts w:cstheme="minorHAnsi"/>
              </w:rPr>
            </w:pPr>
            <w:r w:rsidRPr="00F67DB6">
              <w:t>56.2</w:t>
            </w:r>
          </w:p>
        </w:tc>
        <w:tc>
          <w:tcPr>
            <w:tcW w:w="0" w:type="dxa"/>
            <w:tcBorders>
              <w:top w:val="nil"/>
              <w:left w:val="nil"/>
              <w:bottom w:val="single" w:sz="4" w:space="0" w:color="auto"/>
              <w:right w:val="nil"/>
            </w:tcBorders>
            <w:vAlign w:val="center"/>
          </w:tcPr>
          <w:p w14:paraId="741AF8D1" w14:textId="0F282C46" w:rsidR="0058534A" w:rsidRPr="00E20618" w:rsidRDefault="00810E6F" w:rsidP="004C79D2">
            <w:pPr>
              <w:pStyle w:val="TableTextRight"/>
              <w:rPr>
                <w:rFonts w:cstheme="minorHAnsi"/>
              </w:rPr>
            </w:pPr>
            <w:r>
              <w:rPr>
                <w:rFonts w:cs="Calibri"/>
              </w:rPr>
              <w:t>45.5</w:t>
            </w:r>
          </w:p>
        </w:tc>
        <w:tc>
          <w:tcPr>
            <w:tcW w:w="0" w:type="dxa"/>
            <w:tcBorders>
              <w:top w:val="nil"/>
              <w:left w:val="nil"/>
              <w:bottom w:val="single" w:sz="4" w:space="0" w:color="auto"/>
              <w:right w:val="nil"/>
            </w:tcBorders>
            <w:vAlign w:val="center"/>
          </w:tcPr>
          <w:p w14:paraId="49C872D2" w14:textId="1337251E" w:rsidR="0058534A" w:rsidRPr="00E20618" w:rsidRDefault="00810E6F" w:rsidP="004C79D2">
            <w:pPr>
              <w:pStyle w:val="TableTextRight"/>
              <w:rPr>
                <w:rFonts w:cstheme="minorHAnsi"/>
              </w:rPr>
            </w:pPr>
            <w:r>
              <w:rPr>
                <w:rFonts w:cs="Calibri"/>
              </w:rPr>
              <w:t>37.6</w:t>
            </w:r>
          </w:p>
        </w:tc>
        <w:tc>
          <w:tcPr>
            <w:tcW w:w="0" w:type="dxa"/>
            <w:tcBorders>
              <w:top w:val="nil"/>
              <w:left w:val="nil"/>
              <w:bottom w:val="single" w:sz="4" w:space="0" w:color="auto"/>
              <w:right w:val="single" w:sz="4" w:space="0" w:color="auto"/>
            </w:tcBorders>
            <w:vAlign w:val="center"/>
          </w:tcPr>
          <w:p w14:paraId="29E9B6BC" w14:textId="4597AAE8" w:rsidR="0058534A" w:rsidRPr="00E20618" w:rsidRDefault="00810E6F" w:rsidP="004C79D2">
            <w:pPr>
              <w:pStyle w:val="TableTextRight"/>
              <w:rPr>
                <w:rFonts w:cstheme="minorHAnsi"/>
              </w:rPr>
            </w:pPr>
            <w:r>
              <w:rPr>
                <w:rFonts w:cs="Calibri"/>
              </w:rPr>
              <w:t>35</w:t>
            </w:r>
            <w:r w:rsidR="00E06C28" w:rsidRPr="00F67DB6">
              <w:t>.8</w:t>
            </w:r>
          </w:p>
        </w:tc>
        <w:tc>
          <w:tcPr>
            <w:tcW w:w="0" w:type="dxa"/>
            <w:tcBorders>
              <w:top w:val="nil"/>
              <w:left w:val="single" w:sz="4" w:space="0" w:color="auto"/>
              <w:bottom w:val="single" w:sz="4" w:space="0" w:color="auto"/>
              <w:right w:val="nil"/>
            </w:tcBorders>
            <w:vAlign w:val="center"/>
          </w:tcPr>
          <w:p w14:paraId="061418FA" w14:textId="66844E8C" w:rsidR="0058534A" w:rsidRPr="00E20618" w:rsidRDefault="00810E6F" w:rsidP="004C79D2">
            <w:pPr>
              <w:pStyle w:val="TableTextRight"/>
              <w:rPr>
                <w:rFonts w:cstheme="minorHAnsi"/>
              </w:rPr>
            </w:pPr>
            <w:r>
              <w:rPr>
                <w:rFonts w:cs="Calibri"/>
              </w:rPr>
              <w:t>32.7</w:t>
            </w:r>
          </w:p>
        </w:tc>
      </w:tr>
      <w:tr w:rsidR="00F67DB6" w:rsidRPr="0080495D" w14:paraId="77A201D5" w14:textId="77777777">
        <w:tc>
          <w:tcPr>
            <w:tcW w:w="0" w:type="dxa"/>
            <w:tcBorders>
              <w:top w:val="single" w:sz="4" w:space="0" w:color="auto"/>
              <w:bottom w:val="nil"/>
            </w:tcBorders>
          </w:tcPr>
          <w:p w14:paraId="707421A5" w14:textId="449EF087" w:rsidR="0058534A" w:rsidRPr="00154117" w:rsidRDefault="0058534A" w:rsidP="004C79D2">
            <w:pPr>
              <w:pStyle w:val="TableColumnHeadingLeft"/>
            </w:pPr>
            <w:r w:rsidRPr="00154117">
              <w:t>Natural increase (</w:t>
            </w:r>
            <w:r w:rsidR="004B14AB" w:rsidRPr="00154117">
              <w:t>‘</w:t>
            </w:r>
            <w:r w:rsidRPr="00154117">
              <w:t>000)</w:t>
            </w:r>
          </w:p>
        </w:tc>
        <w:tc>
          <w:tcPr>
            <w:tcW w:w="0" w:type="dxa"/>
            <w:tcBorders>
              <w:top w:val="single" w:sz="4" w:space="0" w:color="auto"/>
              <w:left w:val="nil"/>
              <w:bottom w:val="nil"/>
              <w:right w:val="nil"/>
            </w:tcBorders>
            <w:vAlign w:val="center"/>
          </w:tcPr>
          <w:p w14:paraId="323B9A13"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33928A5E" w14:textId="50F36DCB" w:rsidR="0058534A" w:rsidRPr="00E20618" w:rsidRDefault="00E06C28" w:rsidP="004C79D2">
            <w:pPr>
              <w:pStyle w:val="TableTextRight"/>
              <w:rPr>
                <w:rFonts w:cstheme="minorHAnsi"/>
              </w:rPr>
            </w:pPr>
            <w:r w:rsidRPr="00F67DB6">
              <w:t> </w:t>
            </w:r>
          </w:p>
        </w:tc>
        <w:tc>
          <w:tcPr>
            <w:tcW w:w="0" w:type="dxa"/>
            <w:tcBorders>
              <w:top w:val="single" w:sz="4" w:space="0" w:color="auto"/>
              <w:left w:val="nil"/>
              <w:bottom w:val="nil"/>
              <w:right w:val="nil"/>
            </w:tcBorders>
            <w:vAlign w:val="center"/>
          </w:tcPr>
          <w:p w14:paraId="17D30C39"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nil"/>
            </w:tcBorders>
            <w:vAlign w:val="center"/>
          </w:tcPr>
          <w:p w14:paraId="1688928B"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106A9BF1" w14:textId="25C7F331" w:rsidR="0058534A" w:rsidRPr="00E20618" w:rsidRDefault="00E06C28" w:rsidP="004C79D2">
            <w:pPr>
              <w:pStyle w:val="TableTextRight"/>
              <w:rPr>
                <w:rFonts w:cstheme="minorHAnsi"/>
              </w:rPr>
            </w:pPr>
            <w:r w:rsidRPr="00F67DB6">
              <w:t> </w:t>
            </w:r>
          </w:p>
        </w:tc>
        <w:tc>
          <w:tcPr>
            <w:tcW w:w="0" w:type="dxa"/>
            <w:tcBorders>
              <w:top w:val="single" w:sz="4" w:space="0" w:color="auto"/>
              <w:left w:val="single" w:sz="4" w:space="0" w:color="auto"/>
              <w:bottom w:val="nil"/>
              <w:right w:val="nil"/>
            </w:tcBorders>
            <w:vAlign w:val="center"/>
          </w:tcPr>
          <w:p w14:paraId="64ED1DED" w14:textId="77777777" w:rsidR="0058534A" w:rsidRPr="00E20618" w:rsidRDefault="0058534A" w:rsidP="004C79D2">
            <w:pPr>
              <w:pStyle w:val="TableTextRight"/>
              <w:rPr>
                <w:rFonts w:cstheme="minorHAnsi"/>
              </w:rPr>
            </w:pPr>
          </w:p>
        </w:tc>
      </w:tr>
      <w:tr w:rsidR="00F67DB6" w:rsidRPr="0080495D" w14:paraId="21123697" w14:textId="77777777">
        <w:tc>
          <w:tcPr>
            <w:tcW w:w="0" w:type="dxa"/>
            <w:tcBorders>
              <w:top w:val="nil"/>
            </w:tcBorders>
          </w:tcPr>
          <w:p w14:paraId="1D2D486F" w14:textId="77777777" w:rsidR="0058534A" w:rsidRPr="00154117" w:rsidRDefault="0058534A" w:rsidP="004C79D2">
            <w:pPr>
              <w:pStyle w:val="TableTextLeft"/>
              <w:rPr>
                <w:b/>
              </w:rPr>
            </w:pPr>
            <w:r w:rsidRPr="00154117">
              <w:t>Queensland</w:t>
            </w:r>
          </w:p>
        </w:tc>
        <w:tc>
          <w:tcPr>
            <w:tcW w:w="0" w:type="dxa"/>
            <w:tcBorders>
              <w:top w:val="nil"/>
              <w:left w:val="nil"/>
              <w:bottom w:val="nil"/>
              <w:right w:val="nil"/>
            </w:tcBorders>
            <w:vAlign w:val="center"/>
          </w:tcPr>
          <w:p w14:paraId="6D408E22" w14:textId="02C96E9A" w:rsidR="0058534A" w:rsidRPr="00E20618" w:rsidRDefault="00E06C28" w:rsidP="004C79D2">
            <w:pPr>
              <w:pStyle w:val="TableTextRight"/>
              <w:rPr>
                <w:rFonts w:cstheme="minorHAnsi"/>
              </w:rPr>
            </w:pPr>
            <w:r w:rsidRPr="00F67DB6">
              <w:t>26.7</w:t>
            </w:r>
          </w:p>
        </w:tc>
        <w:tc>
          <w:tcPr>
            <w:tcW w:w="0" w:type="dxa"/>
            <w:tcBorders>
              <w:top w:val="nil"/>
              <w:left w:val="nil"/>
              <w:bottom w:val="nil"/>
              <w:right w:val="nil"/>
            </w:tcBorders>
            <w:shd w:val="clear" w:color="auto" w:fill="D2EDFF" w:themeFill="accent1" w:themeFillTint="1A"/>
            <w:vAlign w:val="center"/>
          </w:tcPr>
          <w:p w14:paraId="609996F3" w14:textId="04A4CE95" w:rsidR="0058534A" w:rsidRPr="00E20618" w:rsidRDefault="00E06C28" w:rsidP="004C79D2">
            <w:pPr>
              <w:pStyle w:val="TableTextRight"/>
              <w:rPr>
                <w:rFonts w:cstheme="minorHAnsi"/>
              </w:rPr>
            </w:pPr>
            <w:r w:rsidRPr="00F67DB6">
              <w:t>26.0</w:t>
            </w:r>
          </w:p>
        </w:tc>
        <w:tc>
          <w:tcPr>
            <w:tcW w:w="0" w:type="dxa"/>
            <w:tcBorders>
              <w:top w:val="nil"/>
              <w:left w:val="nil"/>
              <w:bottom w:val="nil"/>
              <w:right w:val="nil"/>
            </w:tcBorders>
            <w:vAlign w:val="center"/>
          </w:tcPr>
          <w:p w14:paraId="7F40D7FE" w14:textId="7CC6454B" w:rsidR="0058534A" w:rsidRPr="00E20618" w:rsidRDefault="00E06C28" w:rsidP="004C79D2">
            <w:pPr>
              <w:pStyle w:val="TableTextRight"/>
              <w:rPr>
                <w:rFonts w:cstheme="minorHAnsi"/>
              </w:rPr>
            </w:pPr>
            <w:r w:rsidRPr="00F67DB6">
              <w:t>28.</w:t>
            </w:r>
            <w:r w:rsidR="00810E6F">
              <w:rPr>
                <w:rFonts w:cs="Calibri"/>
              </w:rPr>
              <w:t>0</w:t>
            </w:r>
          </w:p>
        </w:tc>
        <w:tc>
          <w:tcPr>
            <w:tcW w:w="0" w:type="dxa"/>
            <w:tcBorders>
              <w:top w:val="nil"/>
              <w:left w:val="nil"/>
              <w:bottom w:val="nil"/>
              <w:right w:val="nil"/>
            </w:tcBorders>
            <w:vAlign w:val="center"/>
          </w:tcPr>
          <w:p w14:paraId="75AB24CE" w14:textId="5D5D58C9" w:rsidR="0058534A" w:rsidRPr="00E20618" w:rsidRDefault="00E06C28" w:rsidP="004C79D2">
            <w:pPr>
              <w:pStyle w:val="TableTextRight"/>
              <w:rPr>
                <w:rFonts w:cstheme="minorHAnsi"/>
              </w:rPr>
            </w:pPr>
            <w:r w:rsidRPr="00F67DB6">
              <w:t>29.</w:t>
            </w:r>
            <w:r w:rsidR="00810E6F">
              <w:rPr>
                <w:rFonts w:cs="Calibri"/>
              </w:rPr>
              <w:t>1</w:t>
            </w:r>
          </w:p>
        </w:tc>
        <w:tc>
          <w:tcPr>
            <w:tcW w:w="0" w:type="dxa"/>
            <w:tcBorders>
              <w:top w:val="nil"/>
              <w:left w:val="nil"/>
              <w:bottom w:val="nil"/>
              <w:right w:val="single" w:sz="4" w:space="0" w:color="auto"/>
            </w:tcBorders>
            <w:vAlign w:val="center"/>
          </w:tcPr>
          <w:p w14:paraId="41AFE4A7" w14:textId="612411AD" w:rsidR="0058534A" w:rsidRPr="00E20618" w:rsidRDefault="00E06C28" w:rsidP="004C79D2">
            <w:pPr>
              <w:pStyle w:val="TableTextRight"/>
              <w:rPr>
                <w:rFonts w:cstheme="minorHAnsi"/>
              </w:rPr>
            </w:pPr>
            <w:r w:rsidRPr="00F67DB6">
              <w:t>29.</w:t>
            </w:r>
            <w:r w:rsidR="00810E6F">
              <w:rPr>
                <w:rFonts w:cs="Calibri"/>
              </w:rPr>
              <w:t>2</w:t>
            </w:r>
          </w:p>
        </w:tc>
        <w:tc>
          <w:tcPr>
            <w:tcW w:w="0" w:type="dxa"/>
            <w:tcBorders>
              <w:top w:val="nil"/>
              <w:left w:val="single" w:sz="4" w:space="0" w:color="auto"/>
              <w:bottom w:val="nil"/>
              <w:right w:val="nil"/>
            </w:tcBorders>
            <w:vAlign w:val="center"/>
          </w:tcPr>
          <w:p w14:paraId="13E3B137" w14:textId="3FC700F3" w:rsidR="0058534A" w:rsidRPr="00E20618" w:rsidRDefault="00810E6F" w:rsidP="004C79D2">
            <w:pPr>
              <w:pStyle w:val="TableTextRight"/>
              <w:rPr>
                <w:rFonts w:cstheme="minorHAnsi"/>
              </w:rPr>
            </w:pPr>
            <w:r>
              <w:rPr>
                <w:rFonts w:cs="Calibri"/>
              </w:rPr>
              <w:t>23.7</w:t>
            </w:r>
          </w:p>
        </w:tc>
      </w:tr>
      <w:tr w:rsidR="00154117" w:rsidRPr="0080495D" w14:paraId="096A5A9B" w14:textId="77777777" w:rsidTr="00154117">
        <w:tc>
          <w:tcPr>
            <w:tcW w:w="3096" w:type="dxa"/>
          </w:tcPr>
          <w:p w14:paraId="52C50DC1" w14:textId="77777777" w:rsidR="0058534A" w:rsidRPr="00154117" w:rsidRDefault="0058534A" w:rsidP="004C79D2">
            <w:pPr>
              <w:pStyle w:val="Tabletextleftindent"/>
              <w:rPr>
                <w:b/>
              </w:rPr>
            </w:pPr>
            <w:r w:rsidRPr="00154117">
              <w:t>Greater Brisbane</w:t>
            </w:r>
          </w:p>
        </w:tc>
        <w:tc>
          <w:tcPr>
            <w:tcW w:w="996" w:type="dxa"/>
            <w:tcBorders>
              <w:top w:val="nil"/>
              <w:left w:val="nil"/>
              <w:bottom w:val="nil"/>
              <w:right w:val="nil"/>
            </w:tcBorders>
            <w:vAlign w:val="center"/>
          </w:tcPr>
          <w:p w14:paraId="6CAD8937" w14:textId="0E9CB815" w:rsidR="0058534A" w:rsidRPr="00E20618" w:rsidRDefault="00E06C28" w:rsidP="004C79D2">
            <w:pPr>
              <w:pStyle w:val="TableTextRight"/>
              <w:rPr>
                <w:rFonts w:cstheme="minorHAnsi"/>
              </w:rPr>
            </w:pPr>
            <w:r w:rsidRPr="00F67DB6">
              <w:t>16.3</w:t>
            </w:r>
          </w:p>
        </w:tc>
        <w:tc>
          <w:tcPr>
            <w:tcW w:w="996" w:type="dxa"/>
            <w:tcBorders>
              <w:top w:val="nil"/>
              <w:left w:val="nil"/>
              <w:bottom w:val="nil"/>
              <w:right w:val="nil"/>
            </w:tcBorders>
            <w:shd w:val="clear" w:color="auto" w:fill="D2EDFF" w:themeFill="accent1" w:themeFillTint="1A"/>
            <w:vAlign w:val="center"/>
          </w:tcPr>
          <w:p w14:paraId="5875F698" w14:textId="2D4EB873" w:rsidR="0058534A" w:rsidRPr="00E20618" w:rsidRDefault="00E06C28" w:rsidP="004C79D2">
            <w:pPr>
              <w:pStyle w:val="TableTextRight"/>
              <w:rPr>
                <w:rFonts w:cstheme="minorHAnsi"/>
              </w:rPr>
            </w:pPr>
            <w:r w:rsidRPr="00F67DB6">
              <w:t>16.8</w:t>
            </w:r>
          </w:p>
        </w:tc>
        <w:tc>
          <w:tcPr>
            <w:tcW w:w="996" w:type="dxa"/>
            <w:tcBorders>
              <w:top w:val="nil"/>
              <w:left w:val="nil"/>
              <w:bottom w:val="nil"/>
              <w:right w:val="nil"/>
            </w:tcBorders>
            <w:vAlign w:val="center"/>
          </w:tcPr>
          <w:p w14:paraId="4082098C" w14:textId="507C41B8" w:rsidR="0058534A" w:rsidRPr="00E20618" w:rsidRDefault="00810E6F" w:rsidP="004C79D2">
            <w:pPr>
              <w:pStyle w:val="TableTextRight"/>
              <w:rPr>
                <w:rFonts w:cstheme="minorHAnsi"/>
              </w:rPr>
            </w:pPr>
            <w:r>
              <w:rPr>
                <w:rFonts w:cs="Calibri"/>
              </w:rPr>
              <w:t>17.9</w:t>
            </w:r>
          </w:p>
        </w:tc>
        <w:tc>
          <w:tcPr>
            <w:tcW w:w="996" w:type="dxa"/>
            <w:tcBorders>
              <w:top w:val="nil"/>
              <w:left w:val="nil"/>
              <w:bottom w:val="nil"/>
              <w:right w:val="nil"/>
            </w:tcBorders>
            <w:vAlign w:val="center"/>
          </w:tcPr>
          <w:p w14:paraId="57B52204" w14:textId="49F208B5" w:rsidR="0058534A" w:rsidRPr="00E20618" w:rsidRDefault="00E06C28" w:rsidP="004C79D2">
            <w:pPr>
              <w:pStyle w:val="TableTextRight"/>
              <w:rPr>
                <w:rFonts w:cstheme="minorHAnsi"/>
              </w:rPr>
            </w:pPr>
            <w:r w:rsidRPr="00F67DB6">
              <w:t>18.</w:t>
            </w:r>
            <w:r w:rsidR="00810E6F">
              <w:rPr>
                <w:rFonts w:cs="Calibri"/>
              </w:rPr>
              <w:t>5</w:t>
            </w:r>
          </w:p>
        </w:tc>
        <w:tc>
          <w:tcPr>
            <w:tcW w:w="996" w:type="dxa"/>
            <w:tcBorders>
              <w:top w:val="nil"/>
              <w:left w:val="nil"/>
              <w:bottom w:val="nil"/>
              <w:right w:val="single" w:sz="4" w:space="0" w:color="auto"/>
            </w:tcBorders>
            <w:vAlign w:val="center"/>
          </w:tcPr>
          <w:p w14:paraId="5AE6CB58" w14:textId="6544F1ED" w:rsidR="0058534A" w:rsidRPr="00E20618" w:rsidRDefault="00E06C28" w:rsidP="004C79D2">
            <w:pPr>
              <w:pStyle w:val="TableTextRight"/>
              <w:rPr>
                <w:rFonts w:cstheme="minorHAnsi"/>
              </w:rPr>
            </w:pPr>
            <w:r w:rsidRPr="00F67DB6">
              <w:t>18.</w:t>
            </w:r>
            <w:r w:rsidR="00810E6F">
              <w:rPr>
                <w:rFonts w:cs="Calibri"/>
              </w:rPr>
              <w:t>6</w:t>
            </w:r>
          </w:p>
        </w:tc>
        <w:tc>
          <w:tcPr>
            <w:tcW w:w="996" w:type="dxa"/>
            <w:tcBorders>
              <w:top w:val="nil"/>
              <w:left w:val="single" w:sz="4" w:space="0" w:color="auto"/>
              <w:bottom w:val="nil"/>
              <w:right w:val="nil"/>
            </w:tcBorders>
            <w:vAlign w:val="center"/>
          </w:tcPr>
          <w:p w14:paraId="6313CB47" w14:textId="2101F9B3" w:rsidR="0058534A" w:rsidRPr="00E20618" w:rsidRDefault="00810E6F" w:rsidP="004C79D2">
            <w:pPr>
              <w:pStyle w:val="TableTextRight"/>
              <w:rPr>
                <w:rFonts w:cstheme="minorHAnsi"/>
              </w:rPr>
            </w:pPr>
            <w:r>
              <w:rPr>
                <w:rFonts w:cs="Calibri"/>
              </w:rPr>
              <w:t>16.6</w:t>
            </w:r>
          </w:p>
        </w:tc>
      </w:tr>
      <w:tr w:rsidR="00154117" w:rsidRPr="0080495D" w14:paraId="1D097939" w14:textId="77777777" w:rsidTr="00154117">
        <w:tc>
          <w:tcPr>
            <w:tcW w:w="3096" w:type="dxa"/>
          </w:tcPr>
          <w:p w14:paraId="5022B0CB" w14:textId="77777777" w:rsidR="0058534A" w:rsidRPr="00154117" w:rsidRDefault="0058534A" w:rsidP="004C79D2">
            <w:pPr>
              <w:pStyle w:val="Tabletextleftindent"/>
              <w:rPr>
                <w:b/>
              </w:rPr>
            </w:pPr>
            <w:r w:rsidRPr="00154117">
              <w:t>Rest of Queensland</w:t>
            </w:r>
          </w:p>
        </w:tc>
        <w:tc>
          <w:tcPr>
            <w:tcW w:w="996" w:type="dxa"/>
            <w:tcBorders>
              <w:top w:val="nil"/>
              <w:left w:val="nil"/>
              <w:bottom w:val="nil"/>
              <w:right w:val="nil"/>
            </w:tcBorders>
            <w:vAlign w:val="center"/>
          </w:tcPr>
          <w:p w14:paraId="5DE53655" w14:textId="0BC55BD6" w:rsidR="0058534A" w:rsidRPr="00E20618" w:rsidRDefault="00E06C28" w:rsidP="004C79D2">
            <w:pPr>
              <w:pStyle w:val="TableTextRight"/>
              <w:rPr>
                <w:rFonts w:cstheme="minorHAnsi"/>
              </w:rPr>
            </w:pPr>
            <w:r w:rsidRPr="00F67DB6">
              <w:t>11.3</w:t>
            </w:r>
          </w:p>
        </w:tc>
        <w:tc>
          <w:tcPr>
            <w:tcW w:w="996" w:type="dxa"/>
            <w:tcBorders>
              <w:top w:val="nil"/>
              <w:left w:val="nil"/>
              <w:bottom w:val="nil"/>
              <w:right w:val="nil"/>
            </w:tcBorders>
            <w:shd w:val="clear" w:color="auto" w:fill="D2EDFF" w:themeFill="accent1" w:themeFillTint="1A"/>
            <w:vAlign w:val="center"/>
          </w:tcPr>
          <w:p w14:paraId="3D624BDF" w14:textId="2D60D305" w:rsidR="0058534A" w:rsidRPr="00E20618" w:rsidRDefault="00E06C28" w:rsidP="004C79D2">
            <w:pPr>
              <w:pStyle w:val="TableTextRight"/>
              <w:rPr>
                <w:rFonts w:cstheme="minorHAnsi"/>
              </w:rPr>
            </w:pPr>
            <w:r w:rsidRPr="00F67DB6">
              <w:t>9.2</w:t>
            </w:r>
          </w:p>
        </w:tc>
        <w:tc>
          <w:tcPr>
            <w:tcW w:w="996" w:type="dxa"/>
            <w:tcBorders>
              <w:top w:val="nil"/>
              <w:left w:val="nil"/>
              <w:bottom w:val="nil"/>
              <w:right w:val="nil"/>
            </w:tcBorders>
            <w:vAlign w:val="center"/>
          </w:tcPr>
          <w:p w14:paraId="7F05808D" w14:textId="768C3C15" w:rsidR="0058534A" w:rsidRPr="00E20618" w:rsidRDefault="00E06C28" w:rsidP="004C79D2">
            <w:pPr>
              <w:pStyle w:val="TableTextRight"/>
              <w:rPr>
                <w:rFonts w:cstheme="minorHAnsi"/>
              </w:rPr>
            </w:pPr>
            <w:r w:rsidRPr="00F67DB6">
              <w:t>10.1</w:t>
            </w:r>
          </w:p>
        </w:tc>
        <w:tc>
          <w:tcPr>
            <w:tcW w:w="996" w:type="dxa"/>
            <w:tcBorders>
              <w:top w:val="nil"/>
              <w:left w:val="nil"/>
              <w:bottom w:val="nil"/>
              <w:right w:val="nil"/>
            </w:tcBorders>
            <w:vAlign w:val="center"/>
          </w:tcPr>
          <w:p w14:paraId="11219990" w14:textId="63D51161" w:rsidR="0058534A" w:rsidRPr="00E20618" w:rsidRDefault="00E06C28" w:rsidP="004C79D2">
            <w:pPr>
              <w:pStyle w:val="TableTextRight"/>
              <w:rPr>
                <w:rFonts w:cstheme="minorHAnsi"/>
              </w:rPr>
            </w:pPr>
            <w:r w:rsidRPr="00F67DB6">
              <w:t>10.</w:t>
            </w:r>
            <w:r w:rsidR="00810E6F">
              <w:rPr>
                <w:rFonts w:cs="Calibri"/>
              </w:rPr>
              <w:t>6</w:t>
            </w:r>
          </w:p>
        </w:tc>
        <w:tc>
          <w:tcPr>
            <w:tcW w:w="996" w:type="dxa"/>
            <w:tcBorders>
              <w:top w:val="nil"/>
              <w:left w:val="nil"/>
              <w:bottom w:val="nil"/>
              <w:right w:val="single" w:sz="4" w:space="0" w:color="auto"/>
            </w:tcBorders>
            <w:vAlign w:val="center"/>
          </w:tcPr>
          <w:p w14:paraId="510CD1FF" w14:textId="0008AFC7" w:rsidR="0058534A" w:rsidRPr="00E20618" w:rsidRDefault="00E06C28" w:rsidP="004C79D2">
            <w:pPr>
              <w:pStyle w:val="TableTextRight"/>
              <w:rPr>
                <w:rFonts w:cstheme="minorHAnsi"/>
              </w:rPr>
            </w:pPr>
            <w:r w:rsidRPr="00F67DB6">
              <w:t>10.</w:t>
            </w:r>
            <w:r w:rsidR="00810E6F">
              <w:rPr>
                <w:rFonts w:cs="Calibri"/>
              </w:rPr>
              <w:t>6</w:t>
            </w:r>
          </w:p>
        </w:tc>
        <w:tc>
          <w:tcPr>
            <w:tcW w:w="996" w:type="dxa"/>
            <w:tcBorders>
              <w:top w:val="nil"/>
              <w:left w:val="single" w:sz="4" w:space="0" w:color="auto"/>
              <w:bottom w:val="nil"/>
              <w:right w:val="nil"/>
            </w:tcBorders>
            <w:vAlign w:val="center"/>
          </w:tcPr>
          <w:p w14:paraId="73E115AD" w14:textId="684C0A3B" w:rsidR="0058534A" w:rsidRPr="00E20618" w:rsidRDefault="00E06C28" w:rsidP="004C79D2">
            <w:pPr>
              <w:pStyle w:val="TableTextRight"/>
              <w:rPr>
                <w:rFonts w:cstheme="minorHAnsi"/>
              </w:rPr>
            </w:pPr>
            <w:r w:rsidRPr="00F67DB6">
              <w:t>7.</w:t>
            </w:r>
            <w:r w:rsidR="00810E6F">
              <w:rPr>
                <w:rFonts w:cs="Calibri"/>
              </w:rPr>
              <w:t>1</w:t>
            </w:r>
          </w:p>
        </w:tc>
      </w:tr>
      <w:tr w:rsidR="00154117" w:rsidRPr="0080495D" w14:paraId="7AE19D9D" w14:textId="77777777" w:rsidTr="00154117">
        <w:tc>
          <w:tcPr>
            <w:tcW w:w="3096" w:type="dxa"/>
          </w:tcPr>
          <w:p w14:paraId="0F7C3E6D" w14:textId="256D9790" w:rsidR="0058534A" w:rsidRPr="00154117" w:rsidRDefault="0058534A" w:rsidP="004C79D2">
            <w:pPr>
              <w:pStyle w:val="TableColumnHeadingLeft"/>
            </w:pPr>
            <w:r w:rsidRPr="00154117">
              <w:t>Net overseas migration (</w:t>
            </w:r>
            <w:r w:rsidR="004B14AB" w:rsidRPr="00154117">
              <w:t>‘</w:t>
            </w:r>
            <w:r w:rsidRPr="00154117">
              <w:t>000)</w:t>
            </w:r>
          </w:p>
        </w:tc>
        <w:tc>
          <w:tcPr>
            <w:tcW w:w="996" w:type="dxa"/>
            <w:tcBorders>
              <w:top w:val="nil"/>
              <w:left w:val="nil"/>
              <w:bottom w:val="nil"/>
              <w:right w:val="nil"/>
            </w:tcBorders>
            <w:vAlign w:val="center"/>
          </w:tcPr>
          <w:p w14:paraId="2C739059" w14:textId="77777777" w:rsidR="0058534A" w:rsidRPr="00E20618" w:rsidRDefault="0058534A" w:rsidP="004C79D2">
            <w:pPr>
              <w:pStyle w:val="TableTextRight"/>
              <w:rPr>
                <w:rFonts w:cstheme="minorHAnsi"/>
              </w:rPr>
            </w:pPr>
          </w:p>
        </w:tc>
        <w:tc>
          <w:tcPr>
            <w:tcW w:w="996" w:type="dxa"/>
            <w:tcBorders>
              <w:top w:val="nil"/>
              <w:left w:val="nil"/>
              <w:bottom w:val="nil"/>
              <w:right w:val="nil"/>
            </w:tcBorders>
            <w:shd w:val="clear" w:color="auto" w:fill="D2EDFF" w:themeFill="accent1" w:themeFillTint="1A"/>
            <w:vAlign w:val="center"/>
          </w:tcPr>
          <w:p w14:paraId="68757B60" w14:textId="59CEA81B" w:rsidR="0058534A" w:rsidRPr="00E20618" w:rsidRDefault="00E06C28" w:rsidP="004C79D2">
            <w:pPr>
              <w:pStyle w:val="TableTextRight"/>
              <w:rPr>
                <w:rFonts w:cstheme="minorHAnsi"/>
              </w:rPr>
            </w:pPr>
            <w:r w:rsidRPr="00F67DB6">
              <w:t> </w:t>
            </w:r>
          </w:p>
        </w:tc>
        <w:tc>
          <w:tcPr>
            <w:tcW w:w="996" w:type="dxa"/>
            <w:tcBorders>
              <w:top w:val="nil"/>
              <w:left w:val="nil"/>
              <w:bottom w:val="nil"/>
              <w:right w:val="nil"/>
            </w:tcBorders>
            <w:vAlign w:val="center"/>
          </w:tcPr>
          <w:p w14:paraId="7E0AF1EE" w14:textId="77777777" w:rsidR="0058534A" w:rsidRPr="00E20618" w:rsidRDefault="0058534A" w:rsidP="004C79D2">
            <w:pPr>
              <w:pStyle w:val="TableTextRight"/>
              <w:rPr>
                <w:rFonts w:cstheme="minorHAnsi"/>
              </w:rPr>
            </w:pPr>
          </w:p>
        </w:tc>
        <w:tc>
          <w:tcPr>
            <w:tcW w:w="996" w:type="dxa"/>
            <w:tcBorders>
              <w:top w:val="nil"/>
              <w:left w:val="nil"/>
              <w:bottom w:val="nil"/>
              <w:right w:val="nil"/>
            </w:tcBorders>
            <w:vAlign w:val="center"/>
          </w:tcPr>
          <w:p w14:paraId="04F0326C" w14:textId="77777777" w:rsidR="0058534A" w:rsidRPr="00E20618" w:rsidRDefault="0058534A" w:rsidP="004C79D2">
            <w:pPr>
              <w:pStyle w:val="TableTextRight"/>
              <w:rPr>
                <w:rFonts w:cstheme="minorHAnsi"/>
              </w:rPr>
            </w:pPr>
          </w:p>
        </w:tc>
        <w:tc>
          <w:tcPr>
            <w:tcW w:w="996" w:type="dxa"/>
            <w:tcBorders>
              <w:top w:val="nil"/>
              <w:left w:val="nil"/>
              <w:bottom w:val="nil"/>
              <w:right w:val="single" w:sz="4" w:space="0" w:color="auto"/>
            </w:tcBorders>
            <w:vAlign w:val="center"/>
          </w:tcPr>
          <w:p w14:paraId="0DCB0F90" w14:textId="6813F956" w:rsidR="0058534A" w:rsidRPr="00E20618" w:rsidRDefault="00E06C28" w:rsidP="004C79D2">
            <w:pPr>
              <w:pStyle w:val="TableTextRight"/>
              <w:rPr>
                <w:rFonts w:cstheme="minorHAnsi"/>
              </w:rPr>
            </w:pPr>
            <w:r w:rsidRPr="00F67DB6">
              <w:t> </w:t>
            </w:r>
          </w:p>
        </w:tc>
        <w:tc>
          <w:tcPr>
            <w:tcW w:w="996" w:type="dxa"/>
            <w:tcBorders>
              <w:top w:val="nil"/>
              <w:left w:val="single" w:sz="4" w:space="0" w:color="auto"/>
              <w:bottom w:val="nil"/>
              <w:right w:val="nil"/>
            </w:tcBorders>
            <w:vAlign w:val="center"/>
          </w:tcPr>
          <w:p w14:paraId="4220AEE0" w14:textId="77777777" w:rsidR="0058534A" w:rsidRPr="00E20618" w:rsidRDefault="0058534A" w:rsidP="004C79D2">
            <w:pPr>
              <w:pStyle w:val="TableTextRight"/>
              <w:rPr>
                <w:rFonts w:cstheme="minorHAnsi"/>
              </w:rPr>
            </w:pPr>
          </w:p>
        </w:tc>
      </w:tr>
      <w:tr w:rsidR="00154117" w:rsidRPr="0080495D" w14:paraId="2FD4FA07" w14:textId="77777777" w:rsidTr="00154117">
        <w:tc>
          <w:tcPr>
            <w:tcW w:w="3096" w:type="dxa"/>
          </w:tcPr>
          <w:p w14:paraId="3C6892DC" w14:textId="77777777" w:rsidR="0058534A" w:rsidRPr="00154117" w:rsidRDefault="0058534A" w:rsidP="004C79D2">
            <w:pPr>
              <w:pStyle w:val="TableTextLeft"/>
              <w:rPr>
                <w:b/>
              </w:rPr>
            </w:pPr>
            <w:r w:rsidRPr="00154117">
              <w:t>Queensland</w:t>
            </w:r>
          </w:p>
        </w:tc>
        <w:tc>
          <w:tcPr>
            <w:tcW w:w="996" w:type="dxa"/>
            <w:tcBorders>
              <w:top w:val="nil"/>
              <w:left w:val="nil"/>
              <w:bottom w:val="nil"/>
              <w:right w:val="nil"/>
            </w:tcBorders>
            <w:vAlign w:val="center"/>
          </w:tcPr>
          <w:p w14:paraId="12D6E175" w14:textId="615136CD" w:rsidR="0058534A" w:rsidRPr="00E20618" w:rsidRDefault="00E06C28" w:rsidP="004C79D2">
            <w:pPr>
              <w:pStyle w:val="TableTextRight"/>
              <w:rPr>
                <w:rFonts w:cstheme="minorHAnsi"/>
              </w:rPr>
            </w:pPr>
            <w:r w:rsidRPr="00F67DB6">
              <w:t>29.4</w:t>
            </w:r>
          </w:p>
        </w:tc>
        <w:tc>
          <w:tcPr>
            <w:tcW w:w="996" w:type="dxa"/>
            <w:tcBorders>
              <w:top w:val="nil"/>
              <w:left w:val="nil"/>
              <w:bottom w:val="nil"/>
              <w:right w:val="nil"/>
            </w:tcBorders>
            <w:shd w:val="clear" w:color="auto" w:fill="D2EDFF" w:themeFill="accent1" w:themeFillTint="1A"/>
            <w:vAlign w:val="center"/>
          </w:tcPr>
          <w:p w14:paraId="58940FAF" w14:textId="03B03928" w:rsidR="0058534A" w:rsidRPr="00E20618" w:rsidRDefault="00E06C28" w:rsidP="004C79D2">
            <w:pPr>
              <w:pStyle w:val="TableTextRight"/>
              <w:rPr>
                <w:rFonts w:cstheme="minorHAnsi"/>
              </w:rPr>
            </w:pPr>
            <w:r w:rsidRPr="00F67DB6">
              <w:t>79.1</w:t>
            </w:r>
          </w:p>
        </w:tc>
        <w:tc>
          <w:tcPr>
            <w:tcW w:w="996" w:type="dxa"/>
            <w:tcBorders>
              <w:top w:val="nil"/>
              <w:left w:val="nil"/>
              <w:bottom w:val="nil"/>
              <w:right w:val="nil"/>
            </w:tcBorders>
            <w:vAlign w:val="center"/>
          </w:tcPr>
          <w:p w14:paraId="432A7FAB" w14:textId="48316854" w:rsidR="0058534A" w:rsidRPr="00E20618" w:rsidRDefault="00810E6F" w:rsidP="004C79D2">
            <w:pPr>
              <w:pStyle w:val="TableTextRight"/>
              <w:rPr>
                <w:rFonts w:cstheme="minorHAnsi"/>
              </w:rPr>
            </w:pPr>
            <w:r>
              <w:rPr>
                <w:rFonts w:cs="Calibri"/>
              </w:rPr>
              <w:t>52.3</w:t>
            </w:r>
          </w:p>
        </w:tc>
        <w:tc>
          <w:tcPr>
            <w:tcW w:w="996" w:type="dxa"/>
            <w:tcBorders>
              <w:top w:val="nil"/>
              <w:left w:val="nil"/>
              <w:bottom w:val="nil"/>
              <w:right w:val="nil"/>
            </w:tcBorders>
            <w:vAlign w:val="center"/>
          </w:tcPr>
          <w:p w14:paraId="5070ADD1" w14:textId="2A7C3F66" w:rsidR="0058534A" w:rsidRPr="00E20618" w:rsidRDefault="00810E6F" w:rsidP="004C79D2">
            <w:pPr>
              <w:pStyle w:val="TableTextRight"/>
              <w:rPr>
                <w:rFonts w:cstheme="minorHAnsi"/>
              </w:rPr>
            </w:pPr>
            <w:r>
              <w:rPr>
                <w:rFonts w:cs="Calibri"/>
              </w:rPr>
              <w:t>33</w:t>
            </w:r>
            <w:r w:rsidR="00E06C28" w:rsidRPr="00F67DB6">
              <w:t>.9</w:t>
            </w:r>
          </w:p>
        </w:tc>
        <w:tc>
          <w:tcPr>
            <w:tcW w:w="996" w:type="dxa"/>
            <w:tcBorders>
              <w:top w:val="nil"/>
              <w:left w:val="nil"/>
              <w:bottom w:val="nil"/>
              <w:right w:val="single" w:sz="4" w:space="0" w:color="auto"/>
            </w:tcBorders>
            <w:vAlign w:val="center"/>
          </w:tcPr>
          <w:p w14:paraId="0DC91DF2" w14:textId="7B990092" w:rsidR="0058534A" w:rsidRPr="00E20618" w:rsidRDefault="00810E6F" w:rsidP="004C79D2">
            <w:pPr>
              <w:pStyle w:val="TableTextRight"/>
              <w:rPr>
                <w:rFonts w:cstheme="minorHAnsi"/>
              </w:rPr>
            </w:pPr>
            <w:r>
              <w:rPr>
                <w:rFonts w:cs="Calibri"/>
              </w:rPr>
              <w:t>33.5</w:t>
            </w:r>
          </w:p>
        </w:tc>
        <w:tc>
          <w:tcPr>
            <w:tcW w:w="996" w:type="dxa"/>
            <w:tcBorders>
              <w:top w:val="nil"/>
              <w:left w:val="single" w:sz="4" w:space="0" w:color="auto"/>
              <w:bottom w:val="nil"/>
              <w:right w:val="nil"/>
            </w:tcBorders>
            <w:vAlign w:val="center"/>
          </w:tcPr>
          <w:p w14:paraId="778E796B" w14:textId="37B7DD0C" w:rsidR="0058534A" w:rsidRPr="00E20618" w:rsidRDefault="00E06C28" w:rsidP="004C79D2">
            <w:pPr>
              <w:pStyle w:val="TableTextRight"/>
              <w:rPr>
                <w:rFonts w:cstheme="minorHAnsi"/>
              </w:rPr>
            </w:pPr>
            <w:r w:rsidRPr="00F67DB6">
              <w:t>30.</w:t>
            </w:r>
            <w:r w:rsidR="00810E6F">
              <w:rPr>
                <w:rFonts w:cs="Calibri"/>
              </w:rPr>
              <w:t>1</w:t>
            </w:r>
          </w:p>
        </w:tc>
      </w:tr>
      <w:tr w:rsidR="00154117" w:rsidRPr="0080495D" w14:paraId="0270CA38" w14:textId="77777777" w:rsidTr="00154117">
        <w:tc>
          <w:tcPr>
            <w:tcW w:w="3096" w:type="dxa"/>
          </w:tcPr>
          <w:p w14:paraId="1888B7A3" w14:textId="77777777" w:rsidR="0058534A" w:rsidRPr="00154117" w:rsidRDefault="0058534A" w:rsidP="004C79D2">
            <w:pPr>
              <w:pStyle w:val="Tabletextleftindent"/>
              <w:rPr>
                <w:b/>
              </w:rPr>
            </w:pPr>
            <w:r w:rsidRPr="00154117">
              <w:t>Greater Brisbane</w:t>
            </w:r>
          </w:p>
        </w:tc>
        <w:tc>
          <w:tcPr>
            <w:tcW w:w="996" w:type="dxa"/>
            <w:tcBorders>
              <w:top w:val="nil"/>
              <w:left w:val="nil"/>
              <w:bottom w:val="nil"/>
              <w:right w:val="nil"/>
            </w:tcBorders>
            <w:vAlign w:val="center"/>
          </w:tcPr>
          <w:p w14:paraId="4FF99A91" w14:textId="30764607" w:rsidR="0058534A" w:rsidRPr="00E20618" w:rsidRDefault="00E06C28" w:rsidP="004C79D2">
            <w:pPr>
              <w:pStyle w:val="TableTextRight"/>
              <w:rPr>
                <w:rFonts w:cstheme="minorHAnsi"/>
              </w:rPr>
            </w:pPr>
            <w:r w:rsidRPr="00F67DB6">
              <w:t>16.1</w:t>
            </w:r>
          </w:p>
        </w:tc>
        <w:tc>
          <w:tcPr>
            <w:tcW w:w="996" w:type="dxa"/>
            <w:tcBorders>
              <w:top w:val="nil"/>
              <w:left w:val="nil"/>
              <w:bottom w:val="nil"/>
              <w:right w:val="nil"/>
            </w:tcBorders>
            <w:shd w:val="clear" w:color="auto" w:fill="D2EDFF" w:themeFill="accent1" w:themeFillTint="1A"/>
            <w:vAlign w:val="center"/>
          </w:tcPr>
          <w:p w14:paraId="35AB88EA" w14:textId="44695249" w:rsidR="0058534A" w:rsidRPr="00E20618" w:rsidRDefault="00E06C28" w:rsidP="004C79D2">
            <w:pPr>
              <w:pStyle w:val="TableTextRight"/>
              <w:rPr>
                <w:rFonts w:cstheme="minorHAnsi"/>
              </w:rPr>
            </w:pPr>
            <w:r w:rsidRPr="00F67DB6">
              <w:t>48.3</w:t>
            </w:r>
          </w:p>
        </w:tc>
        <w:tc>
          <w:tcPr>
            <w:tcW w:w="996" w:type="dxa"/>
            <w:tcBorders>
              <w:top w:val="nil"/>
              <w:left w:val="nil"/>
              <w:bottom w:val="nil"/>
              <w:right w:val="nil"/>
            </w:tcBorders>
            <w:vAlign w:val="center"/>
          </w:tcPr>
          <w:p w14:paraId="10B0437D" w14:textId="23A7E084" w:rsidR="0058534A" w:rsidRPr="00E20618" w:rsidRDefault="00810E6F" w:rsidP="004C79D2">
            <w:pPr>
              <w:pStyle w:val="TableTextRight"/>
              <w:rPr>
                <w:rFonts w:cstheme="minorHAnsi"/>
              </w:rPr>
            </w:pPr>
            <w:r>
              <w:rPr>
                <w:rFonts w:cs="Calibri"/>
              </w:rPr>
              <w:t>31.5</w:t>
            </w:r>
          </w:p>
        </w:tc>
        <w:tc>
          <w:tcPr>
            <w:tcW w:w="996" w:type="dxa"/>
            <w:tcBorders>
              <w:top w:val="nil"/>
              <w:left w:val="nil"/>
              <w:bottom w:val="nil"/>
              <w:right w:val="nil"/>
            </w:tcBorders>
            <w:vAlign w:val="center"/>
          </w:tcPr>
          <w:p w14:paraId="5519DB04" w14:textId="7A5CE28B" w:rsidR="0058534A" w:rsidRPr="00E20618" w:rsidRDefault="00810E6F" w:rsidP="004C79D2">
            <w:pPr>
              <w:pStyle w:val="TableTextRight"/>
              <w:rPr>
                <w:rFonts w:cstheme="minorHAnsi"/>
              </w:rPr>
            </w:pPr>
            <w:r>
              <w:rPr>
                <w:rFonts w:cs="Calibri"/>
              </w:rPr>
              <w:t>19.9</w:t>
            </w:r>
          </w:p>
        </w:tc>
        <w:tc>
          <w:tcPr>
            <w:tcW w:w="996" w:type="dxa"/>
            <w:tcBorders>
              <w:top w:val="nil"/>
              <w:left w:val="nil"/>
              <w:bottom w:val="nil"/>
              <w:right w:val="single" w:sz="4" w:space="0" w:color="auto"/>
            </w:tcBorders>
            <w:vAlign w:val="center"/>
          </w:tcPr>
          <w:p w14:paraId="5BF402AA" w14:textId="586BF058" w:rsidR="0058534A" w:rsidRPr="00E20618" w:rsidRDefault="00810E6F" w:rsidP="004C79D2">
            <w:pPr>
              <w:pStyle w:val="TableTextRight"/>
              <w:rPr>
                <w:rFonts w:cstheme="minorHAnsi"/>
              </w:rPr>
            </w:pPr>
            <w:r>
              <w:rPr>
                <w:rFonts w:cs="Calibri"/>
              </w:rPr>
              <w:t>19.6</w:t>
            </w:r>
          </w:p>
        </w:tc>
        <w:tc>
          <w:tcPr>
            <w:tcW w:w="996" w:type="dxa"/>
            <w:tcBorders>
              <w:top w:val="nil"/>
              <w:left w:val="single" w:sz="4" w:space="0" w:color="auto"/>
              <w:bottom w:val="nil"/>
              <w:right w:val="nil"/>
            </w:tcBorders>
            <w:vAlign w:val="center"/>
          </w:tcPr>
          <w:p w14:paraId="3B172846" w14:textId="3FF057EE" w:rsidR="0058534A" w:rsidRPr="00E20618" w:rsidRDefault="00E06C28" w:rsidP="004C79D2">
            <w:pPr>
              <w:pStyle w:val="TableTextRight"/>
              <w:rPr>
                <w:rFonts w:cstheme="minorHAnsi"/>
              </w:rPr>
            </w:pPr>
            <w:r w:rsidRPr="00F67DB6">
              <w:t>17.</w:t>
            </w:r>
            <w:r w:rsidR="00810E6F">
              <w:rPr>
                <w:rFonts w:cs="Calibri"/>
              </w:rPr>
              <w:t>5</w:t>
            </w:r>
          </w:p>
        </w:tc>
      </w:tr>
      <w:tr w:rsidR="00154117" w:rsidRPr="0080495D" w14:paraId="4F5214A5" w14:textId="77777777" w:rsidTr="00154117">
        <w:tc>
          <w:tcPr>
            <w:tcW w:w="3096" w:type="dxa"/>
          </w:tcPr>
          <w:p w14:paraId="3C0A7014" w14:textId="77777777" w:rsidR="0058534A" w:rsidRPr="00154117" w:rsidRDefault="0058534A" w:rsidP="004C79D2">
            <w:pPr>
              <w:pStyle w:val="Tabletextleftindent"/>
              <w:rPr>
                <w:b/>
              </w:rPr>
            </w:pPr>
            <w:r w:rsidRPr="00154117">
              <w:t>Rest of Queensland</w:t>
            </w:r>
          </w:p>
        </w:tc>
        <w:tc>
          <w:tcPr>
            <w:tcW w:w="996" w:type="dxa"/>
            <w:tcBorders>
              <w:top w:val="nil"/>
              <w:left w:val="nil"/>
              <w:bottom w:val="nil"/>
              <w:right w:val="nil"/>
            </w:tcBorders>
            <w:vAlign w:val="center"/>
          </w:tcPr>
          <w:p w14:paraId="777A8FC6" w14:textId="5E43BA59" w:rsidR="0058534A" w:rsidRPr="00E20618" w:rsidRDefault="00E06C28" w:rsidP="004C79D2">
            <w:pPr>
              <w:pStyle w:val="TableTextRight"/>
              <w:rPr>
                <w:rFonts w:cstheme="minorHAnsi"/>
              </w:rPr>
            </w:pPr>
            <w:r w:rsidRPr="00F67DB6">
              <w:t>12.1</w:t>
            </w:r>
          </w:p>
        </w:tc>
        <w:tc>
          <w:tcPr>
            <w:tcW w:w="996" w:type="dxa"/>
            <w:tcBorders>
              <w:top w:val="nil"/>
              <w:left w:val="nil"/>
              <w:bottom w:val="nil"/>
              <w:right w:val="nil"/>
            </w:tcBorders>
            <w:shd w:val="clear" w:color="auto" w:fill="D2EDFF" w:themeFill="accent1" w:themeFillTint="1A"/>
            <w:vAlign w:val="center"/>
          </w:tcPr>
          <w:p w14:paraId="33EA8DF9" w14:textId="6750E17D" w:rsidR="0058534A" w:rsidRPr="00E20618" w:rsidRDefault="00E06C28" w:rsidP="004C79D2">
            <w:pPr>
              <w:pStyle w:val="TableTextRight"/>
              <w:rPr>
                <w:rFonts w:cstheme="minorHAnsi"/>
              </w:rPr>
            </w:pPr>
            <w:r w:rsidRPr="00F67DB6">
              <w:t>30.8</w:t>
            </w:r>
          </w:p>
        </w:tc>
        <w:tc>
          <w:tcPr>
            <w:tcW w:w="996" w:type="dxa"/>
            <w:tcBorders>
              <w:top w:val="nil"/>
              <w:left w:val="nil"/>
              <w:bottom w:val="nil"/>
              <w:right w:val="nil"/>
            </w:tcBorders>
            <w:vAlign w:val="center"/>
          </w:tcPr>
          <w:p w14:paraId="48556ACA" w14:textId="026A17E3" w:rsidR="0058534A" w:rsidRPr="00E20618" w:rsidRDefault="00810E6F" w:rsidP="004C79D2">
            <w:pPr>
              <w:pStyle w:val="TableTextRight"/>
              <w:rPr>
                <w:rFonts w:cstheme="minorHAnsi"/>
              </w:rPr>
            </w:pPr>
            <w:r>
              <w:rPr>
                <w:rFonts w:cs="Calibri"/>
              </w:rPr>
              <w:t>20.8</w:t>
            </w:r>
          </w:p>
        </w:tc>
        <w:tc>
          <w:tcPr>
            <w:tcW w:w="996" w:type="dxa"/>
            <w:tcBorders>
              <w:top w:val="nil"/>
              <w:left w:val="nil"/>
              <w:bottom w:val="nil"/>
              <w:right w:val="nil"/>
            </w:tcBorders>
            <w:vAlign w:val="center"/>
          </w:tcPr>
          <w:p w14:paraId="0FEE9F5A" w14:textId="3B230B73" w:rsidR="0058534A" w:rsidRPr="00E20618" w:rsidRDefault="00810E6F" w:rsidP="004C79D2">
            <w:pPr>
              <w:pStyle w:val="TableTextRight"/>
              <w:rPr>
                <w:rFonts w:cstheme="minorHAnsi"/>
              </w:rPr>
            </w:pPr>
            <w:r>
              <w:rPr>
                <w:rFonts w:cs="Calibri"/>
              </w:rPr>
              <w:t>14.0</w:t>
            </w:r>
          </w:p>
        </w:tc>
        <w:tc>
          <w:tcPr>
            <w:tcW w:w="996" w:type="dxa"/>
            <w:tcBorders>
              <w:top w:val="nil"/>
              <w:left w:val="nil"/>
              <w:bottom w:val="nil"/>
              <w:right w:val="single" w:sz="4" w:space="0" w:color="auto"/>
            </w:tcBorders>
            <w:vAlign w:val="center"/>
          </w:tcPr>
          <w:p w14:paraId="5063FC9D" w14:textId="1C206599" w:rsidR="0058534A" w:rsidRPr="00E20618" w:rsidRDefault="00810E6F" w:rsidP="004C79D2">
            <w:pPr>
              <w:pStyle w:val="TableTextRight"/>
              <w:rPr>
                <w:rFonts w:cstheme="minorHAnsi"/>
              </w:rPr>
            </w:pPr>
            <w:r>
              <w:rPr>
                <w:rFonts w:cs="Calibri"/>
              </w:rPr>
              <w:t>13.8</w:t>
            </w:r>
          </w:p>
        </w:tc>
        <w:tc>
          <w:tcPr>
            <w:tcW w:w="996" w:type="dxa"/>
            <w:tcBorders>
              <w:top w:val="nil"/>
              <w:left w:val="single" w:sz="4" w:space="0" w:color="auto"/>
              <w:bottom w:val="nil"/>
              <w:right w:val="nil"/>
            </w:tcBorders>
            <w:vAlign w:val="center"/>
          </w:tcPr>
          <w:p w14:paraId="26DEE05D" w14:textId="21E65282" w:rsidR="0058534A" w:rsidRPr="00E20618" w:rsidRDefault="00E06C28" w:rsidP="004C79D2">
            <w:pPr>
              <w:pStyle w:val="TableTextRight"/>
              <w:rPr>
                <w:rFonts w:cstheme="minorHAnsi"/>
              </w:rPr>
            </w:pPr>
            <w:r w:rsidRPr="00F67DB6">
              <w:t>12.</w:t>
            </w:r>
            <w:r w:rsidR="00810E6F">
              <w:rPr>
                <w:rFonts w:cs="Calibri"/>
              </w:rPr>
              <w:t>6</w:t>
            </w:r>
          </w:p>
        </w:tc>
      </w:tr>
      <w:tr w:rsidR="00154117" w:rsidRPr="0080495D" w14:paraId="56DA9AA8" w14:textId="77777777" w:rsidTr="00154117">
        <w:tc>
          <w:tcPr>
            <w:tcW w:w="3096" w:type="dxa"/>
          </w:tcPr>
          <w:p w14:paraId="1AEED503" w14:textId="041F34FF" w:rsidR="0058534A" w:rsidRPr="00154117" w:rsidRDefault="0058534A" w:rsidP="004C79D2">
            <w:pPr>
              <w:pStyle w:val="TableColumnHeadingLeft"/>
            </w:pPr>
            <w:r w:rsidRPr="00154117">
              <w:t>Net internal migration (</w:t>
            </w:r>
            <w:r w:rsidR="004B14AB" w:rsidRPr="00154117">
              <w:t>‘</w:t>
            </w:r>
            <w:r w:rsidRPr="00154117">
              <w:t>000)</w:t>
            </w:r>
          </w:p>
        </w:tc>
        <w:tc>
          <w:tcPr>
            <w:tcW w:w="996" w:type="dxa"/>
            <w:tcBorders>
              <w:top w:val="nil"/>
              <w:left w:val="nil"/>
              <w:bottom w:val="nil"/>
              <w:right w:val="nil"/>
            </w:tcBorders>
            <w:vAlign w:val="center"/>
          </w:tcPr>
          <w:p w14:paraId="576E8A1D" w14:textId="77777777" w:rsidR="0058534A" w:rsidRPr="00E20618" w:rsidRDefault="0058534A" w:rsidP="004C79D2">
            <w:pPr>
              <w:pStyle w:val="TableTextRight"/>
              <w:rPr>
                <w:rFonts w:cstheme="minorHAnsi"/>
              </w:rPr>
            </w:pPr>
          </w:p>
        </w:tc>
        <w:tc>
          <w:tcPr>
            <w:tcW w:w="996" w:type="dxa"/>
            <w:tcBorders>
              <w:top w:val="nil"/>
              <w:left w:val="nil"/>
              <w:bottom w:val="nil"/>
              <w:right w:val="nil"/>
            </w:tcBorders>
            <w:shd w:val="clear" w:color="auto" w:fill="D2EDFF" w:themeFill="accent1" w:themeFillTint="1A"/>
            <w:vAlign w:val="center"/>
          </w:tcPr>
          <w:p w14:paraId="46B552F3" w14:textId="2E9946B5" w:rsidR="0058534A" w:rsidRPr="00E20618" w:rsidRDefault="00E06C28" w:rsidP="004C79D2">
            <w:pPr>
              <w:pStyle w:val="TableTextRight"/>
              <w:rPr>
                <w:rFonts w:cstheme="minorHAnsi"/>
              </w:rPr>
            </w:pPr>
            <w:r w:rsidRPr="00F67DB6">
              <w:t> </w:t>
            </w:r>
          </w:p>
        </w:tc>
        <w:tc>
          <w:tcPr>
            <w:tcW w:w="996" w:type="dxa"/>
            <w:tcBorders>
              <w:top w:val="nil"/>
              <w:left w:val="nil"/>
              <w:bottom w:val="nil"/>
              <w:right w:val="nil"/>
            </w:tcBorders>
            <w:vAlign w:val="center"/>
          </w:tcPr>
          <w:p w14:paraId="353C1B01" w14:textId="77777777" w:rsidR="0058534A" w:rsidRPr="00E20618" w:rsidRDefault="0058534A" w:rsidP="004C79D2">
            <w:pPr>
              <w:pStyle w:val="TableTextRight"/>
              <w:rPr>
                <w:rFonts w:cstheme="minorHAnsi"/>
              </w:rPr>
            </w:pPr>
          </w:p>
        </w:tc>
        <w:tc>
          <w:tcPr>
            <w:tcW w:w="996" w:type="dxa"/>
            <w:tcBorders>
              <w:top w:val="nil"/>
              <w:left w:val="nil"/>
              <w:bottom w:val="nil"/>
              <w:right w:val="nil"/>
            </w:tcBorders>
            <w:vAlign w:val="center"/>
          </w:tcPr>
          <w:p w14:paraId="5DE4D053" w14:textId="77777777" w:rsidR="0058534A" w:rsidRPr="00E20618" w:rsidRDefault="0058534A" w:rsidP="004C79D2">
            <w:pPr>
              <w:pStyle w:val="TableTextRight"/>
              <w:rPr>
                <w:rFonts w:cstheme="minorHAnsi"/>
              </w:rPr>
            </w:pPr>
          </w:p>
        </w:tc>
        <w:tc>
          <w:tcPr>
            <w:tcW w:w="996" w:type="dxa"/>
            <w:tcBorders>
              <w:top w:val="nil"/>
              <w:left w:val="nil"/>
              <w:bottom w:val="nil"/>
              <w:right w:val="single" w:sz="4" w:space="0" w:color="auto"/>
            </w:tcBorders>
            <w:vAlign w:val="center"/>
          </w:tcPr>
          <w:p w14:paraId="2E18EDA0" w14:textId="493A5EFA" w:rsidR="0058534A" w:rsidRPr="00E20618" w:rsidRDefault="00E06C28" w:rsidP="004C79D2">
            <w:pPr>
              <w:pStyle w:val="TableTextRight"/>
              <w:rPr>
                <w:rFonts w:cstheme="minorHAnsi"/>
              </w:rPr>
            </w:pPr>
            <w:r w:rsidRPr="00F67DB6">
              <w:t> </w:t>
            </w:r>
          </w:p>
        </w:tc>
        <w:tc>
          <w:tcPr>
            <w:tcW w:w="996" w:type="dxa"/>
            <w:tcBorders>
              <w:top w:val="nil"/>
              <w:left w:val="single" w:sz="4" w:space="0" w:color="auto"/>
              <w:bottom w:val="nil"/>
              <w:right w:val="nil"/>
            </w:tcBorders>
            <w:vAlign w:val="center"/>
          </w:tcPr>
          <w:p w14:paraId="0D60D511" w14:textId="77777777" w:rsidR="0058534A" w:rsidRPr="00E20618" w:rsidRDefault="0058534A" w:rsidP="004C79D2">
            <w:pPr>
              <w:pStyle w:val="TableTextRight"/>
              <w:rPr>
                <w:rFonts w:cstheme="minorHAnsi"/>
              </w:rPr>
            </w:pPr>
          </w:p>
        </w:tc>
      </w:tr>
      <w:tr w:rsidR="00154117" w:rsidRPr="0080495D" w14:paraId="57AAB968" w14:textId="77777777" w:rsidTr="00154117">
        <w:tc>
          <w:tcPr>
            <w:tcW w:w="3096" w:type="dxa"/>
          </w:tcPr>
          <w:p w14:paraId="1B6C02B0" w14:textId="77777777" w:rsidR="0058534A" w:rsidRPr="00154117" w:rsidRDefault="0058534A" w:rsidP="004C79D2">
            <w:pPr>
              <w:pStyle w:val="TableTextLeft"/>
              <w:rPr>
                <w:b/>
              </w:rPr>
            </w:pPr>
            <w:r w:rsidRPr="00154117">
              <w:t>Queensland</w:t>
            </w:r>
          </w:p>
        </w:tc>
        <w:tc>
          <w:tcPr>
            <w:tcW w:w="996" w:type="dxa"/>
            <w:tcBorders>
              <w:top w:val="nil"/>
              <w:left w:val="nil"/>
              <w:bottom w:val="nil"/>
              <w:right w:val="nil"/>
            </w:tcBorders>
            <w:vAlign w:val="center"/>
          </w:tcPr>
          <w:p w14:paraId="19AFE3BF" w14:textId="5F5A72C3" w:rsidR="0058534A" w:rsidRPr="00E20618" w:rsidRDefault="00E06C28" w:rsidP="004C79D2">
            <w:pPr>
              <w:pStyle w:val="TableTextRight"/>
              <w:rPr>
                <w:rFonts w:cstheme="minorHAnsi"/>
              </w:rPr>
            </w:pPr>
            <w:r w:rsidRPr="00F67DB6">
              <w:t>48.8</w:t>
            </w:r>
          </w:p>
        </w:tc>
        <w:tc>
          <w:tcPr>
            <w:tcW w:w="996" w:type="dxa"/>
            <w:tcBorders>
              <w:top w:val="nil"/>
              <w:left w:val="nil"/>
              <w:bottom w:val="nil"/>
              <w:right w:val="nil"/>
            </w:tcBorders>
            <w:shd w:val="clear" w:color="auto" w:fill="D2EDFF" w:themeFill="accent1" w:themeFillTint="1A"/>
            <w:vAlign w:val="center"/>
          </w:tcPr>
          <w:p w14:paraId="0BC0C6A5" w14:textId="2BF189CB" w:rsidR="0058534A" w:rsidRPr="00E20618" w:rsidRDefault="00E06C28" w:rsidP="004C79D2">
            <w:pPr>
              <w:pStyle w:val="TableTextRight"/>
              <w:rPr>
                <w:rFonts w:cstheme="minorHAnsi"/>
              </w:rPr>
            </w:pPr>
            <w:r w:rsidRPr="00F67DB6">
              <w:t>29.0</w:t>
            </w:r>
          </w:p>
        </w:tc>
        <w:tc>
          <w:tcPr>
            <w:tcW w:w="996" w:type="dxa"/>
            <w:tcBorders>
              <w:top w:val="nil"/>
              <w:left w:val="nil"/>
              <w:bottom w:val="nil"/>
              <w:right w:val="nil"/>
            </w:tcBorders>
            <w:vAlign w:val="center"/>
          </w:tcPr>
          <w:p w14:paraId="7D915A84" w14:textId="1BF81A59" w:rsidR="0058534A" w:rsidRPr="00E20618" w:rsidRDefault="00E06C28" w:rsidP="004C79D2">
            <w:pPr>
              <w:pStyle w:val="TableTextRight"/>
              <w:rPr>
                <w:rFonts w:cstheme="minorHAnsi"/>
              </w:rPr>
            </w:pPr>
            <w:r w:rsidRPr="00F67DB6">
              <w:t>25.</w:t>
            </w:r>
            <w:r w:rsidR="00810E6F">
              <w:rPr>
                <w:rFonts w:cs="Calibri"/>
              </w:rPr>
              <w:t>6</w:t>
            </w:r>
          </w:p>
        </w:tc>
        <w:tc>
          <w:tcPr>
            <w:tcW w:w="996" w:type="dxa"/>
            <w:tcBorders>
              <w:top w:val="nil"/>
              <w:left w:val="nil"/>
              <w:bottom w:val="nil"/>
              <w:right w:val="nil"/>
            </w:tcBorders>
            <w:vAlign w:val="center"/>
          </w:tcPr>
          <w:p w14:paraId="4C4A6B18" w14:textId="181788FF" w:rsidR="0058534A" w:rsidRPr="00E20618" w:rsidRDefault="00E06C28" w:rsidP="004C79D2">
            <w:pPr>
              <w:pStyle w:val="TableTextRight"/>
              <w:rPr>
                <w:rFonts w:cstheme="minorHAnsi"/>
              </w:rPr>
            </w:pPr>
            <w:r w:rsidRPr="00F67DB6">
              <w:t>22.</w:t>
            </w:r>
            <w:r w:rsidR="00810E6F">
              <w:rPr>
                <w:rFonts w:cs="Calibri"/>
              </w:rPr>
              <w:t>2</w:t>
            </w:r>
          </w:p>
        </w:tc>
        <w:tc>
          <w:tcPr>
            <w:tcW w:w="996" w:type="dxa"/>
            <w:tcBorders>
              <w:top w:val="nil"/>
              <w:left w:val="nil"/>
              <w:bottom w:val="nil"/>
              <w:right w:val="single" w:sz="4" w:space="0" w:color="auto"/>
            </w:tcBorders>
            <w:vAlign w:val="center"/>
          </w:tcPr>
          <w:p w14:paraId="5DFB5C59" w14:textId="59EF6F1C" w:rsidR="0058534A" w:rsidRPr="00E20618" w:rsidRDefault="00810E6F" w:rsidP="004C79D2">
            <w:pPr>
              <w:pStyle w:val="TableTextRight"/>
              <w:rPr>
                <w:rFonts w:cstheme="minorHAnsi"/>
              </w:rPr>
            </w:pPr>
            <w:r>
              <w:rPr>
                <w:rFonts w:cs="Calibri"/>
              </w:rPr>
              <w:t>18.9</w:t>
            </w:r>
          </w:p>
        </w:tc>
        <w:tc>
          <w:tcPr>
            <w:tcW w:w="996" w:type="dxa"/>
            <w:tcBorders>
              <w:top w:val="nil"/>
              <w:left w:val="single" w:sz="4" w:space="0" w:color="auto"/>
              <w:bottom w:val="nil"/>
              <w:right w:val="nil"/>
            </w:tcBorders>
            <w:vAlign w:val="center"/>
          </w:tcPr>
          <w:p w14:paraId="0F129A00" w14:textId="51866228" w:rsidR="0058534A" w:rsidRPr="00E20618" w:rsidRDefault="00810E6F" w:rsidP="004C79D2">
            <w:pPr>
              <w:pStyle w:val="TableTextRight"/>
              <w:rPr>
                <w:rFonts w:cstheme="minorHAnsi"/>
              </w:rPr>
            </w:pPr>
            <w:r>
              <w:rPr>
                <w:rFonts w:cs="Calibri"/>
              </w:rPr>
              <w:t>19.6</w:t>
            </w:r>
          </w:p>
        </w:tc>
      </w:tr>
      <w:tr w:rsidR="00154117" w:rsidRPr="0080495D" w14:paraId="29EC8C86" w14:textId="77777777" w:rsidTr="00154117">
        <w:tc>
          <w:tcPr>
            <w:tcW w:w="3096" w:type="dxa"/>
          </w:tcPr>
          <w:p w14:paraId="4B97A897" w14:textId="77777777" w:rsidR="0058534A" w:rsidRPr="00154117" w:rsidRDefault="0058534A" w:rsidP="004C79D2">
            <w:pPr>
              <w:pStyle w:val="Tabletextleftindent"/>
              <w:rPr>
                <w:b/>
              </w:rPr>
            </w:pPr>
            <w:r w:rsidRPr="00154117">
              <w:t>Greater Brisbane</w:t>
            </w:r>
          </w:p>
        </w:tc>
        <w:tc>
          <w:tcPr>
            <w:tcW w:w="996" w:type="dxa"/>
            <w:tcBorders>
              <w:top w:val="nil"/>
              <w:left w:val="nil"/>
              <w:bottom w:val="nil"/>
              <w:right w:val="nil"/>
            </w:tcBorders>
            <w:vAlign w:val="center"/>
          </w:tcPr>
          <w:p w14:paraId="142B9295" w14:textId="4DAAC696" w:rsidR="0058534A" w:rsidRPr="00E20618" w:rsidRDefault="00E06C28" w:rsidP="004C79D2">
            <w:pPr>
              <w:pStyle w:val="TableTextRight"/>
              <w:rPr>
                <w:rFonts w:cstheme="minorHAnsi"/>
              </w:rPr>
            </w:pPr>
            <w:r w:rsidRPr="00F67DB6">
              <w:t>25.2</w:t>
            </w:r>
          </w:p>
        </w:tc>
        <w:tc>
          <w:tcPr>
            <w:tcW w:w="996" w:type="dxa"/>
            <w:tcBorders>
              <w:top w:val="nil"/>
              <w:left w:val="nil"/>
              <w:bottom w:val="nil"/>
              <w:right w:val="nil"/>
            </w:tcBorders>
            <w:shd w:val="clear" w:color="auto" w:fill="D2EDFF" w:themeFill="accent1" w:themeFillTint="1A"/>
            <w:vAlign w:val="center"/>
          </w:tcPr>
          <w:p w14:paraId="66A31CEB" w14:textId="2B915A4F" w:rsidR="0058534A" w:rsidRPr="00E20618" w:rsidRDefault="00E06C28" w:rsidP="004C79D2">
            <w:pPr>
              <w:pStyle w:val="TableTextRight"/>
              <w:rPr>
                <w:rFonts w:cstheme="minorHAnsi"/>
              </w:rPr>
            </w:pPr>
            <w:r w:rsidRPr="00F67DB6">
              <w:t>12.8</w:t>
            </w:r>
          </w:p>
        </w:tc>
        <w:tc>
          <w:tcPr>
            <w:tcW w:w="996" w:type="dxa"/>
            <w:tcBorders>
              <w:top w:val="nil"/>
              <w:left w:val="nil"/>
              <w:bottom w:val="nil"/>
              <w:right w:val="nil"/>
            </w:tcBorders>
            <w:vAlign w:val="center"/>
          </w:tcPr>
          <w:p w14:paraId="1A994574" w14:textId="02425F2C" w:rsidR="0058534A" w:rsidRPr="00E20618" w:rsidRDefault="00E06C28" w:rsidP="004C79D2">
            <w:pPr>
              <w:pStyle w:val="TableTextRight"/>
              <w:rPr>
                <w:rFonts w:cstheme="minorHAnsi"/>
              </w:rPr>
            </w:pPr>
            <w:r w:rsidRPr="00F67DB6">
              <w:t>11.0</w:t>
            </w:r>
          </w:p>
        </w:tc>
        <w:tc>
          <w:tcPr>
            <w:tcW w:w="996" w:type="dxa"/>
            <w:tcBorders>
              <w:top w:val="nil"/>
              <w:left w:val="nil"/>
              <w:bottom w:val="nil"/>
              <w:right w:val="nil"/>
            </w:tcBorders>
            <w:vAlign w:val="center"/>
          </w:tcPr>
          <w:p w14:paraId="050A4411" w14:textId="4749BFA0" w:rsidR="0058534A" w:rsidRPr="00E20618" w:rsidRDefault="00E06C28" w:rsidP="004C79D2">
            <w:pPr>
              <w:pStyle w:val="TableTextRight"/>
              <w:rPr>
                <w:rFonts w:cstheme="minorHAnsi"/>
              </w:rPr>
            </w:pPr>
            <w:r w:rsidRPr="00F67DB6">
              <w:t>9.2</w:t>
            </w:r>
          </w:p>
        </w:tc>
        <w:tc>
          <w:tcPr>
            <w:tcW w:w="996" w:type="dxa"/>
            <w:tcBorders>
              <w:top w:val="nil"/>
              <w:left w:val="nil"/>
              <w:bottom w:val="nil"/>
              <w:right w:val="single" w:sz="4" w:space="0" w:color="auto"/>
            </w:tcBorders>
            <w:vAlign w:val="center"/>
          </w:tcPr>
          <w:p w14:paraId="75E1FA3E" w14:textId="73493025" w:rsidR="0058534A" w:rsidRPr="00E20618" w:rsidRDefault="00E06C28" w:rsidP="004C79D2">
            <w:pPr>
              <w:pStyle w:val="TableTextRight"/>
              <w:rPr>
                <w:rFonts w:cstheme="minorHAnsi"/>
              </w:rPr>
            </w:pPr>
            <w:r w:rsidRPr="00F67DB6">
              <w:t>7.4</w:t>
            </w:r>
          </w:p>
        </w:tc>
        <w:tc>
          <w:tcPr>
            <w:tcW w:w="996" w:type="dxa"/>
            <w:tcBorders>
              <w:top w:val="nil"/>
              <w:left w:val="single" w:sz="4" w:space="0" w:color="auto"/>
              <w:bottom w:val="nil"/>
              <w:right w:val="nil"/>
            </w:tcBorders>
            <w:vAlign w:val="center"/>
          </w:tcPr>
          <w:p w14:paraId="794A13F5" w14:textId="2B708255" w:rsidR="0058534A" w:rsidRPr="00E20618" w:rsidRDefault="00E06C28" w:rsidP="004C79D2">
            <w:pPr>
              <w:pStyle w:val="TableTextRight"/>
              <w:rPr>
                <w:rFonts w:cstheme="minorHAnsi"/>
              </w:rPr>
            </w:pPr>
            <w:r w:rsidRPr="00F67DB6">
              <w:t>6.</w:t>
            </w:r>
            <w:r w:rsidR="00810E6F">
              <w:rPr>
                <w:rFonts w:cs="Calibri"/>
              </w:rPr>
              <w:t>5</w:t>
            </w:r>
          </w:p>
        </w:tc>
      </w:tr>
      <w:tr w:rsidR="00F67DB6" w:rsidRPr="0080495D" w14:paraId="42FC5634" w14:textId="77777777">
        <w:tc>
          <w:tcPr>
            <w:tcW w:w="0" w:type="dxa"/>
            <w:tcBorders>
              <w:bottom w:val="single" w:sz="4" w:space="0" w:color="auto"/>
            </w:tcBorders>
          </w:tcPr>
          <w:p w14:paraId="72D7C785" w14:textId="77777777" w:rsidR="0058534A" w:rsidRPr="00154117" w:rsidRDefault="0058534A" w:rsidP="004C79D2">
            <w:pPr>
              <w:pStyle w:val="Tabletextleftindent"/>
              <w:rPr>
                <w:b/>
              </w:rPr>
            </w:pPr>
            <w:r w:rsidRPr="00154117">
              <w:t>Rest of Queensland</w:t>
            </w:r>
          </w:p>
        </w:tc>
        <w:tc>
          <w:tcPr>
            <w:tcW w:w="0" w:type="dxa"/>
            <w:tcBorders>
              <w:top w:val="nil"/>
              <w:left w:val="nil"/>
              <w:bottom w:val="single" w:sz="4" w:space="0" w:color="auto"/>
              <w:right w:val="nil"/>
            </w:tcBorders>
            <w:vAlign w:val="center"/>
          </w:tcPr>
          <w:p w14:paraId="5B0E2729" w14:textId="0D98E435" w:rsidR="0058534A" w:rsidRPr="00E20618" w:rsidRDefault="00E06C28" w:rsidP="004C79D2">
            <w:pPr>
              <w:pStyle w:val="TableTextRight"/>
              <w:rPr>
                <w:rFonts w:cstheme="minorHAnsi"/>
              </w:rPr>
            </w:pPr>
            <w:r w:rsidRPr="00F67DB6">
              <w:t>23.6</w:t>
            </w:r>
          </w:p>
        </w:tc>
        <w:tc>
          <w:tcPr>
            <w:tcW w:w="0" w:type="dxa"/>
            <w:tcBorders>
              <w:top w:val="nil"/>
              <w:left w:val="nil"/>
              <w:bottom w:val="single" w:sz="4" w:space="0" w:color="auto"/>
              <w:right w:val="nil"/>
            </w:tcBorders>
            <w:shd w:val="clear" w:color="auto" w:fill="D2EDFF" w:themeFill="accent1" w:themeFillTint="1A"/>
            <w:vAlign w:val="center"/>
          </w:tcPr>
          <w:p w14:paraId="490134D3" w14:textId="3D778026" w:rsidR="0058534A" w:rsidRPr="00E20618" w:rsidRDefault="00E06C28" w:rsidP="004C79D2">
            <w:pPr>
              <w:pStyle w:val="TableTextRight"/>
              <w:rPr>
                <w:rFonts w:cstheme="minorHAnsi"/>
              </w:rPr>
            </w:pPr>
            <w:r w:rsidRPr="00F67DB6">
              <w:t>16.2</w:t>
            </w:r>
          </w:p>
        </w:tc>
        <w:tc>
          <w:tcPr>
            <w:tcW w:w="0" w:type="dxa"/>
            <w:tcBorders>
              <w:top w:val="nil"/>
              <w:left w:val="nil"/>
              <w:bottom w:val="single" w:sz="4" w:space="0" w:color="auto"/>
              <w:right w:val="nil"/>
            </w:tcBorders>
            <w:vAlign w:val="center"/>
          </w:tcPr>
          <w:p w14:paraId="4E544FD4" w14:textId="1644BCA4" w:rsidR="0058534A" w:rsidRPr="00E20618" w:rsidRDefault="00E06C28" w:rsidP="004C79D2">
            <w:pPr>
              <w:pStyle w:val="TableTextRight"/>
              <w:rPr>
                <w:rFonts w:cstheme="minorHAnsi"/>
              </w:rPr>
            </w:pPr>
            <w:r w:rsidRPr="00F67DB6">
              <w:t>14.</w:t>
            </w:r>
            <w:r w:rsidR="00810E6F">
              <w:rPr>
                <w:rFonts w:cs="Calibri"/>
              </w:rPr>
              <w:t>6</w:t>
            </w:r>
          </w:p>
        </w:tc>
        <w:tc>
          <w:tcPr>
            <w:tcW w:w="0" w:type="dxa"/>
            <w:tcBorders>
              <w:top w:val="nil"/>
              <w:left w:val="nil"/>
              <w:bottom w:val="single" w:sz="4" w:space="0" w:color="auto"/>
              <w:right w:val="nil"/>
            </w:tcBorders>
            <w:vAlign w:val="center"/>
          </w:tcPr>
          <w:p w14:paraId="1387554E" w14:textId="6605972C" w:rsidR="0058534A" w:rsidRPr="00E20618" w:rsidRDefault="00E06C28" w:rsidP="004C79D2">
            <w:pPr>
              <w:pStyle w:val="TableTextRight"/>
              <w:rPr>
                <w:rFonts w:cstheme="minorHAnsi"/>
              </w:rPr>
            </w:pPr>
            <w:r w:rsidRPr="00F67DB6">
              <w:t>13.</w:t>
            </w:r>
            <w:r w:rsidR="00810E6F">
              <w:rPr>
                <w:rFonts w:cs="Calibri"/>
              </w:rPr>
              <w:t>0</w:t>
            </w:r>
          </w:p>
        </w:tc>
        <w:tc>
          <w:tcPr>
            <w:tcW w:w="0" w:type="dxa"/>
            <w:tcBorders>
              <w:top w:val="nil"/>
              <w:left w:val="nil"/>
              <w:bottom w:val="single" w:sz="4" w:space="0" w:color="auto"/>
              <w:right w:val="single" w:sz="4" w:space="0" w:color="auto"/>
            </w:tcBorders>
            <w:vAlign w:val="center"/>
          </w:tcPr>
          <w:p w14:paraId="49E04A48" w14:textId="7F856AA4" w:rsidR="0058534A" w:rsidRPr="00E20618" w:rsidRDefault="00E06C28" w:rsidP="004C79D2">
            <w:pPr>
              <w:pStyle w:val="TableTextRight"/>
              <w:rPr>
                <w:rFonts w:cstheme="minorHAnsi"/>
              </w:rPr>
            </w:pPr>
            <w:r w:rsidRPr="00F67DB6">
              <w:t>11.</w:t>
            </w:r>
            <w:r w:rsidR="00810E6F">
              <w:rPr>
                <w:rFonts w:cs="Calibri"/>
              </w:rPr>
              <w:t>4</w:t>
            </w:r>
          </w:p>
        </w:tc>
        <w:tc>
          <w:tcPr>
            <w:tcW w:w="0" w:type="dxa"/>
            <w:tcBorders>
              <w:top w:val="nil"/>
              <w:left w:val="single" w:sz="4" w:space="0" w:color="auto"/>
              <w:bottom w:val="single" w:sz="4" w:space="0" w:color="auto"/>
              <w:right w:val="nil"/>
            </w:tcBorders>
            <w:vAlign w:val="center"/>
          </w:tcPr>
          <w:p w14:paraId="3C8E87CB" w14:textId="3C5918DA" w:rsidR="0058534A" w:rsidRPr="00E20618" w:rsidRDefault="00E06C28" w:rsidP="004C79D2">
            <w:pPr>
              <w:pStyle w:val="TableTextRight"/>
              <w:rPr>
                <w:rFonts w:cstheme="minorHAnsi"/>
              </w:rPr>
            </w:pPr>
            <w:r w:rsidRPr="00F67DB6">
              <w:t>13.</w:t>
            </w:r>
            <w:r w:rsidR="00810E6F">
              <w:rPr>
                <w:rFonts w:cs="Calibri"/>
              </w:rPr>
              <w:t>0</w:t>
            </w:r>
          </w:p>
        </w:tc>
      </w:tr>
      <w:tr w:rsidR="00F67DB6" w:rsidRPr="0080495D" w14:paraId="44155599" w14:textId="77777777">
        <w:tc>
          <w:tcPr>
            <w:tcW w:w="0" w:type="dxa"/>
            <w:tcBorders>
              <w:top w:val="single" w:sz="4" w:space="0" w:color="auto"/>
              <w:bottom w:val="nil"/>
            </w:tcBorders>
          </w:tcPr>
          <w:p w14:paraId="6583F276" w14:textId="77777777" w:rsidR="0058534A" w:rsidRPr="00154117" w:rsidRDefault="0058534A" w:rsidP="004C79D2">
            <w:pPr>
              <w:pStyle w:val="TableColumnHeadingLeft"/>
            </w:pPr>
            <w:r w:rsidRPr="00154117">
              <w:t>Median age (years)</w:t>
            </w:r>
          </w:p>
        </w:tc>
        <w:tc>
          <w:tcPr>
            <w:tcW w:w="0" w:type="dxa"/>
            <w:tcBorders>
              <w:top w:val="single" w:sz="4" w:space="0" w:color="auto"/>
              <w:left w:val="nil"/>
              <w:bottom w:val="nil"/>
              <w:right w:val="nil"/>
            </w:tcBorders>
            <w:vAlign w:val="center"/>
          </w:tcPr>
          <w:p w14:paraId="11F99673"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2F0D7DBD" w14:textId="0B45EE04" w:rsidR="0058534A" w:rsidRPr="00E20618" w:rsidRDefault="00E06C28" w:rsidP="004C79D2">
            <w:pPr>
              <w:pStyle w:val="TableTextRight"/>
              <w:rPr>
                <w:rFonts w:cstheme="minorHAnsi"/>
              </w:rPr>
            </w:pPr>
            <w:r w:rsidRPr="00F67DB6">
              <w:t> </w:t>
            </w:r>
          </w:p>
        </w:tc>
        <w:tc>
          <w:tcPr>
            <w:tcW w:w="0" w:type="dxa"/>
            <w:tcBorders>
              <w:top w:val="single" w:sz="4" w:space="0" w:color="auto"/>
              <w:left w:val="nil"/>
              <w:bottom w:val="nil"/>
              <w:right w:val="nil"/>
            </w:tcBorders>
            <w:vAlign w:val="center"/>
          </w:tcPr>
          <w:p w14:paraId="339D8BD6"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nil"/>
            </w:tcBorders>
            <w:vAlign w:val="center"/>
          </w:tcPr>
          <w:p w14:paraId="3E0A51DB" w14:textId="77777777" w:rsidR="0058534A" w:rsidRPr="00E20618" w:rsidRDefault="0058534A" w:rsidP="004C79D2">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2CF3127B" w14:textId="14C8D19E" w:rsidR="0058534A" w:rsidRPr="00E20618" w:rsidRDefault="00E06C28" w:rsidP="004C79D2">
            <w:pPr>
              <w:pStyle w:val="TableTextRight"/>
              <w:rPr>
                <w:rFonts w:cstheme="minorHAnsi"/>
              </w:rPr>
            </w:pPr>
            <w:r w:rsidRPr="00F67DB6">
              <w:t> </w:t>
            </w:r>
          </w:p>
        </w:tc>
        <w:tc>
          <w:tcPr>
            <w:tcW w:w="0" w:type="dxa"/>
            <w:tcBorders>
              <w:top w:val="single" w:sz="4" w:space="0" w:color="auto"/>
              <w:left w:val="single" w:sz="4" w:space="0" w:color="auto"/>
              <w:bottom w:val="nil"/>
              <w:right w:val="nil"/>
            </w:tcBorders>
            <w:vAlign w:val="center"/>
          </w:tcPr>
          <w:p w14:paraId="0418BCF2" w14:textId="77777777" w:rsidR="0058534A" w:rsidRPr="00E20618" w:rsidRDefault="0058534A" w:rsidP="004C79D2">
            <w:pPr>
              <w:pStyle w:val="TableTextRight"/>
              <w:rPr>
                <w:rFonts w:cstheme="minorHAnsi"/>
              </w:rPr>
            </w:pPr>
          </w:p>
        </w:tc>
      </w:tr>
      <w:tr w:rsidR="00F67DB6" w:rsidRPr="0080495D" w14:paraId="505C3E83" w14:textId="77777777">
        <w:tc>
          <w:tcPr>
            <w:tcW w:w="0" w:type="dxa"/>
            <w:tcBorders>
              <w:bottom w:val="nil"/>
            </w:tcBorders>
          </w:tcPr>
          <w:p w14:paraId="0181A594" w14:textId="77777777" w:rsidR="0058534A" w:rsidRPr="00154117" w:rsidRDefault="0058534A" w:rsidP="004C79D2">
            <w:pPr>
              <w:pStyle w:val="TableTextLeft"/>
              <w:rPr>
                <w:i/>
              </w:rPr>
            </w:pPr>
            <w:r w:rsidRPr="00154117">
              <w:t>Queensland</w:t>
            </w:r>
          </w:p>
        </w:tc>
        <w:tc>
          <w:tcPr>
            <w:tcW w:w="0" w:type="dxa"/>
            <w:tcBorders>
              <w:top w:val="nil"/>
              <w:left w:val="nil"/>
              <w:bottom w:val="nil"/>
              <w:right w:val="nil"/>
            </w:tcBorders>
            <w:vAlign w:val="center"/>
          </w:tcPr>
          <w:p w14:paraId="65B9CDD2" w14:textId="771E5CC8" w:rsidR="0058534A" w:rsidRPr="00E20618" w:rsidRDefault="00E06C28" w:rsidP="004C79D2">
            <w:pPr>
              <w:pStyle w:val="TableTextRight"/>
              <w:rPr>
                <w:rFonts w:cstheme="minorHAnsi"/>
              </w:rPr>
            </w:pPr>
            <w:r w:rsidRPr="00F67DB6">
              <w:t>37.6</w:t>
            </w:r>
          </w:p>
        </w:tc>
        <w:tc>
          <w:tcPr>
            <w:tcW w:w="0" w:type="dxa"/>
            <w:tcBorders>
              <w:top w:val="nil"/>
              <w:left w:val="nil"/>
              <w:bottom w:val="nil"/>
              <w:right w:val="nil"/>
            </w:tcBorders>
            <w:shd w:val="clear" w:color="auto" w:fill="D2EDFF" w:themeFill="accent1" w:themeFillTint="1A"/>
            <w:vAlign w:val="center"/>
          </w:tcPr>
          <w:p w14:paraId="2419CDD4" w14:textId="62DA624F" w:rsidR="0058534A" w:rsidRPr="00E20618" w:rsidRDefault="00E06C28" w:rsidP="004C79D2">
            <w:pPr>
              <w:pStyle w:val="TableTextRight"/>
              <w:rPr>
                <w:rFonts w:cstheme="minorHAnsi"/>
              </w:rPr>
            </w:pPr>
            <w:r w:rsidRPr="00F67DB6">
              <w:t>37.5</w:t>
            </w:r>
          </w:p>
        </w:tc>
        <w:tc>
          <w:tcPr>
            <w:tcW w:w="0" w:type="dxa"/>
            <w:tcBorders>
              <w:top w:val="nil"/>
              <w:left w:val="nil"/>
              <w:bottom w:val="nil"/>
              <w:right w:val="nil"/>
            </w:tcBorders>
            <w:vAlign w:val="center"/>
          </w:tcPr>
          <w:p w14:paraId="0CFA0979" w14:textId="6EFA6210" w:rsidR="0058534A" w:rsidRPr="00E20618" w:rsidRDefault="00E06C28" w:rsidP="004C79D2">
            <w:pPr>
              <w:pStyle w:val="TableTextRight"/>
              <w:rPr>
                <w:rFonts w:cstheme="minorHAnsi"/>
              </w:rPr>
            </w:pPr>
            <w:r w:rsidRPr="00F67DB6">
              <w:t>37.6</w:t>
            </w:r>
          </w:p>
        </w:tc>
        <w:tc>
          <w:tcPr>
            <w:tcW w:w="0" w:type="dxa"/>
            <w:tcBorders>
              <w:top w:val="nil"/>
              <w:left w:val="nil"/>
              <w:bottom w:val="nil"/>
              <w:right w:val="nil"/>
            </w:tcBorders>
            <w:vAlign w:val="center"/>
          </w:tcPr>
          <w:p w14:paraId="6F4A170F" w14:textId="1690F933" w:rsidR="0058534A" w:rsidRPr="00E20618" w:rsidRDefault="00E06C28" w:rsidP="004C79D2">
            <w:pPr>
              <w:pStyle w:val="TableTextRight"/>
              <w:rPr>
                <w:rFonts w:cstheme="minorHAnsi"/>
              </w:rPr>
            </w:pPr>
            <w:r w:rsidRPr="00F67DB6">
              <w:t>37.7</w:t>
            </w:r>
          </w:p>
        </w:tc>
        <w:tc>
          <w:tcPr>
            <w:tcW w:w="0" w:type="dxa"/>
            <w:tcBorders>
              <w:top w:val="nil"/>
              <w:left w:val="nil"/>
              <w:bottom w:val="nil"/>
              <w:right w:val="single" w:sz="4" w:space="0" w:color="auto"/>
            </w:tcBorders>
            <w:vAlign w:val="center"/>
          </w:tcPr>
          <w:p w14:paraId="08638BD2" w14:textId="411B4607" w:rsidR="0058534A" w:rsidRPr="00E20618" w:rsidRDefault="00E06C28" w:rsidP="004C79D2">
            <w:pPr>
              <w:pStyle w:val="TableTextRight"/>
              <w:rPr>
                <w:rFonts w:cstheme="minorHAnsi"/>
              </w:rPr>
            </w:pPr>
            <w:r w:rsidRPr="00F67DB6">
              <w:t>37.</w:t>
            </w:r>
            <w:r w:rsidR="00810E6F">
              <w:rPr>
                <w:rFonts w:cs="Calibri"/>
              </w:rPr>
              <w:t>9</w:t>
            </w:r>
          </w:p>
        </w:tc>
        <w:tc>
          <w:tcPr>
            <w:tcW w:w="0" w:type="dxa"/>
            <w:tcBorders>
              <w:top w:val="nil"/>
              <w:left w:val="single" w:sz="4" w:space="0" w:color="auto"/>
              <w:bottom w:val="nil"/>
              <w:right w:val="nil"/>
            </w:tcBorders>
            <w:vAlign w:val="center"/>
          </w:tcPr>
          <w:p w14:paraId="6DF7A405" w14:textId="4E5A446C" w:rsidR="0058534A" w:rsidRPr="00E20618" w:rsidRDefault="00E06C28" w:rsidP="004C79D2">
            <w:pPr>
              <w:pStyle w:val="TableTextRight"/>
              <w:rPr>
                <w:rFonts w:cstheme="minorHAnsi"/>
              </w:rPr>
            </w:pPr>
            <w:r w:rsidRPr="00F67DB6">
              <w:t>39.</w:t>
            </w:r>
            <w:r w:rsidR="00810E6F">
              <w:rPr>
                <w:rFonts w:cs="Calibri"/>
              </w:rPr>
              <w:t>3</w:t>
            </w:r>
          </w:p>
        </w:tc>
      </w:tr>
      <w:tr w:rsidR="00F67DB6" w:rsidRPr="0080495D" w14:paraId="5EAA234B" w14:textId="77777777">
        <w:tc>
          <w:tcPr>
            <w:tcW w:w="0" w:type="dxa"/>
            <w:tcBorders>
              <w:bottom w:val="nil"/>
            </w:tcBorders>
          </w:tcPr>
          <w:p w14:paraId="7DD71A9A" w14:textId="77777777" w:rsidR="0058534A" w:rsidRPr="00154117" w:rsidRDefault="0058534A" w:rsidP="004C79D2">
            <w:pPr>
              <w:pStyle w:val="Tabletextleftindent"/>
            </w:pPr>
            <w:r w:rsidRPr="00154117">
              <w:t>Greater Brisbane</w:t>
            </w:r>
          </w:p>
        </w:tc>
        <w:tc>
          <w:tcPr>
            <w:tcW w:w="0" w:type="dxa"/>
            <w:tcBorders>
              <w:top w:val="nil"/>
              <w:left w:val="nil"/>
              <w:bottom w:val="nil"/>
              <w:right w:val="nil"/>
            </w:tcBorders>
            <w:vAlign w:val="center"/>
          </w:tcPr>
          <w:p w14:paraId="40247F2E" w14:textId="1630D93B" w:rsidR="0058534A" w:rsidRPr="00E20618" w:rsidRDefault="00E06C28" w:rsidP="004C79D2">
            <w:pPr>
              <w:pStyle w:val="TableTextRight"/>
              <w:rPr>
                <w:rFonts w:cstheme="minorHAnsi"/>
              </w:rPr>
            </w:pPr>
            <w:r w:rsidRPr="00F67DB6">
              <w:t>35.7</w:t>
            </w:r>
          </w:p>
        </w:tc>
        <w:tc>
          <w:tcPr>
            <w:tcW w:w="0" w:type="dxa"/>
            <w:tcBorders>
              <w:top w:val="nil"/>
              <w:left w:val="nil"/>
              <w:bottom w:val="nil"/>
              <w:right w:val="nil"/>
            </w:tcBorders>
            <w:shd w:val="clear" w:color="auto" w:fill="D2EDFF" w:themeFill="accent1" w:themeFillTint="1A"/>
            <w:vAlign w:val="center"/>
          </w:tcPr>
          <w:p w14:paraId="532FDDA7" w14:textId="6B0A5F75" w:rsidR="0058534A" w:rsidRPr="00E20618" w:rsidRDefault="00E06C28" w:rsidP="004C79D2">
            <w:pPr>
              <w:pStyle w:val="TableTextRight"/>
              <w:rPr>
                <w:rFonts w:cstheme="minorHAnsi"/>
              </w:rPr>
            </w:pPr>
            <w:r w:rsidRPr="00F67DB6">
              <w:t>35.6</w:t>
            </w:r>
          </w:p>
        </w:tc>
        <w:tc>
          <w:tcPr>
            <w:tcW w:w="0" w:type="dxa"/>
            <w:tcBorders>
              <w:top w:val="nil"/>
              <w:left w:val="nil"/>
              <w:bottom w:val="nil"/>
              <w:right w:val="nil"/>
            </w:tcBorders>
            <w:vAlign w:val="center"/>
          </w:tcPr>
          <w:p w14:paraId="6E57369E" w14:textId="07FD0019" w:rsidR="0058534A" w:rsidRPr="00E20618" w:rsidRDefault="00E06C28" w:rsidP="004C79D2">
            <w:pPr>
              <w:pStyle w:val="TableTextRight"/>
              <w:rPr>
                <w:rFonts w:cstheme="minorHAnsi"/>
              </w:rPr>
            </w:pPr>
            <w:r w:rsidRPr="00F67DB6">
              <w:t>35.6</w:t>
            </w:r>
          </w:p>
        </w:tc>
        <w:tc>
          <w:tcPr>
            <w:tcW w:w="0" w:type="dxa"/>
            <w:tcBorders>
              <w:top w:val="nil"/>
              <w:left w:val="nil"/>
              <w:bottom w:val="nil"/>
              <w:right w:val="nil"/>
            </w:tcBorders>
            <w:vAlign w:val="center"/>
          </w:tcPr>
          <w:p w14:paraId="22D73B45" w14:textId="0FF96479" w:rsidR="0058534A" w:rsidRPr="00E20618" w:rsidRDefault="00E06C28" w:rsidP="004C79D2">
            <w:pPr>
              <w:pStyle w:val="TableTextRight"/>
              <w:rPr>
                <w:rFonts w:cstheme="minorHAnsi"/>
              </w:rPr>
            </w:pPr>
            <w:r w:rsidRPr="00F67DB6">
              <w:t>35.7</w:t>
            </w:r>
          </w:p>
        </w:tc>
        <w:tc>
          <w:tcPr>
            <w:tcW w:w="0" w:type="dxa"/>
            <w:tcBorders>
              <w:top w:val="nil"/>
              <w:left w:val="nil"/>
              <w:bottom w:val="nil"/>
              <w:right w:val="single" w:sz="4" w:space="0" w:color="auto"/>
            </w:tcBorders>
            <w:vAlign w:val="center"/>
          </w:tcPr>
          <w:p w14:paraId="360980E3" w14:textId="77FFC0D1" w:rsidR="0058534A" w:rsidRPr="00E20618" w:rsidRDefault="00E06C28" w:rsidP="004C79D2">
            <w:pPr>
              <w:pStyle w:val="TableTextRight"/>
              <w:rPr>
                <w:rFonts w:cstheme="minorHAnsi"/>
              </w:rPr>
            </w:pPr>
            <w:r w:rsidRPr="00F67DB6">
              <w:t>35.</w:t>
            </w:r>
            <w:r w:rsidR="00810E6F">
              <w:rPr>
                <w:rFonts w:cs="Calibri"/>
              </w:rPr>
              <w:t>9</w:t>
            </w:r>
          </w:p>
        </w:tc>
        <w:tc>
          <w:tcPr>
            <w:tcW w:w="0" w:type="dxa"/>
            <w:tcBorders>
              <w:top w:val="nil"/>
              <w:left w:val="single" w:sz="4" w:space="0" w:color="auto"/>
              <w:bottom w:val="nil"/>
              <w:right w:val="nil"/>
            </w:tcBorders>
            <w:vAlign w:val="center"/>
          </w:tcPr>
          <w:p w14:paraId="25A24E7F" w14:textId="29950D1C" w:rsidR="0058534A" w:rsidRPr="00E20618" w:rsidRDefault="00E06C28" w:rsidP="004C79D2">
            <w:pPr>
              <w:pStyle w:val="TableTextRight"/>
              <w:rPr>
                <w:rFonts w:cstheme="minorHAnsi"/>
              </w:rPr>
            </w:pPr>
            <w:r w:rsidRPr="00F67DB6">
              <w:t>37.</w:t>
            </w:r>
            <w:r w:rsidR="00810E6F">
              <w:rPr>
                <w:rFonts w:cs="Calibri"/>
              </w:rPr>
              <w:t>3</w:t>
            </w:r>
          </w:p>
        </w:tc>
      </w:tr>
      <w:tr w:rsidR="00F67DB6" w:rsidRPr="0080495D" w14:paraId="11673866" w14:textId="77777777">
        <w:tc>
          <w:tcPr>
            <w:tcW w:w="0" w:type="dxa"/>
            <w:tcBorders>
              <w:bottom w:val="single" w:sz="4" w:space="0" w:color="auto"/>
            </w:tcBorders>
          </w:tcPr>
          <w:p w14:paraId="4018E730" w14:textId="77777777" w:rsidR="0058534A" w:rsidRPr="00154117" w:rsidRDefault="0058534A" w:rsidP="004C79D2">
            <w:pPr>
              <w:pStyle w:val="Tabletextleftindent"/>
            </w:pPr>
            <w:r w:rsidRPr="00154117">
              <w:t>Rest of Queensland</w:t>
            </w:r>
          </w:p>
        </w:tc>
        <w:tc>
          <w:tcPr>
            <w:tcW w:w="0" w:type="dxa"/>
            <w:tcBorders>
              <w:top w:val="nil"/>
              <w:left w:val="nil"/>
              <w:bottom w:val="single" w:sz="4" w:space="0" w:color="auto"/>
              <w:right w:val="nil"/>
            </w:tcBorders>
            <w:vAlign w:val="center"/>
          </w:tcPr>
          <w:p w14:paraId="1669E858" w14:textId="3B5E4A59" w:rsidR="0058534A" w:rsidRPr="00E20618" w:rsidRDefault="00E06C28" w:rsidP="004C79D2">
            <w:pPr>
              <w:pStyle w:val="TableTextRight"/>
              <w:rPr>
                <w:rFonts w:cstheme="minorHAnsi"/>
              </w:rPr>
            </w:pPr>
            <w:r w:rsidRPr="00F67DB6">
              <w:t>39.7</w:t>
            </w:r>
          </w:p>
        </w:tc>
        <w:tc>
          <w:tcPr>
            <w:tcW w:w="0" w:type="dxa"/>
            <w:tcBorders>
              <w:top w:val="nil"/>
              <w:left w:val="nil"/>
              <w:bottom w:val="single" w:sz="4" w:space="0" w:color="auto"/>
              <w:right w:val="nil"/>
            </w:tcBorders>
            <w:shd w:val="clear" w:color="auto" w:fill="D2EDFF" w:themeFill="accent1" w:themeFillTint="1A"/>
            <w:vAlign w:val="center"/>
          </w:tcPr>
          <w:p w14:paraId="78032B84" w14:textId="2B5714F2" w:rsidR="0058534A" w:rsidRPr="00E20618" w:rsidRDefault="00E06C28" w:rsidP="004C79D2">
            <w:pPr>
              <w:pStyle w:val="TableTextRight"/>
              <w:rPr>
                <w:rFonts w:cstheme="minorHAnsi"/>
              </w:rPr>
            </w:pPr>
            <w:r w:rsidRPr="00F67DB6">
              <w:t>39.8</w:t>
            </w:r>
          </w:p>
        </w:tc>
        <w:tc>
          <w:tcPr>
            <w:tcW w:w="0" w:type="dxa"/>
            <w:tcBorders>
              <w:top w:val="nil"/>
              <w:left w:val="nil"/>
              <w:bottom w:val="single" w:sz="4" w:space="0" w:color="auto"/>
              <w:right w:val="nil"/>
            </w:tcBorders>
            <w:vAlign w:val="center"/>
          </w:tcPr>
          <w:p w14:paraId="2CA965F5" w14:textId="46CB4EDF" w:rsidR="0058534A" w:rsidRPr="00E20618" w:rsidRDefault="00E06C28" w:rsidP="004C79D2">
            <w:pPr>
              <w:pStyle w:val="TableTextRight"/>
              <w:rPr>
                <w:rFonts w:cstheme="minorHAnsi"/>
              </w:rPr>
            </w:pPr>
            <w:r w:rsidRPr="00F67DB6">
              <w:t>39.8</w:t>
            </w:r>
          </w:p>
        </w:tc>
        <w:tc>
          <w:tcPr>
            <w:tcW w:w="0" w:type="dxa"/>
            <w:tcBorders>
              <w:top w:val="nil"/>
              <w:left w:val="nil"/>
              <w:bottom w:val="single" w:sz="4" w:space="0" w:color="auto"/>
              <w:right w:val="nil"/>
            </w:tcBorders>
            <w:vAlign w:val="center"/>
          </w:tcPr>
          <w:p w14:paraId="79B93D58" w14:textId="009D9B61" w:rsidR="0058534A" w:rsidRPr="00E20618" w:rsidRDefault="00E06C28" w:rsidP="004C79D2">
            <w:pPr>
              <w:pStyle w:val="TableTextRight"/>
              <w:rPr>
                <w:rFonts w:cstheme="minorHAnsi"/>
              </w:rPr>
            </w:pPr>
            <w:r w:rsidRPr="00F67DB6">
              <w:t>40.0</w:t>
            </w:r>
          </w:p>
        </w:tc>
        <w:tc>
          <w:tcPr>
            <w:tcW w:w="0" w:type="dxa"/>
            <w:tcBorders>
              <w:top w:val="nil"/>
              <w:left w:val="nil"/>
              <w:bottom w:val="single" w:sz="4" w:space="0" w:color="auto"/>
              <w:right w:val="single" w:sz="4" w:space="0" w:color="auto"/>
            </w:tcBorders>
            <w:vAlign w:val="center"/>
          </w:tcPr>
          <w:p w14:paraId="527354E6" w14:textId="5624B653" w:rsidR="0058534A" w:rsidRPr="00E20618" w:rsidRDefault="00E06C28" w:rsidP="004C79D2">
            <w:pPr>
              <w:pStyle w:val="TableTextRight"/>
              <w:rPr>
                <w:rFonts w:cstheme="minorHAnsi"/>
              </w:rPr>
            </w:pPr>
            <w:r w:rsidRPr="00F67DB6">
              <w:t>40.</w:t>
            </w:r>
            <w:r w:rsidR="00810E6F">
              <w:rPr>
                <w:rFonts w:cs="Calibri"/>
              </w:rPr>
              <w:t>2</w:t>
            </w:r>
          </w:p>
        </w:tc>
        <w:tc>
          <w:tcPr>
            <w:tcW w:w="0" w:type="dxa"/>
            <w:tcBorders>
              <w:top w:val="nil"/>
              <w:left w:val="single" w:sz="4" w:space="0" w:color="auto"/>
              <w:bottom w:val="single" w:sz="4" w:space="0" w:color="auto"/>
              <w:right w:val="nil"/>
            </w:tcBorders>
            <w:vAlign w:val="center"/>
          </w:tcPr>
          <w:p w14:paraId="2D8CE62E" w14:textId="59736F1C" w:rsidR="0058534A" w:rsidRPr="00E20618" w:rsidRDefault="00E06C28" w:rsidP="004C79D2">
            <w:pPr>
              <w:pStyle w:val="TableTextRight"/>
              <w:rPr>
                <w:rFonts w:cstheme="minorHAnsi"/>
              </w:rPr>
            </w:pPr>
            <w:r w:rsidRPr="00F67DB6">
              <w:t>41.</w:t>
            </w:r>
            <w:r w:rsidR="00810E6F">
              <w:rPr>
                <w:rFonts w:cs="Calibri"/>
              </w:rPr>
              <w:t>7</w:t>
            </w:r>
          </w:p>
        </w:tc>
      </w:tr>
    </w:tbl>
    <w:p w14:paraId="3FEB51AF" w14:textId="057CAA36" w:rsidR="0058534A" w:rsidRPr="00926A5E" w:rsidRDefault="0058534A" w:rsidP="00C14BAE">
      <w:pPr>
        <w:pStyle w:val="Source"/>
      </w:pPr>
      <w:r w:rsidRPr="00926A5E">
        <w:t xml:space="preserve">Source: </w:t>
      </w:r>
      <w:r w:rsidR="00926A5E">
        <w:tab/>
      </w:r>
      <w:r w:rsidR="00DD1DCF" w:rsidRPr="00926A5E">
        <w:t>ABS</w:t>
      </w:r>
      <w:r w:rsidRPr="00926A5E">
        <w:t>, National, state and territory population, March 2023</w:t>
      </w:r>
      <w:r w:rsidR="00791D41">
        <w:t>,</w:t>
      </w:r>
      <w:r w:rsidRPr="00926A5E">
        <w:t xml:space="preserve"> </w:t>
      </w:r>
      <w:r w:rsidR="00DD1DCF" w:rsidRPr="00926A5E">
        <w:t>ABS</w:t>
      </w:r>
      <w:r w:rsidRPr="00926A5E">
        <w:t>, Regional population 2021–22</w:t>
      </w:r>
      <w:r w:rsidR="00CB352B">
        <w:t xml:space="preserve">, </w:t>
      </w:r>
      <w:r w:rsidRPr="00926A5E">
        <w:t>and Centre for Population projections.</w:t>
      </w:r>
    </w:p>
    <w:p w14:paraId="15B7E6D4" w14:textId="4D785B07" w:rsidR="00DD4AAA" w:rsidRDefault="00DD4AAA">
      <w:pPr>
        <w:spacing w:before="0" w:after="160" w:line="259" w:lineRule="auto"/>
      </w:pPr>
      <w:bookmarkStart w:id="142" w:name="_Toc151994726"/>
      <w:r>
        <w:br w:type="page"/>
      </w:r>
    </w:p>
    <w:p w14:paraId="027C481A" w14:textId="6217C13F" w:rsidR="00E47BB8" w:rsidRDefault="00E47BB8" w:rsidP="00E81CC7">
      <w:pPr>
        <w:pStyle w:val="Heading2Numbered"/>
      </w:pPr>
      <w:bookmarkStart w:id="143" w:name="_Toc152920091"/>
      <w:bookmarkStart w:id="144" w:name="_Toc149846511"/>
      <w:bookmarkStart w:id="145" w:name="_Toc149846552"/>
      <w:bookmarkStart w:id="146" w:name="_Toc149846650"/>
      <w:bookmarkStart w:id="147" w:name="_Toc149847593"/>
      <w:bookmarkEnd w:id="143"/>
      <w:r>
        <w:lastRenderedPageBreak/>
        <w:t xml:space="preserve"> </w:t>
      </w:r>
      <w:bookmarkStart w:id="148" w:name="_Toc154050215"/>
      <w:r>
        <w:t>South Australia</w:t>
      </w:r>
      <w:bookmarkEnd w:id="142"/>
      <w:bookmarkEnd w:id="144"/>
      <w:bookmarkEnd w:id="145"/>
      <w:bookmarkEnd w:id="146"/>
      <w:bookmarkEnd w:id="147"/>
      <w:bookmarkEnd w:id="148"/>
    </w:p>
    <w:p w14:paraId="0FF5D322" w14:textId="57ED5566" w:rsidR="00062F93" w:rsidRDefault="00EB7339" w:rsidP="00926A5E">
      <w:r>
        <w:t>South Australia</w:t>
      </w:r>
      <w:r w:rsidR="004B14AB">
        <w:t>’</w:t>
      </w:r>
      <w:r w:rsidR="00062F93">
        <w:t xml:space="preserve">s population was </w:t>
      </w:r>
      <w:r w:rsidR="001F6F21">
        <w:t>1.8</w:t>
      </w:r>
      <w:r w:rsidR="00062F93">
        <w:t xml:space="preserve"> million on 30 June 2022 and is projected to reach </w:t>
      </w:r>
      <w:r w:rsidR="00303C4A">
        <w:t>2.</w:t>
      </w:r>
      <w:r w:rsidR="007456C4">
        <w:t>0</w:t>
      </w:r>
      <w:r w:rsidR="00062F93">
        <w:t xml:space="preserve"> million by 2033–34. </w:t>
      </w:r>
      <w:r w:rsidR="008131E7">
        <w:t>Population g</w:t>
      </w:r>
      <w:r w:rsidR="00062F93">
        <w:t xml:space="preserve">rowth was </w:t>
      </w:r>
      <w:r w:rsidR="008131E7">
        <w:t>1.0</w:t>
      </w:r>
      <w:r w:rsidR="001F3B6F">
        <w:t> per cent</w:t>
      </w:r>
      <w:r w:rsidR="00062F93">
        <w:t xml:space="preserve"> in 2021</w:t>
      </w:r>
      <w:r w:rsidR="00E54F9C" w:rsidDel="00EA63CC">
        <w:t>–</w:t>
      </w:r>
      <w:r w:rsidR="00062F93">
        <w:t xml:space="preserve">22 and is forecast to </w:t>
      </w:r>
      <w:r w:rsidR="004B7C4B">
        <w:t>increase</w:t>
      </w:r>
      <w:r w:rsidR="00062F93">
        <w:t xml:space="preserve"> to </w:t>
      </w:r>
      <w:r w:rsidR="00D0277D">
        <w:t>1.7</w:t>
      </w:r>
      <w:r w:rsidR="001F3B6F">
        <w:t> per cent</w:t>
      </w:r>
      <w:r w:rsidR="00062F93">
        <w:t xml:space="preserve"> </w:t>
      </w:r>
      <w:r w:rsidR="00D0277D">
        <w:t>in</w:t>
      </w:r>
      <w:r w:rsidR="00062F93">
        <w:t xml:space="preserve"> 2022–23</w:t>
      </w:r>
      <w:r w:rsidR="005B3279">
        <w:t>, driven by high net overseas migration</w:t>
      </w:r>
      <w:r w:rsidR="00D0277D">
        <w:t>.</w:t>
      </w:r>
      <w:r w:rsidR="00062F93">
        <w:t xml:space="preserve"> </w:t>
      </w:r>
      <w:r w:rsidR="00B17902">
        <w:t xml:space="preserve">South Australia is </w:t>
      </w:r>
      <w:r w:rsidR="009F318A">
        <w:t xml:space="preserve">projected to be </w:t>
      </w:r>
      <w:r w:rsidR="00B17902">
        <w:t>the slowest growing state or territory from 2025</w:t>
      </w:r>
      <w:r w:rsidR="00E54F9C" w:rsidDel="00EA63CC">
        <w:t>–</w:t>
      </w:r>
      <w:r w:rsidR="00B17902">
        <w:t xml:space="preserve">26, </w:t>
      </w:r>
      <w:r w:rsidR="002D5C30">
        <w:t>with growth</w:t>
      </w:r>
      <w:r w:rsidR="00B17902">
        <w:t xml:space="preserve"> declin</w:t>
      </w:r>
      <w:r w:rsidR="000C4778">
        <w:t>ing</w:t>
      </w:r>
      <w:r w:rsidR="00B17902">
        <w:t xml:space="preserve"> </w:t>
      </w:r>
      <w:r w:rsidR="000C4778">
        <w:t>to 0.</w:t>
      </w:r>
      <w:r w:rsidR="002B1D83">
        <w:t>8</w:t>
      </w:r>
      <w:r w:rsidR="001F3B6F">
        <w:t> per cent</w:t>
      </w:r>
      <w:r w:rsidR="00062F93">
        <w:t xml:space="preserve"> in 2033–34</w:t>
      </w:r>
      <w:r w:rsidR="003C2FFA">
        <w:t xml:space="preserve"> (</w:t>
      </w:r>
      <w:r w:rsidR="003C2FFA">
        <w:fldChar w:fldCharType="begin"/>
      </w:r>
      <w:r w:rsidR="003C2FFA">
        <w:instrText xml:space="preserve"> REF _Ref120712787 \r \h </w:instrText>
      </w:r>
      <w:r w:rsidR="003C2FFA">
        <w:fldChar w:fldCharType="separate"/>
      </w:r>
      <w:r w:rsidR="00CE6FEA">
        <w:t>Chart 24</w:t>
      </w:r>
      <w:r w:rsidR="003C2FFA">
        <w:fldChar w:fldCharType="end"/>
      </w:r>
      <w:r w:rsidR="003C2FFA">
        <w:t>)</w:t>
      </w:r>
      <w:r w:rsidR="00062F93">
        <w:t>.</w:t>
      </w:r>
    </w:p>
    <w:p w14:paraId="0DC70D8A" w14:textId="130A3714" w:rsidR="00A83A46" w:rsidRDefault="00A83A46" w:rsidP="001D5998">
      <w:r>
        <w:t xml:space="preserve">Over the projection period, net overseas migration is forecast to be the primary driver of population growth in </w:t>
      </w:r>
      <w:r w:rsidR="003B24BB">
        <w:t>South Australia</w:t>
      </w:r>
      <w:r>
        <w:t xml:space="preserve">, contributing </w:t>
      </w:r>
      <w:r w:rsidR="003B24BB">
        <w:t>over 90</w:t>
      </w:r>
      <w:r w:rsidR="001F3B6F">
        <w:t> per cent</w:t>
      </w:r>
      <w:r>
        <w:t xml:space="preserve"> of the growth between 2022–23 and 2033–34. Natural increase </w:t>
      </w:r>
      <w:r w:rsidR="007438FA">
        <w:t xml:space="preserve">will </w:t>
      </w:r>
      <w:r w:rsidR="00E50B3D">
        <w:t xml:space="preserve">contribute to </w:t>
      </w:r>
      <w:r w:rsidR="00823E66">
        <w:t>South Australia</w:t>
      </w:r>
      <w:r w:rsidR="004B14AB">
        <w:t>’</w:t>
      </w:r>
      <w:r w:rsidR="00823E66">
        <w:t>s</w:t>
      </w:r>
      <w:r w:rsidR="00E50B3D">
        <w:t xml:space="preserve"> growth, but it</w:t>
      </w:r>
      <w:r>
        <w:t xml:space="preserve"> is expected to </w:t>
      </w:r>
      <w:r w:rsidR="00E50B3D">
        <w:t>be</w:t>
      </w:r>
      <w:r>
        <w:t xml:space="preserve"> the </w:t>
      </w:r>
      <w:r w:rsidR="00E50B3D">
        <w:t>second weak</w:t>
      </w:r>
      <w:r w:rsidR="00823E66">
        <w:t>est contribution of any state or territory after Tasmani</w:t>
      </w:r>
      <w:r w:rsidR="0068379E">
        <w:t>a</w:t>
      </w:r>
      <w:r w:rsidR="00823E66">
        <w:t xml:space="preserve">. </w:t>
      </w:r>
      <w:r w:rsidR="001E0BA7">
        <w:t xml:space="preserve">Net interstate migration is expected to detract </w:t>
      </w:r>
      <w:r w:rsidR="008B41BE">
        <w:t>around 0.2</w:t>
      </w:r>
      <w:r w:rsidR="0068379E">
        <w:t xml:space="preserve"> percentage points</w:t>
      </w:r>
      <w:r w:rsidR="00595084">
        <w:t xml:space="preserve"> from growth in each of the projection</w:t>
      </w:r>
      <w:r w:rsidR="00377429">
        <w:t> year</w:t>
      </w:r>
      <w:r w:rsidR="00595084">
        <w:t>s.</w:t>
      </w:r>
    </w:p>
    <w:p w14:paraId="46FBF9E4" w14:textId="5614FDBA" w:rsidR="00D56909" w:rsidRPr="0080495D" w:rsidRDefault="00D56909" w:rsidP="005F0098">
      <w:pPr>
        <w:pStyle w:val="ChartMainHeading"/>
      </w:pPr>
      <w:bookmarkStart w:id="149" w:name="_Ref120712787"/>
      <w:r w:rsidRPr="00926A5E">
        <w:t>Population growth and components, South Australia</w:t>
      </w:r>
      <w:bookmarkEnd w:id="149"/>
    </w:p>
    <w:p w14:paraId="5E1E0971" w14:textId="7C7771D4" w:rsidR="003B7AC2" w:rsidRPr="0080495D" w:rsidRDefault="00594D2A" w:rsidP="009F117D">
      <w:pPr>
        <w:pStyle w:val="ChartGraphic"/>
      </w:pPr>
      <w:r w:rsidRPr="00594D2A">
        <w:t xml:space="preserve"> </w:t>
      </w:r>
      <w:r w:rsidRPr="00594D2A">
        <w:rPr>
          <w:noProof/>
        </w:rPr>
        <w:drawing>
          <wp:inline distT="0" distB="0" distL="0" distR="0" wp14:anchorId="201A5901" wp14:editId="5B05F4EE">
            <wp:extent cx="5583600" cy="2887200"/>
            <wp:effectExtent l="0" t="0" r="0" b="0"/>
            <wp:docPr id="6" name="Picture 6" descr="This chart shows population growth by component for South Australia, disaggregated into its components: natural increase, net overseas migration and net interstate migration. Intercensal difference is also shown. Net overseas migration is the main driver of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population growth by component for South Australia, disaggregated into its components: natural increase, net overseas migration and net interstate migration. Intercensal difference is also shown. Net overseas migration is the main driver of population growth over the projection perio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3600" cy="2887200"/>
                    </a:xfrm>
                    <a:prstGeom prst="rect">
                      <a:avLst/>
                    </a:prstGeom>
                    <a:noFill/>
                    <a:ln>
                      <a:noFill/>
                    </a:ln>
                  </pic:spPr>
                </pic:pic>
              </a:graphicData>
            </a:graphic>
          </wp:inline>
        </w:drawing>
      </w:r>
    </w:p>
    <w:p w14:paraId="4BAE8355" w14:textId="4D506055" w:rsidR="00D56909" w:rsidRPr="001D5998" w:rsidRDefault="00D56909" w:rsidP="00DB4A76">
      <w:pPr>
        <w:pStyle w:val="Source"/>
        <w:rPr>
          <w:rStyle w:val="Hyperlink"/>
        </w:rPr>
      </w:pPr>
      <w:r w:rsidRPr="0080495D">
        <w:t>Source:</w:t>
      </w:r>
      <w:r w:rsidR="001251CA">
        <w:tab/>
      </w:r>
      <w:r w:rsidR="00DD1DCF">
        <w:rPr>
          <w:noProof/>
        </w:rPr>
        <w:t>ABS</w:t>
      </w:r>
      <w:r>
        <w:rPr>
          <w:noProof/>
        </w:rPr>
        <w:t>, National, state and territory population, March 2023</w:t>
      </w:r>
      <w:r w:rsidR="009F74F0">
        <w:rPr>
          <w:noProof/>
        </w:rPr>
        <w:t xml:space="preserve"> </w:t>
      </w:r>
      <w:r w:rsidRPr="0080495D">
        <w:t>and Centre for Population projections.</w:t>
      </w:r>
    </w:p>
    <w:p w14:paraId="3A558226" w14:textId="2F23D9E2" w:rsidR="00062F93" w:rsidRDefault="00062F93" w:rsidP="00062F93">
      <w:r w:rsidRPr="00F704FC">
        <w:rPr>
          <w:b/>
        </w:rPr>
        <w:t xml:space="preserve">Greater </w:t>
      </w:r>
      <w:r w:rsidR="009F107D" w:rsidRPr="00F704FC">
        <w:rPr>
          <w:b/>
        </w:rPr>
        <w:t>Adelaide</w:t>
      </w:r>
      <w:r w:rsidR="004B14AB">
        <w:rPr>
          <w:b/>
        </w:rPr>
        <w:t>’</w:t>
      </w:r>
      <w:r w:rsidR="009F107D" w:rsidRPr="00F704FC">
        <w:rPr>
          <w:b/>
        </w:rPr>
        <w:t>s</w:t>
      </w:r>
      <w:r w:rsidRPr="00F704FC">
        <w:rPr>
          <w:b/>
        </w:rPr>
        <w:t xml:space="preserve"> </w:t>
      </w:r>
      <w:r>
        <w:t xml:space="preserve">population on 30 June 2022 was </w:t>
      </w:r>
      <w:r w:rsidR="009E4930">
        <w:t>1.4</w:t>
      </w:r>
      <w:r>
        <w:t xml:space="preserve"> million, representing </w:t>
      </w:r>
      <w:r w:rsidR="009E4930">
        <w:t>78</w:t>
      </w:r>
      <w:r w:rsidR="001F3B6F">
        <w:t> per cent</w:t>
      </w:r>
      <w:r>
        <w:t xml:space="preserve"> of </w:t>
      </w:r>
      <w:r w:rsidR="009E4930">
        <w:t>South Australia</w:t>
      </w:r>
      <w:r w:rsidR="004B14AB">
        <w:t>’</w:t>
      </w:r>
      <w:r>
        <w:t xml:space="preserve">s population. Population growth in </w:t>
      </w:r>
      <w:r w:rsidR="009E4930">
        <w:t>Adelaide</w:t>
      </w:r>
      <w:r>
        <w:t xml:space="preserve"> was </w:t>
      </w:r>
      <w:r w:rsidR="00953882">
        <w:t>1.2</w:t>
      </w:r>
      <w:r w:rsidR="001F3B6F">
        <w:t> per cent</w:t>
      </w:r>
      <w:r>
        <w:t xml:space="preserve"> in 2021</w:t>
      </w:r>
      <w:r w:rsidR="00E54F9C" w:rsidDel="00EA63CC">
        <w:t>–</w:t>
      </w:r>
      <w:r>
        <w:t xml:space="preserve">22 and is forecast to increase to </w:t>
      </w:r>
      <w:r w:rsidR="00D97307">
        <w:t>2.0</w:t>
      </w:r>
      <w:r w:rsidR="001F3B6F">
        <w:t> per cent</w:t>
      </w:r>
      <w:r>
        <w:t xml:space="preserve"> by 2022–23, slowing to </w:t>
      </w:r>
      <w:r w:rsidR="00FF6952">
        <w:t>0.9</w:t>
      </w:r>
      <w:r w:rsidR="001F3B6F">
        <w:t> per cent</w:t>
      </w:r>
      <w:r>
        <w:t xml:space="preserve"> by 2033–34. </w:t>
      </w:r>
      <w:r w:rsidR="00697876">
        <w:t>Similar to the state</w:t>
      </w:r>
      <w:r w:rsidR="004B14AB">
        <w:noBreakHyphen/>
      </w:r>
      <w:r w:rsidR="00A17983">
        <w:t xml:space="preserve">level projections, the majority of growth is expected to come from net overseas migration, </w:t>
      </w:r>
      <w:r w:rsidR="00792706">
        <w:t>with positive natural increase</w:t>
      </w:r>
      <w:r w:rsidR="003B0339">
        <w:t xml:space="preserve"> largely</w:t>
      </w:r>
      <w:r w:rsidR="00792706">
        <w:t xml:space="preserve"> offset </w:t>
      </w:r>
      <w:r w:rsidR="003B0339">
        <w:t>b</w:t>
      </w:r>
      <w:r w:rsidR="00792706">
        <w:t>y</w:t>
      </w:r>
      <w:r w:rsidR="003B0339">
        <w:t xml:space="preserve"> internal migration outflows</w:t>
      </w:r>
      <w:r>
        <w:t xml:space="preserve">. </w:t>
      </w:r>
      <w:r w:rsidR="003B0339">
        <w:t>Adelaide</w:t>
      </w:r>
      <w:r w:rsidR="004B14AB">
        <w:t>’</w:t>
      </w:r>
      <w:r>
        <w:t xml:space="preserve">s population is projected to be </w:t>
      </w:r>
      <w:r w:rsidR="00015644">
        <w:t>1.6</w:t>
      </w:r>
      <w:r>
        <w:t xml:space="preserve"> million in 2033–34. </w:t>
      </w:r>
    </w:p>
    <w:p w14:paraId="7D6EAE90" w14:textId="4E450DF3" w:rsidR="00062F93" w:rsidRDefault="00062F93" w:rsidP="00062F93">
      <w:r>
        <w:t xml:space="preserve">The population of the </w:t>
      </w:r>
      <w:r w:rsidRPr="00F704FC">
        <w:rPr>
          <w:b/>
        </w:rPr>
        <w:t xml:space="preserve">rest of </w:t>
      </w:r>
      <w:r w:rsidR="00015644" w:rsidRPr="00F704FC">
        <w:rPr>
          <w:b/>
        </w:rPr>
        <w:t>South Australia</w:t>
      </w:r>
      <w:r w:rsidR="00015644">
        <w:t xml:space="preserve"> </w:t>
      </w:r>
      <w:r>
        <w:t xml:space="preserve">on 30 June 2022 was </w:t>
      </w:r>
      <w:r w:rsidR="00FF2707">
        <w:t>40</w:t>
      </w:r>
      <w:r w:rsidR="00E116ED">
        <w:t>3</w:t>
      </w:r>
      <w:r w:rsidR="00FF2707">
        <w:t>,000</w:t>
      </w:r>
      <w:r>
        <w:t xml:space="preserve">. </w:t>
      </w:r>
      <w:r w:rsidR="00FD5409">
        <w:t>P</w:t>
      </w:r>
      <w:r>
        <w:t xml:space="preserve">opulation growth </w:t>
      </w:r>
      <w:r w:rsidR="00FD5409">
        <w:t xml:space="preserve">was </w:t>
      </w:r>
      <w:r w:rsidR="00CD1DAC">
        <w:t>0.</w:t>
      </w:r>
      <w:r w:rsidR="00A40717" w:rsidDel="00EA63CC">
        <w:t>6</w:t>
      </w:r>
      <w:r w:rsidR="001F3B6F">
        <w:t> per cent</w:t>
      </w:r>
      <w:r>
        <w:t xml:space="preserve"> in 2021–22</w:t>
      </w:r>
      <w:r w:rsidR="00CD1DAC">
        <w:t xml:space="preserve">, driven by overseas and internal </w:t>
      </w:r>
      <w:r w:rsidR="00CD1DAC" w:rsidDel="007B4E6C">
        <w:t>migration</w:t>
      </w:r>
      <w:r w:rsidR="007B4E6C">
        <w:t>.</w:t>
      </w:r>
      <w:r>
        <w:t xml:space="preserve"> </w:t>
      </w:r>
      <w:r w:rsidR="00DC5CFD">
        <w:t>These will</w:t>
      </w:r>
      <w:r w:rsidR="00E65381">
        <w:t xml:space="preserve"> continue into</w:t>
      </w:r>
      <w:r>
        <w:t xml:space="preserve"> 2022</w:t>
      </w:r>
      <w:r w:rsidR="00E54F9C" w:rsidDel="00EA63CC">
        <w:t>–</w:t>
      </w:r>
      <w:r>
        <w:t>23,</w:t>
      </w:r>
      <w:r w:rsidR="00B97784">
        <w:t xml:space="preserve"> </w:t>
      </w:r>
      <w:r w:rsidR="00E75442">
        <w:t xml:space="preserve">with growth </w:t>
      </w:r>
      <w:r w:rsidR="00AD129E">
        <w:t xml:space="preserve">forecast </w:t>
      </w:r>
      <w:r w:rsidR="00E75442">
        <w:t xml:space="preserve">to be </w:t>
      </w:r>
      <w:r w:rsidR="00AD129E">
        <w:t>0.8</w:t>
      </w:r>
      <w:r w:rsidR="001F3B6F">
        <w:t> per cent</w:t>
      </w:r>
      <w:r w:rsidR="00AD129E">
        <w:t>.</w:t>
      </w:r>
      <w:r w:rsidR="00E75442">
        <w:t xml:space="preserve"> </w:t>
      </w:r>
      <w:r w:rsidR="00C72880">
        <w:t>The r</w:t>
      </w:r>
      <w:r w:rsidR="0008574F">
        <w:t>est of South Australia is projected to experience natural dec</w:t>
      </w:r>
      <w:r w:rsidR="00036C36">
        <w:t>rease</w:t>
      </w:r>
      <w:r w:rsidR="0008574F">
        <w:t xml:space="preserve"> in each projection</w:t>
      </w:r>
      <w:r w:rsidR="00377429">
        <w:t> year</w:t>
      </w:r>
      <w:r w:rsidR="0008574F">
        <w:t xml:space="preserve">, reflecting </w:t>
      </w:r>
      <w:r w:rsidR="00F255CF">
        <w:t>the ageing population.</w:t>
      </w:r>
      <w:r>
        <w:t xml:space="preserve"> </w:t>
      </w:r>
      <w:r w:rsidR="00F255CF">
        <w:t>Population growth is proje</w:t>
      </w:r>
      <w:r w:rsidR="003643A3">
        <w:t>cted to</w:t>
      </w:r>
      <w:r w:rsidR="008D1863">
        <w:t xml:space="preserve"> be the slowest of any </w:t>
      </w:r>
      <w:r w:rsidR="00220485">
        <w:t>rest</w:t>
      </w:r>
      <w:r w:rsidR="004B14AB">
        <w:noBreakHyphen/>
      </w:r>
      <w:r w:rsidR="00220485">
        <w:t>of</w:t>
      </w:r>
      <w:r w:rsidR="004B14AB">
        <w:noBreakHyphen/>
      </w:r>
      <w:r w:rsidR="00220485">
        <w:t>state area</w:t>
      </w:r>
      <w:r w:rsidR="007637F3">
        <w:t xml:space="preserve"> from 2025</w:t>
      </w:r>
      <w:r w:rsidR="006127AF">
        <w:t>–</w:t>
      </w:r>
      <w:r w:rsidR="007637F3">
        <w:t>26 onwards</w:t>
      </w:r>
      <w:r w:rsidR="00220485">
        <w:t>,</w:t>
      </w:r>
      <w:r w:rsidR="003643A3">
        <w:t xml:space="preserve"> </w:t>
      </w:r>
      <w:r w:rsidR="00B75A5C">
        <w:t>fall</w:t>
      </w:r>
      <w:r w:rsidR="00220485">
        <w:t>ing</w:t>
      </w:r>
      <w:r w:rsidR="00B75A5C">
        <w:t xml:space="preserve"> to 0.2</w:t>
      </w:r>
      <w:r w:rsidR="001F3B6F">
        <w:t> per cent</w:t>
      </w:r>
      <w:r w:rsidR="00B75A5C">
        <w:t xml:space="preserve"> </w:t>
      </w:r>
      <w:r w:rsidR="0073630F">
        <w:t>by</w:t>
      </w:r>
      <w:r>
        <w:t xml:space="preserve"> 2033–34</w:t>
      </w:r>
      <w:r w:rsidR="00A82D30">
        <w:t>.</w:t>
      </w:r>
      <w:r w:rsidR="00B75A5C">
        <w:t xml:space="preserve"> </w:t>
      </w:r>
      <w:r w:rsidR="000E62C4">
        <w:t>The r</w:t>
      </w:r>
      <w:r w:rsidR="00A82D30">
        <w:t>est of South Australia</w:t>
      </w:r>
      <w:r w:rsidR="004B14AB">
        <w:t>’</w:t>
      </w:r>
      <w:r w:rsidR="00A82D30">
        <w:t>s</w:t>
      </w:r>
      <w:r w:rsidR="00B75A5C">
        <w:t xml:space="preserve"> population </w:t>
      </w:r>
      <w:r w:rsidR="00A82D30">
        <w:t>is projected to be</w:t>
      </w:r>
      <w:r w:rsidR="00B75A5C">
        <w:t xml:space="preserve"> </w:t>
      </w:r>
      <w:r w:rsidR="00B65DA0">
        <w:t>420,000</w:t>
      </w:r>
      <w:r w:rsidR="00A82D30">
        <w:t xml:space="preserve"> in 2033</w:t>
      </w:r>
      <w:r w:rsidR="00E54F9C" w:rsidDel="00EA63CC">
        <w:t>–</w:t>
      </w:r>
      <w:r w:rsidR="00A82D30">
        <w:t>34</w:t>
      </w:r>
      <w:r w:rsidR="00B65DA0">
        <w:t xml:space="preserve">. </w:t>
      </w:r>
    </w:p>
    <w:p w14:paraId="6501D34A" w14:textId="224410F4" w:rsidR="00123C17" w:rsidRDefault="00123C17" w:rsidP="00B07B0E">
      <w:pPr>
        <w:pStyle w:val="ChartMainHeading"/>
      </w:pPr>
      <w:r w:rsidRPr="00926A5E">
        <w:lastRenderedPageBreak/>
        <w:t xml:space="preserve">Population growth in South Australia, Greater Adelaide and the </w:t>
      </w:r>
      <w:r w:rsidR="00F103AE" w:rsidRPr="00926A5E">
        <w:t>r</w:t>
      </w:r>
      <w:r w:rsidRPr="00926A5E">
        <w:t>est of South Australia</w:t>
      </w:r>
    </w:p>
    <w:p w14:paraId="1382911C" w14:textId="2A17BEB5" w:rsidR="00216601" w:rsidRPr="0080495D" w:rsidRDefault="0097204D" w:rsidP="009F117D">
      <w:pPr>
        <w:pStyle w:val="ChartGraphic"/>
      </w:pPr>
      <w:r w:rsidRPr="0097204D">
        <w:rPr>
          <w:noProof/>
        </w:rPr>
        <w:drawing>
          <wp:inline distT="0" distB="0" distL="0" distR="0" wp14:anchorId="59EB07EC" wp14:editId="20DDE56D">
            <wp:extent cx="5581650" cy="2885440"/>
            <wp:effectExtent l="0" t="0" r="0" b="0"/>
            <wp:docPr id="34" name="Picture 34" descr="This chart shows population growth for Adelaide, South Australia and the rest of South Australia. Population growth in Adelaide declined significantly in 2020-21, which also drove a decline in South Australia's population growth. Population growth in both areas is forecast to recover to a peak in 2022-23, before declining thereafter. Population growth in the rest of South Australia is forecast to remain relatively stable before slowly declining until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population growth for Adelaide, South Australia and the rest of South Australia. Population growth in Adelaide declined significantly in 2020-21, which also drove a decline in South Australia's population growth. Population growth in both areas is forecast to recover to a peak in 2022-23, before declining thereafter. Population growth in the rest of South Australia is forecast to remain relatively stable before slowly declining until 2033-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2885440"/>
                    </a:xfrm>
                    <a:prstGeom prst="rect">
                      <a:avLst/>
                    </a:prstGeom>
                    <a:noFill/>
                    <a:ln>
                      <a:noFill/>
                    </a:ln>
                  </pic:spPr>
                </pic:pic>
              </a:graphicData>
            </a:graphic>
          </wp:inline>
        </w:drawing>
      </w:r>
    </w:p>
    <w:p w14:paraId="1305AC6D" w14:textId="1DC8EFDD" w:rsidR="00216601" w:rsidRPr="00926A5E" w:rsidRDefault="00216601" w:rsidP="00C14BAE">
      <w:pPr>
        <w:pStyle w:val="Source"/>
      </w:pPr>
      <w:r w:rsidRPr="00926A5E">
        <w:t xml:space="preserve">Source: </w:t>
      </w:r>
      <w:r>
        <w:tab/>
      </w:r>
      <w:r w:rsidRPr="00926A5E">
        <w:t>ABS, Regional population 2021–22</w:t>
      </w:r>
      <w:r w:rsidR="00C93C68">
        <w:t>,</w:t>
      </w:r>
      <w:r w:rsidRPr="00926A5E">
        <w:t xml:space="preserve"> ABS, National, state and territory population, March 2023</w:t>
      </w:r>
      <w:r w:rsidR="00C93C68">
        <w:t>,</w:t>
      </w:r>
      <w:r w:rsidRPr="00926A5E">
        <w:t xml:space="preserve"> and Centre for Population projections.</w:t>
      </w:r>
      <w:r w:rsidR="00CE0ABB" w:rsidDel="00CE0ABB">
        <w:t xml:space="preserve"> </w:t>
      </w:r>
    </w:p>
    <w:p w14:paraId="5BB48F7D" w14:textId="6F0B2EFD" w:rsidR="00DD4AAA" w:rsidRDefault="00DD4AAA">
      <w:pPr>
        <w:spacing w:before="0" w:after="160" w:line="259" w:lineRule="auto"/>
      </w:pPr>
      <w:r>
        <w:br w:type="page"/>
      </w:r>
    </w:p>
    <w:p w14:paraId="6C715050" w14:textId="77777777" w:rsidR="00134BEE" w:rsidRDefault="00134BEE" w:rsidP="00134BEE">
      <w:pPr>
        <w:pStyle w:val="TableMainHeading"/>
      </w:pPr>
      <w:r>
        <w:lastRenderedPageBreak/>
        <w:t>Population projections, South Australia</w:t>
      </w:r>
    </w:p>
    <w:tbl>
      <w:tblPr>
        <w:tblStyle w:val="CPOPTable"/>
        <w:tblW w:w="0" w:type="auto"/>
        <w:tblLayout w:type="fixed"/>
        <w:tblLook w:val="04A0" w:firstRow="1" w:lastRow="0" w:firstColumn="1" w:lastColumn="0" w:noHBand="0" w:noVBand="1"/>
      </w:tblPr>
      <w:tblGrid>
        <w:gridCol w:w="2977"/>
        <w:gridCol w:w="992"/>
        <w:gridCol w:w="993"/>
        <w:gridCol w:w="992"/>
        <w:gridCol w:w="992"/>
        <w:gridCol w:w="999"/>
        <w:gridCol w:w="1127"/>
      </w:tblGrid>
      <w:tr w:rsidR="006C1033" w14:paraId="2664470E" w14:textId="77777777" w:rsidTr="00AD648F">
        <w:trPr>
          <w:cnfStyle w:val="100000000000" w:firstRow="1" w:lastRow="0" w:firstColumn="0" w:lastColumn="0" w:oddVBand="0" w:evenVBand="0" w:oddHBand="0" w:evenHBand="0" w:firstRowFirstColumn="0" w:firstRowLastColumn="0" w:lastRowFirstColumn="0" w:lastRowLastColumn="0"/>
        </w:trPr>
        <w:tc>
          <w:tcPr>
            <w:tcW w:w="2977" w:type="dxa"/>
            <w:tcBorders>
              <w:top w:val="single" w:sz="4" w:space="0" w:color="auto"/>
              <w:bottom w:val="single" w:sz="4" w:space="0" w:color="auto"/>
            </w:tcBorders>
          </w:tcPr>
          <w:p w14:paraId="3419CD15" w14:textId="77777777" w:rsidR="006C1033" w:rsidRDefault="006C1033">
            <w:pPr>
              <w:spacing w:after="0"/>
            </w:pPr>
          </w:p>
        </w:tc>
        <w:tc>
          <w:tcPr>
            <w:tcW w:w="992" w:type="dxa"/>
            <w:tcBorders>
              <w:top w:val="single" w:sz="4" w:space="0" w:color="auto"/>
              <w:bottom w:val="single" w:sz="4" w:space="0" w:color="auto"/>
            </w:tcBorders>
          </w:tcPr>
          <w:p w14:paraId="5CDD61C3" w14:textId="77777777" w:rsidR="006C1033" w:rsidRPr="00043A2D" w:rsidRDefault="006C1033" w:rsidP="004C567F">
            <w:pPr>
              <w:pStyle w:val="TableColumnHeadingRight"/>
            </w:pPr>
            <w:r w:rsidRPr="0080495D">
              <w:t>202</w:t>
            </w:r>
            <w:r>
              <w:t>1–</w:t>
            </w:r>
            <w:r w:rsidRPr="0080495D">
              <w:t>2</w:t>
            </w:r>
            <w:r>
              <w:t>2</w:t>
            </w:r>
          </w:p>
        </w:tc>
        <w:tc>
          <w:tcPr>
            <w:tcW w:w="993" w:type="dxa"/>
            <w:tcBorders>
              <w:top w:val="single" w:sz="4" w:space="0" w:color="auto"/>
              <w:bottom w:val="single" w:sz="4" w:space="0" w:color="auto"/>
            </w:tcBorders>
            <w:shd w:val="clear" w:color="auto" w:fill="D2EDFF" w:themeFill="accent1" w:themeFillTint="1A"/>
          </w:tcPr>
          <w:p w14:paraId="33FC6C74" w14:textId="77777777" w:rsidR="006C1033" w:rsidRPr="00043A2D" w:rsidRDefault="006C1033" w:rsidP="004C567F">
            <w:pPr>
              <w:pStyle w:val="TableColumnHeadingRight"/>
            </w:pPr>
            <w:r w:rsidRPr="0080495D">
              <w:t>202</w:t>
            </w:r>
            <w:r>
              <w:t>2–</w:t>
            </w:r>
            <w:r w:rsidRPr="0080495D">
              <w:t>2</w:t>
            </w:r>
            <w:r>
              <w:t>3</w:t>
            </w:r>
          </w:p>
        </w:tc>
        <w:tc>
          <w:tcPr>
            <w:tcW w:w="992" w:type="dxa"/>
            <w:tcBorders>
              <w:top w:val="single" w:sz="4" w:space="0" w:color="auto"/>
              <w:bottom w:val="single" w:sz="4" w:space="0" w:color="auto"/>
            </w:tcBorders>
          </w:tcPr>
          <w:p w14:paraId="75D96638" w14:textId="77777777" w:rsidR="006C1033" w:rsidRPr="00043A2D" w:rsidRDefault="006C1033" w:rsidP="004C567F">
            <w:pPr>
              <w:pStyle w:val="TableColumnHeadingRight"/>
            </w:pPr>
            <w:r w:rsidRPr="0080495D">
              <w:t>202</w:t>
            </w:r>
            <w:r>
              <w:t>3–</w:t>
            </w:r>
            <w:r w:rsidRPr="0080495D">
              <w:t>2</w:t>
            </w:r>
            <w:r>
              <w:t>4</w:t>
            </w:r>
          </w:p>
        </w:tc>
        <w:tc>
          <w:tcPr>
            <w:tcW w:w="992" w:type="dxa"/>
            <w:tcBorders>
              <w:top w:val="single" w:sz="4" w:space="0" w:color="auto"/>
              <w:bottom w:val="single" w:sz="4" w:space="0" w:color="auto"/>
            </w:tcBorders>
          </w:tcPr>
          <w:p w14:paraId="30336882" w14:textId="77777777" w:rsidR="006C1033" w:rsidRPr="00043A2D" w:rsidRDefault="006C1033" w:rsidP="004C567F">
            <w:pPr>
              <w:pStyle w:val="TableColumnHeadingRight"/>
            </w:pPr>
            <w:r w:rsidRPr="0080495D">
              <w:t>202</w:t>
            </w:r>
            <w:r>
              <w:t>4–</w:t>
            </w:r>
            <w:r w:rsidRPr="0080495D">
              <w:t>2</w:t>
            </w:r>
            <w:r>
              <w:t>5</w:t>
            </w:r>
          </w:p>
        </w:tc>
        <w:tc>
          <w:tcPr>
            <w:tcW w:w="999" w:type="dxa"/>
            <w:tcBorders>
              <w:top w:val="single" w:sz="4" w:space="0" w:color="auto"/>
              <w:bottom w:val="single" w:sz="4" w:space="0" w:color="auto"/>
            </w:tcBorders>
          </w:tcPr>
          <w:p w14:paraId="3F3D07F0" w14:textId="77777777" w:rsidR="006C1033" w:rsidRPr="00043A2D" w:rsidRDefault="006C1033" w:rsidP="004C567F">
            <w:pPr>
              <w:pStyle w:val="TableColumnHeadingRight"/>
            </w:pPr>
            <w:r w:rsidRPr="0080495D">
              <w:t>202</w:t>
            </w:r>
            <w:r>
              <w:t>5–</w:t>
            </w:r>
            <w:r w:rsidRPr="0080495D">
              <w:t>2</w:t>
            </w:r>
            <w:r>
              <w:t>6</w:t>
            </w:r>
          </w:p>
        </w:tc>
        <w:tc>
          <w:tcPr>
            <w:tcW w:w="1127" w:type="dxa"/>
            <w:tcBorders>
              <w:top w:val="single" w:sz="4" w:space="0" w:color="auto"/>
              <w:bottom w:val="single" w:sz="4" w:space="0" w:color="auto"/>
            </w:tcBorders>
          </w:tcPr>
          <w:p w14:paraId="23664B52" w14:textId="77777777" w:rsidR="006C1033" w:rsidRPr="00043A2D" w:rsidRDefault="006C1033" w:rsidP="004C567F">
            <w:pPr>
              <w:pStyle w:val="TableColumnHeadingRight"/>
            </w:pPr>
            <w:r w:rsidRPr="0080495D">
              <w:t>203</w:t>
            </w:r>
            <w:r>
              <w:t>3–</w:t>
            </w:r>
            <w:r w:rsidRPr="0080495D">
              <w:t>3</w:t>
            </w:r>
            <w:r>
              <w:t>4</w:t>
            </w:r>
          </w:p>
        </w:tc>
      </w:tr>
      <w:tr w:rsidR="006C1033" w14:paraId="523990FC" w14:textId="77777777" w:rsidTr="00AD648F">
        <w:tc>
          <w:tcPr>
            <w:tcW w:w="2977" w:type="dxa"/>
            <w:tcBorders>
              <w:top w:val="single" w:sz="4" w:space="0" w:color="auto"/>
            </w:tcBorders>
          </w:tcPr>
          <w:p w14:paraId="7006BBC0" w14:textId="77777777" w:rsidR="006C1033" w:rsidRPr="00E20618" w:rsidRDefault="006C1033" w:rsidP="004C567F">
            <w:pPr>
              <w:pStyle w:val="TableColumnHeadingLeft"/>
            </w:pPr>
            <w:r w:rsidRPr="00E20618">
              <w:t>Population (‘000)</w:t>
            </w:r>
          </w:p>
        </w:tc>
        <w:tc>
          <w:tcPr>
            <w:tcW w:w="992" w:type="dxa"/>
            <w:tcBorders>
              <w:top w:val="single" w:sz="4" w:space="0" w:color="auto"/>
            </w:tcBorders>
            <w:vAlign w:val="center"/>
          </w:tcPr>
          <w:p w14:paraId="4D5DA285" w14:textId="77777777" w:rsidR="006C1033" w:rsidRPr="00E20618" w:rsidRDefault="006C1033">
            <w:pPr>
              <w:spacing w:after="0"/>
            </w:pPr>
          </w:p>
        </w:tc>
        <w:tc>
          <w:tcPr>
            <w:tcW w:w="993" w:type="dxa"/>
            <w:tcBorders>
              <w:top w:val="single" w:sz="4" w:space="0" w:color="auto"/>
            </w:tcBorders>
            <w:shd w:val="clear" w:color="auto" w:fill="D2EDFF" w:themeFill="accent1" w:themeFillTint="1A"/>
            <w:vAlign w:val="center"/>
          </w:tcPr>
          <w:p w14:paraId="1C30A634" w14:textId="77777777" w:rsidR="006C1033" w:rsidRPr="00E20618" w:rsidRDefault="006C1033">
            <w:pPr>
              <w:spacing w:after="0"/>
            </w:pPr>
            <w:r>
              <w:rPr>
                <w:rFonts w:ascii="Calibri" w:hAnsi="Calibri" w:cs="Calibri"/>
                <w:color w:val="000000"/>
              </w:rPr>
              <w:t> </w:t>
            </w:r>
          </w:p>
        </w:tc>
        <w:tc>
          <w:tcPr>
            <w:tcW w:w="992" w:type="dxa"/>
            <w:tcBorders>
              <w:top w:val="single" w:sz="4" w:space="0" w:color="auto"/>
            </w:tcBorders>
            <w:vAlign w:val="center"/>
          </w:tcPr>
          <w:p w14:paraId="1164E339" w14:textId="77777777" w:rsidR="006C1033" w:rsidRPr="00E20618" w:rsidRDefault="006C1033">
            <w:pPr>
              <w:spacing w:after="0"/>
            </w:pPr>
          </w:p>
        </w:tc>
        <w:tc>
          <w:tcPr>
            <w:tcW w:w="992" w:type="dxa"/>
            <w:tcBorders>
              <w:top w:val="single" w:sz="4" w:space="0" w:color="auto"/>
            </w:tcBorders>
            <w:vAlign w:val="center"/>
          </w:tcPr>
          <w:p w14:paraId="666DBC60" w14:textId="77777777" w:rsidR="006C1033" w:rsidRPr="00E20618" w:rsidRDefault="006C1033">
            <w:pPr>
              <w:spacing w:after="0"/>
            </w:pPr>
          </w:p>
        </w:tc>
        <w:tc>
          <w:tcPr>
            <w:tcW w:w="999" w:type="dxa"/>
            <w:tcBorders>
              <w:top w:val="single" w:sz="4" w:space="0" w:color="auto"/>
              <w:right w:val="single" w:sz="4" w:space="0" w:color="auto"/>
            </w:tcBorders>
            <w:vAlign w:val="center"/>
          </w:tcPr>
          <w:p w14:paraId="1AE09155" w14:textId="77777777" w:rsidR="006C1033" w:rsidRPr="00E20618" w:rsidRDefault="006C1033">
            <w:pPr>
              <w:spacing w:after="0"/>
            </w:pPr>
            <w:r>
              <w:rPr>
                <w:rFonts w:ascii="Calibri" w:hAnsi="Calibri" w:cs="Calibri"/>
                <w:color w:val="000000"/>
              </w:rPr>
              <w:t> </w:t>
            </w:r>
          </w:p>
        </w:tc>
        <w:tc>
          <w:tcPr>
            <w:tcW w:w="1127" w:type="dxa"/>
            <w:tcBorders>
              <w:top w:val="single" w:sz="4" w:space="0" w:color="auto"/>
              <w:left w:val="single" w:sz="4" w:space="0" w:color="auto"/>
            </w:tcBorders>
            <w:vAlign w:val="center"/>
          </w:tcPr>
          <w:p w14:paraId="34343748" w14:textId="77777777" w:rsidR="006C1033" w:rsidRPr="00E20618" w:rsidRDefault="006C1033">
            <w:pPr>
              <w:spacing w:after="0"/>
            </w:pPr>
          </w:p>
        </w:tc>
      </w:tr>
      <w:tr w:rsidR="006C1033" w14:paraId="24DAE5F9" w14:textId="77777777">
        <w:tc>
          <w:tcPr>
            <w:tcW w:w="2977" w:type="dxa"/>
          </w:tcPr>
          <w:p w14:paraId="057BE67F" w14:textId="77777777" w:rsidR="006C1033" w:rsidRPr="00E20618" w:rsidRDefault="006C1033" w:rsidP="004C567F">
            <w:pPr>
              <w:pStyle w:val="TableTextLeft"/>
            </w:pPr>
            <w:r w:rsidRPr="00E20618">
              <w:t>South Australia</w:t>
            </w:r>
          </w:p>
        </w:tc>
        <w:tc>
          <w:tcPr>
            <w:tcW w:w="992" w:type="dxa"/>
            <w:tcBorders>
              <w:top w:val="nil"/>
              <w:left w:val="nil"/>
              <w:bottom w:val="nil"/>
              <w:right w:val="nil"/>
            </w:tcBorders>
            <w:vAlign w:val="center"/>
          </w:tcPr>
          <w:p w14:paraId="7D464C88" w14:textId="77777777" w:rsidR="006C1033" w:rsidRPr="00E20618" w:rsidRDefault="006C1033" w:rsidP="004C567F">
            <w:pPr>
              <w:pStyle w:val="TableTextRight"/>
            </w:pPr>
            <w:r>
              <w:t>1,821</w:t>
            </w:r>
          </w:p>
        </w:tc>
        <w:tc>
          <w:tcPr>
            <w:tcW w:w="993" w:type="dxa"/>
            <w:tcBorders>
              <w:top w:val="nil"/>
              <w:left w:val="nil"/>
              <w:bottom w:val="nil"/>
              <w:right w:val="nil"/>
            </w:tcBorders>
            <w:shd w:val="clear" w:color="auto" w:fill="D2EDFF" w:themeFill="accent1" w:themeFillTint="1A"/>
            <w:vAlign w:val="center"/>
          </w:tcPr>
          <w:p w14:paraId="0CF2F8AB" w14:textId="77777777" w:rsidR="006C1033" w:rsidRPr="00E20618" w:rsidRDefault="006C1033" w:rsidP="004C567F">
            <w:pPr>
              <w:pStyle w:val="TableTextRight"/>
            </w:pPr>
            <w:r>
              <w:t>1,852</w:t>
            </w:r>
          </w:p>
        </w:tc>
        <w:tc>
          <w:tcPr>
            <w:tcW w:w="992" w:type="dxa"/>
            <w:tcBorders>
              <w:top w:val="nil"/>
              <w:left w:val="nil"/>
              <w:bottom w:val="nil"/>
              <w:right w:val="nil"/>
            </w:tcBorders>
            <w:vAlign w:val="center"/>
          </w:tcPr>
          <w:p w14:paraId="603A63F4" w14:textId="77777777" w:rsidR="006C1033" w:rsidRPr="00E20618" w:rsidRDefault="006C1033" w:rsidP="004C567F">
            <w:pPr>
              <w:pStyle w:val="TableTextRight"/>
            </w:pPr>
            <w:r>
              <w:t>1,879</w:t>
            </w:r>
          </w:p>
        </w:tc>
        <w:tc>
          <w:tcPr>
            <w:tcW w:w="992" w:type="dxa"/>
            <w:tcBorders>
              <w:top w:val="nil"/>
              <w:left w:val="nil"/>
              <w:bottom w:val="nil"/>
              <w:right w:val="nil"/>
            </w:tcBorders>
            <w:vAlign w:val="center"/>
          </w:tcPr>
          <w:p w14:paraId="3B196B72" w14:textId="77777777" w:rsidR="006C1033" w:rsidRPr="00E20618" w:rsidRDefault="006C1033" w:rsidP="004C567F">
            <w:pPr>
              <w:pStyle w:val="TableTextRight"/>
            </w:pPr>
            <w:r>
              <w:t>1,898</w:t>
            </w:r>
          </w:p>
        </w:tc>
        <w:tc>
          <w:tcPr>
            <w:tcW w:w="999" w:type="dxa"/>
            <w:tcBorders>
              <w:top w:val="nil"/>
              <w:left w:val="nil"/>
              <w:bottom w:val="nil"/>
              <w:right w:val="single" w:sz="4" w:space="0" w:color="auto"/>
            </w:tcBorders>
            <w:vAlign w:val="center"/>
          </w:tcPr>
          <w:p w14:paraId="593BCC27" w14:textId="77777777" w:rsidR="006C1033" w:rsidRPr="00E20618" w:rsidRDefault="006C1033" w:rsidP="004C567F">
            <w:pPr>
              <w:pStyle w:val="TableTextRight"/>
            </w:pPr>
            <w:r>
              <w:t>1,916</w:t>
            </w:r>
          </w:p>
        </w:tc>
        <w:tc>
          <w:tcPr>
            <w:tcW w:w="1127" w:type="dxa"/>
            <w:tcBorders>
              <w:top w:val="nil"/>
              <w:left w:val="single" w:sz="4" w:space="0" w:color="auto"/>
              <w:bottom w:val="nil"/>
              <w:right w:val="nil"/>
            </w:tcBorders>
            <w:vAlign w:val="center"/>
          </w:tcPr>
          <w:p w14:paraId="6613E8E7" w14:textId="77777777" w:rsidR="006C1033" w:rsidRPr="00E20618" w:rsidRDefault="006C1033" w:rsidP="004C567F">
            <w:pPr>
              <w:pStyle w:val="TableTextRight"/>
            </w:pPr>
            <w:r>
              <w:t>2,048</w:t>
            </w:r>
          </w:p>
        </w:tc>
      </w:tr>
      <w:tr w:rsidR="006C1033" w14:paraId="15998720" w14:textId="77777777">
        <w:tc>
          <w:tcPr>
            <w:tcW w:w="2977" w:type="dxa"/>
          </w:tcPr>
          <w:p w14:paraId="7CB54530" w14:textId="77777777" w:rsidR="006C1033" w:rsidRPr="00E20618" w:rsidRDefault="006C1033" w:rsidP="004C567F">
            <w:pPr>
              <w:pStyle w:val="TableTextIndented"/>
            </w:pPr>
            <w:r w:rsidRPr="00E20618">
              <w:t>Greater Adelaide</w:t>
            </w:r>
          </w:p>
        </w:tc>
        <w:tc>
          <w:tcPr>
            <w:tcW w:w="992" w:type="dxa"/>
            <w:tcBorders>
              <w:top w:val="nil"/>
              <w:left w:val="nil"/>
              <w:bottom w:val="nil"/>
              <w:right w:val="nil"/>
            </w:tcBorders>
            <w:vAlign w:val="center"/>
          </w:tcPr>
          <w:p w14:paraId="512C4A6E" w14:textId="77777777" w:rsidR="006C1033" w:rsidRPr="00E20618" w:rsidRDefault="006C1033" w:rsidP="004C567F">
            <w:pPr>
              <w:pStyle w:val="TableTextRight"/>
            </w:pPr>
            <w:r>
              <w:t>1,418</w:t>
            </w:r>
          </w:p>
        </w:tc>
        <w:tc>
          <w:tcPr>
            <w:tcW w:w="993" w:type="dxa"/>
            <w:tcBorders>
              <w:top w:val="nil"/>
              <w:left w:val="nil"/>
              <w:bottom w:val="nil"/>
              <w:right w:val="nil"/>
            </w:tcBorders>
            <w:shd w:val="clear" w:color="auto" w:fill="D2EDFF" w:themeFill="accent1" w:themeFillTint="1A"/>
            <w:vAlign w:val="center"/>
          </w:tcPr>
          <w:p w14:paraId="2B3051E0" w14:textId="77777777" w:rsidR="006C1033" w:rsidRPr="00E20618" w:rsidRDefault="006C1033" w:rsidP="004C567F">
            <w:pPr>
              <w:pStyle w:val="TableTextRight"/>
            </w:pPr>
            <w:r>
              <w:t>1,446</w:t>
            </w:r>
          </w:p>
        </w:tc>
        <w:tc>
          <w:tcPr>
            <w:tcW w:w="992" w:type="dxa"/>
            <w:tcBorders>
              <w:top w:val="nil"/>
              <w:left w:val="nil"/>
              <w:bottom w:val="nil"/>
              <w:right w:val="nil"/>
            </w:tcBorders>
            <w:vAlign w:val="center"/>
          </w:tcPr>
          <w:p w14:paraId="77C1D823" w14:textId="77777777" w:rsidR="006C1033" w:rsidRPr="00E20618" w:rsidRDefault="006C1033" w:rsidP="004C567F">
            <w:pPr>
              <w:pStyle w:val="TableTextRight"/>
            </w:pPr>
            <w:r>
              <w:t>1,471</w:t>
            </w:r>
          </w:p>
        </w:tc>
        <w:tc>
          <w:tcPr>
            <w:tcW w:w="992" w:type="dxa"/>
            <w:tcBorders>
              <w:top w:val="nil"/>
              <w:left w:val="nil"/>
              <w:bottom w:val="nil"/>
              <w:right w:val="nil"/>
            </w:tcBorders>
            <w:vAlign w:val="center"/>
          </w:tcPr>
          <w:p w14:paraId="628DA7C8" w14:textId="77777777" w:rsidR="006C1033" w:rsidRPr="00E20618" w:rsidRDefault="006C1033" w:rsidP="004C567F">
            <w:pPr>
              <w:pStyle w:val="TableTextRight"/>
            </w:pPr>
            <w:r>
              <w:t>1,488</w:t>
            </w:r>
          </w:p>
        </w:tc>
        <w:tc>
          <w:tcPr>
            <w:tcW w:w="999" w:type="dxa"/>
            <w:tcBorders>
              <w:top w:val="nil"/>
              <w:left w:val="nil"/>
              <w:bottom w:val="nil"/>
              <w:right w:val="single" w:sz="4" w:space="0" w:color="auto"/>
            </w:tcBorders>
            <w:vAlign w:val="center"/>
          </w:tcPr>
          <w:p w14:paraId="6F6A813D" w14:textId="77777777" w:rsidR="006C1033" w:rsidRPr="00E20618" w:rsidRDefault="006C1033" w:rsidP="004C567F">
            <w:pPr>
              <w:pStyle w:val="TableTextRight"/>
            </w:pPr>
            <w:r>
              <w:t>1,505</w:t>
            </w:r>
          </w:p>
        </w:tc>
        <w:tc>
          <w:tcPr>
            <w:tcW w:w="1127" w:type="dxa"/>
            <w:tcBorders>
              <w:top w:val="nil"/>
              <w:left w:val="single" w:sz="4" w:space="0" w:color="auto"/>
              <w:bottom w:val="nil"/>
              <w:right w:val="nil"/>
            </w:tcBorders>
            <w:vAlign w:val="center"/>
          </w:tcPr>
          <w:p w14:paraId="63ECFC57" w14:textId="77777777" w:rsidR="006C1033" w:rsidRPr="00E20618" w:rsidRDefault="006C1033" w:rsidP="004C567F">
            <w:pPr>
              <w:pStyle w:val="TableTextRight"/>
            </w:pPr>
            <w:r>
              <w:t>1,629</w:t>
            </w:r>
          </w:p>
        </w:tc>
      </w:tr>
      <w:tr w:rsidR="006C1033" w14:paraId="18DFB33C" w14:textId="77777777">
        <w:tc>
          <w:tcPr>
            <w:tcW w:w="2977" w:type="dxa"/>
          </w:tcPr>
          <w:p w14:paraId="3DE19138" w14:textId="77777777" w:rsidR="006C1033" w:rsidRPr="00E20618" w:rsidRDefault="006C1033" w:rsidP="004C567F">
            <w:pPr>
              <w:pStyle w:val="TableTextIndented"/>
            </w:pPr>
            <w:r w:rsidRPr="00E20618">
              <w:t>Rest of South Australia</w:t>
            </w:r>
          </w:p>
        </w:tc>
        <w:tc>
          <w:tcPr>
            <w:tcW w:w="992" w:type="dxa"/>
            <w:tcBorders>
              <w:top w:val="nil"/>
              <w:left w:val="nil"/>
              <w:bottom w:val="nil"/>
              <w:right w:val="nil"/>
            </w:tcBorders>
            <w:vAlign w:val="center"/>
          </w:tcPr>
          <w:p w14:paraId="118CECD6" w14:textId="77777777" w:rsidR="006C1033" w:rsidRPr="00E20618" w:rsidRDefault="006C1033" w:rsidP="004C567F">
            <w:pPr>
              <w:pStyle w:val="TableTextRight"/>
            </w:pPr>
            <w:r>
              <w:t>403</w:t>
            </w:r>
          </w:p>
        </w:tc>
        <w:tc>
          <w:tcPr>
            <w:tcW w:w="993" w:type="dxa"/>
            <w:tcBorders>
              <w:top w:val="nil"/>
              <w:left w:val="nil"/>
              <w:bottom w:val="nil"/>
              <w:right w:val="nil"/>
            </w:tcBorders>
            <w:shd w:val="clear" w:color="auto" w:fill="D2EDFF" w:themeFill="accent1" w:themeFillTint="1A"/>
            <w:vAlign w:val="center"/>
          </w:tcPr>
          <w:p w14:paraId="666678E6" w14:textId="77777777" w:rsidR="006C1033" w:rsidRPr="00E20618" w:rsidRDefault="006C1033" w:rsidP="004C567F">
            <w:pPr>
              <w:pStyle w:val="TableTextRight"/>
            </w:pPr>
            <w:r>
              <w:t>406</w:t>
            </w:r>
          </w:p>
        </w:tc>
        <w:tc>
          <w:tcPr>
            <w:tcW w:w="992" w:type="dxa"/>
            <w:tcBorders>
              <w:top w:val="nil"/>
              <w:left w:val="nil"/>
              <w:bottom w:val="nil"/>
              <w:right w:val="nil"/>
            </w:tcBorders>
            <w:vAlign w:val="center"/>
          </w:tcPr>
          <w:p w14:paraId="04390160" w14:textId="77777777" w:rsidR="006C1033" w:rsidRPr="00E20618" w:rsidRDefault="006C1033" w:rsidP="004C567F">
            <w:pPr>
              <w:pStyle w:val="TableTextRight"/>
            </w:pPr>
            <w:r>
              <w:t>409</w:t>
            </w:r>
          </w:p>
        </w:tc>
        <w:tc>
          <w:tcPr>
            <w:tcW w:w="992" w:type="dxa"/>
            <w:tcBorders>
              <w:top w:val="nil"/>
              <w:left w:val="nil"/>
              <w:bottom w:val="nil"/>
              <w:right w:val="nil"/>
            </w:tcBorders>
            <w:vAlign w:val="center"/>
          </w:tcPr>
          <w:p w14:paraId="19F66FFB" w14:textId="77777777" w:rsidR="006C1033" w:rsidRPr="00E20618" w:rsidRDefault="006C1033" w:rsidP="004C567F">
            <w:pPr>
              <w:pStyle w:val="TableTextRight"/>
            </w:pPr>
            <w:r>
              <w:t>410</w:t>
            </w:r>
          </w:p>
        </w:tc>
        <w:tc>
          <w:tcPr>
            <w:tcW w:w="999" w:type="dxa"/>
            <w:tcBorders>
              <w:top w:val="nil"/>
              <w:left w:val="nil"/>
              <w:bottom w:val="nil"/>
              <w:right w:val="single" w:sz="4" w:space="0" w:color="auto"/>
            </w:tcBorders>
            <w:vAlign w:val="center"/>
          </w:tcPr>
          <w:p w14:paraId="1E32BB30" w14:textId="77777777" w:rsidR="006C1033" w:rsidRPr="00E20618" w:rsidRDefault="006C1033" w:rsidP="004C567F">
            <w:pPr>
              <w:pStyle w:val="TableTextRight"/>
            </w:pPr>
            <w:r>
              <w:t>411</w:t>
            </w:r>
          </w:p>
        </w:tc>
        <w:tc>
          <w:tcPr>
            <w:tcW w:w="1127" w:type="dxa"/>
            <w:tcBorders>
              <w:top w:val="nil"/>
              <w:left w:val="single" w:sz="4" w:space="0" w:color="auto"/>
              <w:bottom w:val="nil"/>
              <w:right w:val="nil"/>
            </w:tcBorders>
            <w:vAlign w:val="center"/>
          </w:tcPr>
          <w:p w14:paraId="1B43F376" w14:textId="77777777" w:rsidR="006C1033" w:rsidRPr="00E20618" w:rsidRDefault="006C1033" w:rsidP="004C567F">
            <w:pPr>
              <w:pStyle w:val="TableTextRight"/>
            </w:pPr>
            <w:r>
              <w:t>419</w:t>
            </w:r>
          </w:p>
        </w:tc>
      </w:tr>
      <w:tr w:rsidR="006C1033" w14:paraId="52AA9C0B" w14:textId="77777777">
        <w:tc>
          <w:tcPr>
            <w:tcW w:w="2977" w:type="dxa"/>
          </w:tcPr>
          <w:p w14:paraId="58EBD592" w14:textId="77777777" w:rsidR="006C1033" w:rsidRPr="00E20618" w:rsidRDefault="006C1033" w:rsidP="004C567F">
            <w:pPr>
              <w:pStyle w:val="TableColumnHeadingLeft"/>
            </w:pPr>
            <w:r w:rsidRPr="00E20618">
              <w:t>Population growth (per cent)</w:t>
            </w:r>
          </w:p>
        </w:tc>
        <w:tc>
          <w:tcPr>
            <w:tcW w:w="992" w:type="dxa"/>
            <w:tcBorders>
              <w:top w:val="nil"/>
              <w:left w:val="nil"/>
              <w:bottom w:val="nil"/>
              <w:right w:val="nil"/>
            </w:tcBorders>
            <w:vAlign w:val="center"/>
          </w:tcPr>
          <w:p w14:paraId="6A6D1488" w14:textId="77777777" w:rsidR="006C1033" w:rsidRPr="00E20618" w:rsidRDefault="006C1033" w:rsidP="004C567F">
            <w:pPr>
              <w:pStyle w:val="TableTextRight"/>
            </w:pPr>
          </w:p>
        </w:tc>
        <w:tc>
          <w:tcPr>
            <w:tcW w:w="993" w:type="dxa"/>
            <w:tcBorders>
              <w:top w:val="nil"/>
              <w:left w:val="nil"/>
              <w:bottom w:val="nil"/>
              <w:right w:val="nil"/>
            </w:tcBorders>
            <w:shd w:val="clear" w:color="auto" w:fill="D2EDFF" w:themeFill="accent1" w:themeFillTint="1A"/>
            <w:vAlign w:val="center"/>
          </w:tcPr>
          <w:p w14:paraId="75B9A515" w14:textId="77777777" w:rsidR="006C1033" w:rsidRPr="00E20618" w:rsidRDefault="006C1033" w:rsidP="004C567F">
            <w:pPr>
              <w:pStyle w:val="TableTextRight"/>
            </w:pPr>
            <w:r>
              <w:t> </w:t>
            </w:r>
          </w:p>
        </w:tc>
        <w:tc>
          <w:tcPr>
            <w:tcW w:w="992" w:type="dxa"/>
            <w:tcBorders>
              <w:top w:val="nil"/>
              <w:left w:val="nil"/>
              <w:bottom w:val="nil"/>
              <w:right w:val="nil"/>
            </w:tcBorders>
            <w:vAlign w:val="center"/>
          </w:tcPr>
          <w:p w14:paraId="6DFF043F" w14:textId="77777777" w:rsidR="006C1033" w:rsidRPr="00E20618" w:rsidRDefault="006C1033" w:rsidP="004C567F">
            <w:pPr>
              <w:pStyle w:val="TableTextRight"/>
            </w:pPr>
          </w:p>
        </w:tc>
        <w:tc>
          <w:tcPr>
            <w:tcW w:w="992" w:type="dxa"/>
            <w:tcBorders>
              <w:top w:val="nil"/>
              <w:left w:val="nil"/>
              <w:bottom w:val="nil"/>
              <w:right w:val="nil"/>
            </w:tcBorders>
            <w:vAlign w:val="center"/>
          </w:tcPr>
          <w:p w14:paraId="6B52DB32" w14:textId="77777777" w:rsidR="006C1033" w:rsidRPr="00E20618" w:rsidRDefault="006C1033" w:rsidP="004C567F">
            <w:pPr>
              <w:pStyle w:val="TableTextRight"/>
            </w:pPr>
          </w:p>
        </w:tc>
        <w:tc>
          <w:tcPr>
            <w:tcW w:w="999" w:type="dxa"/>
            <w:tcBorders>
              <w:top w:val="nil"/>
              <w:left w:val="nil"/>
              <w:bottom w:val="nil"/>
              <w:right w:val="single" w:sz="4" w:space="0" w:color="auto"/>
            </w:tcBorders>
            <w:vAlign w:val="center"/>
          </w:tcPr>
          <w:p w14:paraId="64B0062C" w14:textId="77777777" w:rsidR="006C1033" w:rsidRPr="00E20618" w:rsidRDefault="006C1033" w:rsidP="004C567F">
            <w:pPr>
              <w:pStyle w:val="TableTextRight"/>
            </w:pPr>
            <w:r>
              <w:t> </w:t>
            </w:r>
          </w:p>
        </w:tc>
        <w:tc>
          <w:tcPr>
            <w:tcW w:w="1127" w:type="dxa"/>
            <w:tcBorders>
              <w:top w:val="nil"/>
              <w:left w:val="single" w:sz="4" w:space="0" w:color="auto"/>
              <w:bottom w:val="nil"/>
              <w:right w:val="nil"/>
            </w:tcBorders>
            <w:vAlign w:val="center"/>
          </w:tcPr>
          <w:p w14:paraId="4FE9AD4F" w14:textId="77777777" w:rsidR="006C1033" w:rsidRPr="00E20618" w:rsidRDefault="006C1033" w:rsidP="004C567F">
            <w:pPr>
              <w:pStyle w:val="TableTextRight"/>
            </w:pPr>
          </w:p>
        </w:tc>
      </w:tr>
      <w:tr w:rsidR="006C1033" w14:paraId="57F38347" w14:textId="77777777">
        <w:tc>
          <w:tcPr>
            <w:tcW w:w="2977" w:type="dxa"/>
          </w:tcPr>
          <w:p w14:paraId="763144DC" w14:textId="77777777" w:rsidR="006C1033" w:rsidRPr="00E20618" w:rsidRDefault="006C1033" w:rsidP="004C567F">
            <w:pPr>
              <w:pStyle w:val="TableTextLeft"/>
            </w:pPr>
            <w:r w:rsidRPr="00E20618">
              <w:t>South Australia</w:t>
            </w:r>
          </w:p>
        </w:tc>
        <w:tc>
          <w:tcPr>
            <w:tcW w:w="992" w:type="dxa"/>
            <w:tcBorders>
              <w:top w:val="nil"/>
              <w:left w:val="nil"/>
              <w:bottom w:val="nil"/>
              <w:right w:val="nil"/>
            </w:tcBorders>
            <w:vAlign w:val="center"/>
          </w:tcPr>
          <w:p w14:paraId="5B2B9738" w14:textId="77777777" w:rsidR="006C1033" w:rsidRPr="00E20618" w:rsidRDefault="006C1033" w:rsidP="004C567F">
            <w:pPr>
              <w:pStyle w:val="TableTextRight"/>
            </w:pPr>
            <w:r>
              <w:t>1.0</w:t>
            </w:r>
          </w:p>
        </w:tc>
        <w:tc>
          <w:tcPr>
            <w:tcW w:w="993" w:type="dxa"/>
            <w:tcBorders>
              <w:top w:val="nil"/>
              <w:left w:val="nil"/>
              <w:bottom w:val="nil"/>
              <w:right w:val="nil"/>
            </w:tcBorders>
            <w:shd w:val="clear" w:color="auto" w:fill="D2EDFF" w:themeFill="accent1" w:themeFillTint="1A"/>
            <w:vAlign w:val="center"/>
          </w:tcPr>
          <w:p w14:paraId="32551D61" w14:textId="77777777" w:rsidR="006C1033" w:rsidRPr="00E20618" w:rsidRDefault="006C1033" w:rsidP="004C567F">
            <w:pPr>
              <w:pStyle w:val="TableTextRight"/>
            </w:pPr>
            <w:r>
              <w:t>1.7</w:t>
            </w:r>
          </w:p>
        </w:tc>
        <w:tc>
          <w:tcPr>
            <w:tcW w:w="992" w:type="dxa"/>
            <w:tcBorders>
              <w:top w:val="nil"/>
              <w:left w:val="nil"/>
              <w:bottom w:val="nil"/>
              <w:right w:val="nil"/>
            </w:tcBorders>
            <w:vAlign w:val="center"/>
          </w:tcPr>
          <w:p w14:paraId="0654EA82" w14:textId="77777777" w:rsidR="006C1033" w:rsidRPr="00E20618" w:rsidRDefault="006C1033" w:rsidP="004C567F">
            <w:pPr>
              <w:pStyle w:val="TableTextRight"/>
            </w:pPr>
            <w:r>
              <w:t>1.5</w:t>
            </w:r>
          </w:p>
        </w:tc>
        <w:tc>
          <w:tcPr>
            <w:tcW w:w="992" w:type="dxa"/>
            <w:tcBorders>
              <w:top w:val="nil"/>
              <w:left w:val="nil"/>
              <w:bottom w:val="nil"/>
              <w:right w:val="nil"/>
            </w:tcBorders>
            <w:vAlign w:val="center"/>
          </w:tcPr>
          <w:p w14:paraId="02B52FA8" w14:textId="77777777" w:rsidR="006C1033" w:rsidRPr="00E20618" w:rsidRDefault="006C1033" w:rsidP="004C567F">
            <w:pPr>
              <w:pStyle w:val="TableTextRight"/>
            </w:pPr>
            <w:r>
              <w:t>1.0</w:t>
            </w:r>
          </w:p>
        </w:tc>
        <w:tc>
          <w:tcPr>
            <w:tcW w:w="999" w:type="dxa"/>
            <w:tcBorders>
              <w:top w:val="nil"/>
              <w:left w:val="nil"/>
              <w:bottom w:val="nil"/>
              <w:right w:val="single" w:sz="4" w:space="0" w:color="auto"/>
            </w:tcBorders>
            <w:vAlign w:val="center"/>
          </w:tcPr>
          <w:p w14:paraId="7BF1FCDF" w14:textId="77777777" w:rsidR="006C1033" w:rsidRPr="00E20618" w:rsidRDefault="006C1033" w:rsidP="004C567F">
            <w:pPr>
              <w:pStyle w:val="TableTextRight"/>
            </w:pPr>
            <w:r>
              <w:t>0.9</w:t>
            </w:r>
          </w:p>
        </w:tc>
        <w:tc>
          <w:tcPr>
            <w:tcW w:w="1127" w:type="dxa"/>
            <w:tcBorders>
              <w:top w:val="nil"/>
              <w:left w:val="single" w:sz="4" w:space="0" w:color="auto"/>
              <w:bottom w:val="nil"/>
              <w:right w:val="nil"/>
            </w:tcBorders>
            <w:vAlign w:val="center"/>
          </w:tcPr>
          <w:p w14:paraId="0D7EE3BD" w14:textId="77777777" w:rsidR="006C1033" w:rsidRPr="00E20618" w:rsidRDefault="006C1033" w:rsidP="004C567F">
            <w:pPr>
              <w:pStyle w:val="TableTextRight"/>
            </w:pPr>
            <w:r>
              <w:t>0.8</w:t>
            </w:r>
          </w:p>
        </w:tc>
      </w:tr>
      <w:tr w:rsidR="006C1033" w14:paraId="3F21133B" w14:textId="77777777">
        <w:tc>
          <w:tcPr>
            <w:tcW w:w="2977" w:type="dxa"/>
          </w:tcPr>
          <w:p w14:paraId="34002EC8" w14:textId="77777777" w:rsidR="006C1033" w:rsidRPr="00E20618" w:rsidRDefault="006C1033" w:rsidP="004C567F">
            <w:pPr>
              <w:pStyle w:val="TableTextIndented"/>
            </w:pPr>
            <w:r w:rsidRPr="00E20618">
              <w:t>Greater Adelaide</w:t>
            </w:r>
          </w:p>
        </w:tc>
        <w:tc>
          <w:tcPr>
            <w:tcW w:w="992" w:type="dxa"/>
            <w:tcBorders>
              <w:top w:val="nil"/>
              <w:left w:val="nil"/>
              <w:bottom w:val="nil"/>
              <w:right w:val="nil"/>
            </w:tcBorders>
            <w:vAlign w:val="center"/>
          </w:tcPr>
          <w:p w14:paraId="060F8F64" w14:textId="77777777" w:rsidR="006C1033" w:rsidRPr="00E20618" w:rsidRDefault="006C1033" w:rsidP="004C567F">
            <w:pPr>
              <w:pStyle w:val="TableTextRight"/>
            </w:pPr>
            <w:r>
              <w:t>1.2</w:t>
            </w:r>
          </w:p>
        </w:tc>
        <w:tc>
          <w:tcPr>
            <w:tcW w:w="993" w:type="dxa"/>
            <w:tcBorders>
              <w:top w:val="nil"/>
              <w:left w:val="nil"/>
              <w:bottom w:val="nil"/>
              <w:right w:val="nil"/>
            </w:tcBorders>
            <w:shd w:val="clear" w:color="auto" w:fill="D2EDFF" w:themeFill="accent1" w:themeFillTint="1A"/>
            <w:vAlign w:val="center"/>
          </w:tcPr>
          <w:p w14:paraId="1DFCB5EA" w14:textId="77777777" w:rsidR="006C1033" w:rsidRPr="00E20618" w:rsidRDefault="006C1033" w:rsidP="004C567F">
            <w:pPr>
              <w:pStyle w:val="TableTextRight"/>
            </w:pPr>
            <w:r>
              <w:t>2.0</w:t>
            </w:r>
          </w:p>
        </w:tc>
        <w:tc>
          <w:tcPr>
            <w:tcW w:w="992" w:type="dxa"/>
            <w:tcBorders>
              <w:top w:val="nil"/>
              <w:left w:val="nil"/>
              <w:bottom w:val="nil"/>
              <w:right w:val="nil"/>
            </w:tcBorders>
            <w:vAlign w:val="center"/>
          </w:tcPr>
          <w:p w14:paraId="02DB8989" w14:textId="77777777" w:rsidR="006C1033" w:rsidRPr="00E20618" w:rsidRDefault="006C1033" w:rsidP="004C567F">
            <w:pPr>
              <w:pStyle w:val="TableTextRight"/>
            </w:pPr>
            <w:r>
              <w:t>1.7</w:t>
            </w:r>
          </w:p>
        </w:tc>
        <w:tc>
          <w:tcPr>
            <w:tcW w:w="992" w:type="dxa"/>
            <w:tcBorders>
              <w:top w:val="nil"/>
              <w:left w:val="nil"/>
              <w:bottom w:val="nil"/>
              <w:right w:val="nil"/>
            </w:tcBorders>
            <w:vAlign w:val="center"/>
          </w:tcPr>
          <w:p w14:paraId="3B37F0BC" w14:textId="77777777" w:rsidR="006C1033" w:rsidRPr="00E20618" w:rsidRDefault="006C1033" w:rsidP="004C567F">
            <w:pPr>
              <w:pStyle w:val="TableTextRight"/>
            </w:pPr>
            <w:r>
              <w:t>1.2</w:t>
            </w:r>
          </w:p>
        </w:tc>
        <w:tc>
          <w:tcPr>
            <w:tcW w:w="999" w:type="dxa"/>
            <w:tcBorders>
              <w:top w:val="nil"/>
              <w:left w:val="nil"/>
              <w:bottom w:val="nil"/>
              <w:right w:val="single" w:sz="4" w:space="0" w:color="auto"/>
            </w:tcBorders>
            <w:vAlign w:val="center"/>
          </w:tcPr>
          <w:p w14:paraId="6C1B3D54" w14:textId="77777777" w:rsidR="006C1033" w:rsidRPr="00E20618" w:rsidRDefault="006C1033" w:rsidP="004C567F">
            <w:pPr>
              <w:pStyle w:val="TableTextRight"/>
            </w:pPr>
            <w:r>
              <w:t>1.1</w:t>
            </w:r>
          </w:p>
        </w:tc>
        <w:tc>
          <w:tcPr>
            <w:tcW w:w="1127" w:type="dxa"/>
            <w:tcBorders>
              <w:top w:val="nil"/>
              <w:left w:val="single" w:sz="4" w:space="0" w:color="auto"/>
              <w:bottom w:val="nil"/>
              <w:right w:val="nil"/>
            </w:tcBorders>
            <w:vAlign w:val="center"/>
          </w:tcPr>
          <w:p w14:paraId="6C0CB8F9" w14:textId="77777777" w:rsidR="006C1033" w:rsidRPr="00E20618" w:rsidRDefault="006C1033" w:rsidP="004C567F">
            <w:pPr>
              <w:pStyle w:val="TableTextRight"/>
            </w:pPr>
            <w:r>
              <w:t>0.9</w:t>
            </w:r>
          </w:p>
        </w:tc>
      </w:tr>
      <w:tr w:rsidR="006C1033" w14:paraId="493BE174" w14:textId="77777777">
        <w:tc>
          <w:tcPr>
            <w:tcW w:w="2977" w:type="dxa"/>
          </w:tcPr>
          <w:p w14:paraId="72EB9220" w14:textId="77777777" w:rsidR="006C1033" w:rsidRPr="00E20618" w:rsidRDefault="006C1033" w:rsidP="004C567F">
            <w:pPr>
              <w:pStyle w:val="TableTextIndented"/>
            </w:pPr>
            <w:r w:rsidRPr="00E20618">
              <w:t>Rest of South Australia</w:t>
            </w:r>
          </w:p>
        </w:tc>
        <w:tc>
          <w:tcPr>
            <w:tcW w:w="992" w:type="dxa"/>
            <w:tcBorders>
              <w:top w:val="nil"/>
              <w:left w:val="nil"/>
              <w:bottom w:val="nil"/>
              <w:right w:val="nil"/>
            </w:tcBorders>
            <w:vAlign w:val="center"/>
          </w:tcPr>
          <w:p w14:paraId="5251D1B5" w14:textId="77777777" w:rsidR="006C1033" w:rsidRPr="00E20618" w:rsidRDefault="006C1033" w:rsidP="004C567F">
            <w:pPr>
              <w:pStyle w:val="TableTextRight"/>
            </w:pPr>
            <w:r>
              <w:t>0.6</w:t>
            </w:r>
          </w:p>
        </w:tc>
        <w:tc>
          <w:tcPr>
            <w:tcW w:w="993" w:type="dxa"/>
            <w:tcBorders>
              <w:top w:val="nil"/>
              <w:left w:val="nil"/>
              <w:bottom w:val="nil"/>
              <w:right w:val="nil"/>
            </w:tcBorders>
            <w:shd w:val="clear" w:color="auto" w:fill="D2EDFF" w:themeFill="accent1" w:themeFillTint="1A"/>
            <w:vAlign w:val="center"/>
          </w:tcPr>
          <w:p w14:paraId="27E6DECD" w14:textId="77777777" w:rsidR="006C1033" w:rsidRPr="00E20618" w:rsidRDefault="006C1033" w:rsidP="004C567F">
            <w:pPr>
              <w:pStyle w:val="TableTextRight"/>
            </w:pPr>
            <w:r>
              <w:t>0.8</w:t>
            </w:r>
          </w:p>
        </w:tc>
        <w:tc>
          <w:tcPr>
            <w:tcW w:w="992" w:type="dxa"/>
            <w:tcBorders>
              <w:top w:val="nil"/>
              <w:left w:val="nil"/>
              <w:bottom w:val="nil"/>
              <w:right w:val="nil"/>
            </w:tcBorders>
            <w:vAlign w:val="center"/>
          </w:tcPr>
          <w:p w14:paraId="5EFE3457" w14:textId="77777777" w:rsidR="006C1033" w:rsidRPr="00E20618" w:rsidRDefault="006C1033" w:rsidP="004C567F">
            <w:pPr>
              <w:pStyle w:val="TableTextRight"/>
            </w:pPr>
            <w:r>
              <w:t>0.6</w:t>
            </w:r>
          </w:p>
        </w:tc>
        <w:tc>
          <w:tcPr>
            <w:tcW w:w="992" w:type="dxa"/>
            <w:tcBorders>
              <w:top w:val="nil"/>
              <w:left w:val="nil"/>
              <w:bottom w:val="nil"/>
              <w:right w:val="nil"/>
            </w:tcBorders>
            <w:vAlign w:val="center"/>
          </w:tcPr>
          <w:p w14:paraId="592ACD96" w14:textId="77777777" w:rsidR="006C1033" w:rsidRPr="00E20618" w:rsidRDefault="006C1033" w:rsidP="004C567F">
            <w:pPr>
              <w:pStyle w:val="TableTextRight"/>
            </w:pPr>
            <w:r>
              <w:t>0.4</w:t>
            </w:r>
          </w:p>
        </w:tc>
        <w:tc>
          <w:tcPr>
            <w:tcW w:w="999" w:type="dxa"/>
            <w:tcBorders>
              <w:top w:val="nil"/>
              <w:left w:val="nil"/>
              <w:bottom w:val="nil"/>
              <w:right w:val="single" w:sz="4" w:space="0" w:color="auto"/>
            </w:tcBorders>
            <w:vAlign w:val="center"/>
          </w:tcPr>
          <w:p w14:paraId="5A1DE77B" w14:textId="77777777" w:rsidR="006C1033" w:rsidRPr="00E20618" w:rsidRDefault="006C1033" w:rsidP="004C567F">
            <w:pPr>
              <w:pStyle w:val="TableTextRight"/>
            </w:pPr>
            <w:r>
              <w:t>0.2</w:t>
            </w:r>
          </w:p>
        </w:tc>
        <w:tc>
          <w:tcPr>
            <w:tcW w:w="1127" w:type="dxa"/>
            <w:tcBorders>
              <w:top w:val="nil"/>
              <w:left w:val="single" w:sz="4" w:space="0" w:color="auto"/>
              <w:bottom w:val="nil"/>
              <w:right w:val="nil"/>
            </w:tcBorders>
            <w:vAlign w:val="center"/>
          </w:tcPr>
          <w:p w14:paraId="48463A6A" w14:textId="77777777" w:rsidR="006C1033" w:rsidRPr="00E20618" w:rsidRDefault="006C1033" w:rsidP="004C567F">
            <w:pPr>
              <w:pStyle w:val="TableTextRight"/>
            </w:pPr>
            <w:r>
              <w:t>0.2</w:t>
            </w:r>
          </w:p>
        </w:tc>
      </w:tr>
      <w:tr w:rsidR="006C1033" w14:paraId="3B3C88D8" w14:textId="77777777">
        <w:tc>
          <w:tcPr>
            <w:tcW w:w="2977" w:type="dxa"/>
          </w:tcPr>
          <w:p w14:paraId="1944FD07" w14:textId="77777777" w:rsidR="006C1033" w:rsidRPr="00E20618" w:rsidRDefault="006C1033" w:rsidP="004C567F">
            <w:pPr>
              <w:pStyle w:val="TableColumnHeadingLeft"/>
            </w:pPr>
            <w:r w:rsidRPr="00E20618">
              <w:t>Population growth (‘000)</w:t>
            </w:r>
          </w:p>
        </w:tc>
        <w:tc>
          <w:tcPr>
            <w:tcW w:w="992" w:type="dxa"/>
            <w:tcBorders>
              <w:top w:val="nil"/>
              <w:left w:val="nil"/>
              <w:bottom w:val="nil"/>
              <w:right w:val="nil"/>
            </w:tcBorders>
            <w:vAlign w:val="center"/>
          </w:tcPr>
          <w:p w14:paraId="06ABBFE0" w14:textId="77777777" w:rsidR="006C1033" w:rsidRPr="00E20618" w:rsidRDefault="006C1033" w:rsidP="004C567F">
            <w:pPr>
              <w:pStyle w:val="TableTextRight"/>
            </w:pPr>
          </w:p>
        </w:tc>
        <w:tc>
          <w:tcPr>
            <w:tcW w:w="993" w:type="dxa"/>
            <w:tcBorders>
              <w:top w:val="nil"/>
              <w:left w:val="nil"/>
              <w:bottom w:val="nil"/>
              <w:right w:val="nil"/>
            </w:tcBorders>
            <w:shd w:val="clear" w:color="auto" w:fill="D2EDFF" w:themeFill="accent1" w:themeFillTint="1A"/>
            <w:vAlign w:val="center"/>
          </w:tcPr>
          <w:p w14:paraId="05ECAF0C" w14:textId="77777777" w:rsidR="006C1033" w:rsidRPr="00E20618" w:rsidRDefault="006C1033" w:rsidP="004C567F">
            <w:pPr>
              <w:pStyle w:val="TableTextRight"/>
            </w:pPr>
            <w:r>
              <w:t> </w:t>
            </w:r>
          </w:p>
        </w:tc>
        <w:tc>
          <w:tcPr>
            <w:tcW w:w="992" w:type="dxa"/>
            <w:tcBorders>
              <w:top w:val="nil"/>
              <w:left w:val="nil"/>
              <w:bottom w:val="nil"/>
              <w:right w:val="nil"/>
            </w:tcBorders>
            <w:vAlign w:val="center"/>
          </w:tcPr>
          <w:p w14:paraId="64041B73" w14:textId="77777777" w:rsidR="006C1033" w:rsidRPr="00E20618" w:rsidRDefault="006C1033" w:rsidP="004C567F">
            <w:pPr>
              <w:pStyle w:val="TableTextRight"/>
            </w:pPr>
          </w:p>
        </w:tc>
        <w:tc>
          <w:tcPr>
            <w:tcW w:w="992" w:type="dxa"/>
            <w:tcBorders>
              <w:top w:val="nil"/>
              <w:left w:val="nil"/>
              <w:bottom w:val="nil"/>
              <w:right w:val="nil"/>
            </w:tcBorders>
            <w:vAlign w:val="center"/>
          </w:tcPr>
          <w:p w14:paraId="0C9DFE8C" w14:textId="77777777" w:rsidR="006C1033" w:rsidRPr="00E20618" w:rsidRDefault="006C1033" w:rsidP="004C567F">
            <w:pPr>
              <w:pStyle w:val="TableTextRight"/>
            </w:pPr>
          </w:p>
        </w:tc>
        <w:tc>
          <w:tcPr>
            <w:tcW w:w="999" w:type="dxa"/>
            <w:tcBorders>
              <w:top w:val="nil"/>
              <w:left w:val="nil"/>
              <w:bottom w:val="nil"/>
              <w:right w:val="single" w:sz="4" w:space="0" w:color="auto"/>
            </w:tcBorders>
            <w:vAlign w:val="center"/>
          </w:tcPr>
          <w:p w14:paraId="243AE653" w14:textId="77777777" w:rsidR="006C1033" w:rsidRPr="00E20618" w:rsidRDefault="006C1033" w:rsidP="004C567F">
            <w:pPr>
              <w:pStyle w:val="TableTextRight"/>
            </w:pPr>
            <w:r>
              <w:t> </w:t>
            </w:r>
          </w:p>
        </w:tc>
        <w:tc>
          <w:tcPr>
            <w:tcW w:w="1127" w:type="dxa"/>
            <w:tcBorders>
              <w:top w:val="nil"/>
              <w:left w:val="single" w:sz="4" w:space="0" w:color="auto"/>
              <w:bottom w:val="nil"/>
              <w:right w:val="nil"/>
            </w:tcBorders>
            <w:vAlign w:val="center"/>
          </w:tcPr>
          <w:p w14:paraId="02A2D11A" w14:textId="77777777" w:rsidR="006C1033" w:rsidRPr="00E20618" w:rsidRDefault="006C1033" w:rsidP="004C567F">
            <w:pPr>
              <w:pStyle w:val="TableTextRight"/>
            </w:pPr>
          </w:p>
        </w:tc>
      </w:tr>
      <w:tr w:rsidR="006C1033" w14:paraId="332F8F88" w14:textId="77777777">
        <w:tc>
          <w:tcPr>
            <w:tcW w:w="2977" w:type="dxa"/>
          </w:tcPr>
          <w:p w14:paraId="1C5A9B5E" w14:textId="77777777" w:rsidR="006C1033" w:rsidRPr="00E20618" w:rsidRDefault="006C1033" w:rsidP="004C567F">
            <w:pPr>
              <w:pStyle w:val="TableTextLeft"/>
              <w:rPr>
                <w:b/>
                <w:bCs/>
              </w:rPr>
            </w:pPr>
            <w:r w:rsidRPr="00E20618">
              <w:t>South Australia</w:t>
            </w:r>
          </w:p>
        </w:tc>
        <w:tc>
          <w:tcPr>
            <w:tcW w:w="992" w:type="dxa"/>
            <w:tcBorders>
              <w:top w:val="nil"/>
              <w:left w:val="nil"/>
              <w:bottom w:val="nil"/>
              <w:right w:val="nil"/>
            </w:tcBorders>
            <w:vAlign w:val="center"/>
          </w:tcPr>
          <w:p w14:paraId="5B0727E9" w14:textId="77777777" w:rsidR="006C1033" w:rsidRPr="00E20618" w:rsidRDefault="006C1033" w:rsidP="004C567F">
            <w:pPr>
              <w:pStyle w:val="TableTextRight"/>
            </w:pPr>
            <w:r>
              <w:t>18.5</w:t>
            </w:r>
          </w:p>
        </w:tc>
        <w:tc>
          <w:tcPr>
            <w:tcW w:w="993" w:type="dxa"/>
            <w:tcBorders>
              <w:top w:val="nil"/>
              <w:left w:val="nil"/>
              <w:bottom w:val="nil"/>
              <w:right w:val="nil"/>
            </w:tcBorders>
            <w:shd w:val="clear" w:color="auto" w:fill="D2EDFF" w:themeFill="accent1" w:themeFillTint="1A"/>
            <w:vAlign w:val="center"/>
          </w:tcPr>
          <w:p w14:paraId="3C92E96A" w14:textId="77777777" w:rsidR="006C1033" w:rsidRPr="00E20618" w:rsidRDefault="006C1033" w:rsidP="004C567F">
            <w:pPr>
              <w:pStyle w:val="TableTextRight"/>
            </w:pPr>
            <w:r>
              <w:t>31.0</w:t>
            </w:r>
          </w:p>
        </w:tc>
        <w:tc>
          <w:tcPr>
            <w:tcW w:w="992" w:type="dxa"/>
            <w:tcBorders>
              <w:top w:val="nil"/>
              <w:left w:val="nil"/>
              <w:bottom w:val="nil"/>
              <w:right w:val="nil"/>
            </w:tcBorders>
            <w:vAlign w:val="center"/>
          </w:tcPr>
          <w:p w14:paraId="6B116431" w14:textId="77777777" w:rsidR="006C1033" w:rsidRPr="00E20618" w:rsidRDefault="006C1033" w:rsidP="004C567F">
            <w:pPr>
              <w:pStyle w:val="TableTextRight"/>
            </w:pPr>
            <w:r>
              <w:t>27.2</w:t>
            </w:r>
          </w:p>
        </w:tc>
        <w:tc>
          <w:tcPr>
            <w:tcW w:w="992" w:type="dxa"/>
            <w:tcBorders>
              <w:top w:val="nil"/>
              <w:left w:val="nil"/>
              <w:bottom w:val="nil"/>
              <w:right w:val="nil"/>
            </w:tcBorders>
            <w:vAlign w:val="center"/>
          </w:tcPr>
          <w:p w14:paraId="153DA018" w14:textId="77777777" w:rsidR="006C1033" w:rsidRPr="00E20618" w:rsidRDefault="006C1033" w:rsidP="004C567F">
            <w:pPr>
              <w:pStyle w:val="TableTextRight"/>
            </w:pPr>
            <w:r>
              <w:t>18.5</w:t>
            </w:r>
          </w:p>
        </w:tc>
        <w:tc>
          <w:tcPr>
            <w:tcW w:w="999" w:type="dxa"/>
            <w:tcBorders>
              <w:top w:val="nil"/>
              <w:left w:val="nil"/>
              <w:bottom w:val="nil"/>
              <w:right w:val="single" w:sz="4" w:space="0" w:color="auto"/>
            </w:tcBorders>
            <w:vAlign w:val="center"/>
          </w:tcPr>
          <w:p w14:paraId="78336898" w14:textId="77777777" w:rsidR="006C1033" w:rsidRPr="00E20618" w:rsidRDefault="006C1033" w:rsidP="004C567F">
            <w:pPr>
              <w:pStyle w:val="TableTextRight"/>
            </w:pPr>
            <w:r>
              <w:t>18.0</w:t>
            </w:r>
          </w:p>
        </w:tc>
        <w:tc>
          <w:tcPr>
            <w:tcW w:w="1127" w:type="dxa"/>
            <w:tcBorders>
              <w:top w:val="nil"/>
              <w:left w:val="single" w:sz="4" w:space="0" w:color="auto"/>
              <w:bottom w:val="nil"/>
              <w:right w:val="nil"/>
            </w:tcBorders>
            <w:vAlign w:val="center"/>
          </w:tcPr>
          <w:p w14:paraId="6740920B" w14:textId="77777777" w:rsidR="006C1033" w:rsidRPr="00E20618" w:rsidRDefault="006C1033" w:rsidP="004C567F">
            <w:pPr>
              <w:pStyle w:val="TableTextRight"/>
            </w:pPr>
            <w:r>
              <w:t>15.6</w:t>
            </w:r>
          </w:p>
        </w:tc>
      </w:tr>
      <w:tr w:rsidR="006C1033" w14:paraId="4C373CA5" w14:textId="77777777">
        <w:tc>
          <w:tcPr>
            <w:tcW w:w="2977" w:type="dxa"/>
          </w:tcPr>
          <w:p w14:paraId="42A21E96" w14:textId="77777777" w:rsidR="006C1033" w:rsidRPr="00E20618" w:rsidRDefault="006C1033" w:rsidP="004C567F">
            <w:pPr>
              <w:pStyle w:val="TableTextIndented"/>
              <w:rPr>
                <w:b/>
                <w:bCs/>
              </w:rPr>
            </w:pPr>
            <w:r w:rsidRPr="00E20618">
              <w:t>Greater Adelaide</w:t>
            </w:r>
          </w:p>
        </w:tc>
        <w:tc>
          <w:tcPr>
            <w:tcW w:w="992" w:type="dxa"/>
            <w:tcBorders>
              <w:top w:val="nil"/>
              <w:left w:val="nil"/>
              <w:bottom w:val="nil"/>
              <w:right w:val="nil"/>
            </w:tcBorders>
            <w:vAlign w:val="center"/>
          </w:tcPr>
          <w:p w14:paraId="607C3396" w14:textId="77777777" w:rsidR="006C1033" w:rsidRPr="00E20618" w:rsidRDefault="006C1033" w:rsidP="004C567F">
            <w:pPr>
              <w:pStyle w:val="TableTextRight"/>
            </w:pPr>
            <w:r>
              <w:t>16.4</w:t>
            </w:r>
          </w:p>
        </w:tc>
        <w:tc>
          <w:tcPr>
            <w:tcW w:w="993" w:type="dxa"/>
            <w:tcBorders>
              <w:top w:val="nil"/>
              <w:left w:val="nil"/>
              <w:bottom w:val="nil"/>
              <w:right w:val="nil"/>
            </w:tcBorders>
            <w:shd w:val="clear" w:color="auto" w:fill="D2EDFF" w:themeFill="accent1" w:themeFillTint="1A"/>
            <w:vAlign w:val="center"/>
          </w:tcPr>
          <w:p w14:paraId="17D3EC31" w14:textId="77777777" w:rsidR="006C1033" w:rsidRPr="00E20618" w:rsidRDefault="006C1033" w:rsidP="004C567F">
            <w:pPr>
              <w:pStyle w:val="TableTextRight"/>
            </w:pPr>
            <w:r>
              <w:t>27.8</w:t>
            </w:r>
          </w:p>
        </w:tc>
        <w:tc>
          <w:tcPr>
            <w:tcW w:w="992" w:type="dxa"/>
            <w:tcBorders>
              <w:top w:val="nil"/>
              <w:left w:val="nil"/>
              <w:bottom w:val="nil"/>
              <w:right w:val="nil"/>
            </w:tcBorders>
            <w:vAlign w:val="center"/>
          </w:tcPr>
          <w:p w14:paraId="3818E074" w14:textId="77777777" w:rsidR="006C1033" w:rsidRPr="00E20618" w:rsidRDefault="006C1033" w:rsidP="004C567F">
            <w:pPr>
              <w:pStyle w:val="TableTextRight"/>
            </w:pPr>
            <w:r>
              <w:t>24.7</w:t>
            </w:r>
          </w:p>
        </w:tc>
        <w:tc>
          <w:tcPr>
            <w:tcW w:w="992" w:type="dxa"/>
            <w:tcBorders>
              <w:top w:val="nil"/>
              <w:left w:val="nil"/>
              <w:bottom w:val="nil"/>
              <w:right w:val="nil"/>
            </w:tcBorders>
            <w:vAlign w:val="center"/>
          </w:tcPr>
          <w:p w14:paraId="2D679503" w14:textId="77777777" w:rsidR="006C1033" w:rsidRPr="00E20618" w:rsidRDefault="006C1033" w:rsidP="004C567F">
            <w:pPr>
              <w:pStyle w:val="TableTextRight"/>
            </w:pPr>
            <w:r>
              <w:t>17.0</w:t>
            </w:r>
          </w:p>
        </w:tc>
        <w:tc>
          <w:tcPr>
            <w:tcW w:w="999" w:type="dxa"/>
            <w:tcBorders>
              <w:top w:val="nil"/>
              <w:left w:val="nil"/>
              <w:bottom w:val="nil"/>
              <w:right w:val="single" w:sz="4" w:space="0" w:color="auto"/>
            </w:tcBorders>
            <w:vAlign w:val="center"/>
          </w:tcPr>
          <w:p w14:paraId="79CC69E1" w14:textId="77777777" w:rsidR="006C1033" w:rsidRPr="00E20618" w:rsidRDefault="006C1033" w:rsidP="004C567F">
            <w:pPr>
              <w:pStyle w:val="TableTextRight"/>
            </w:pPr>
            <w:r>
              <w:t>17.0</w:t>
            </w:r>
          </w:p>
        </w:tc>
        <w:tc>
          <w:tcPr>
            <w:tcW w:w="1127" w:type="dxa"/>
            <w:tcBorders>
              <w:top w:val="nil"/>
              <w:left w:val="single" w:sz="4" w:space="0" w:color="auto"/>
              <w:bottom w:val="nil"/>
              <w:right w:val="nil"/>
            </w:tcBorders>
            <w:vAlign w:val="center"/>
          </w:tcPr>
          <w:p w14:paraId="3206DC1E" w14:textId="77777777" w:rsidR="006C1033" w:rsidRPr="00E20618" w:rsidRDefault="006C1033" w:rsidP="004C567F">
            <w:pPr>
              <w:pStyle w:val="TableTextRight"/>
            </w:pPr>
            <w:r>
              <w:t>14.7</w:t>
            </w:r>
          </w:p>
        </w:tc>
      </w:tr>
      <w:tr w:rsidR="006C1033" w:rsidRPr="00A1737D" w14:paraId="4F579F66" w14:textId="77777777">
        <w:tc>
          <w:tcPr>
            <w:tcW w:w="2977" w:type="dxa"/>
            <w:tcBorders>
              <w:bottom w:val="single" w:sz="4" w:space="0" w:color="auto"/>
            </w:tcBorders>
          </w:tcPr>
          <w:p w14:paraId="7E1E664C" w14:textId="77777777" w:rsidR="006C1033" w:rsidRPr="00E20618" w:rsidRDefault="006C1033" w:rsidP="004C567F">
            <w:pPr>
              <w:pStyle w:val="TableTextIndented"/>
              <w:rPr>
                <w:b/>
                <w:bCs/>
              </w:rPr>
            </w:pPr>
            <w:r w:rsidRPr="00E20618">
              <w:t>Rest of South Australia</w:t>
            </w:r>
          </w:p>
        </w:tc>
        <w:tc>
          <w:tcPr>
            <w:tcW w:w="992" w:type="dxa"/>
            <w:tcBorders>
              <w:top w:val="nil"/>
              <w:left w:val="nil"/>
              <w:bottom w:val="single" w:sz="4" w:space="0" w:color="auto"/>
              <w:right w:val="nil"/>
            </w:tcBorders>
            <w:vAlign w:val="center"/>
          </w:tcPr>
          <w:p w14:paraId="6F476213" w14:textId="77777777" w:rsidR="006C1033" w:rsidRPr="00E20618" w:rsidRDefault="006C1033" w:rsidP="004C567F">
            <w:pPr>
              <w:pStyle w:val="TableTextRight"/>
            </w:pPr>
            <w:r>
              <w:t>2.2</w:t>
            </w:r>
          </w:p>
        </w:tc>
        <w:tc>
          <w:tcPr>
            <w:tcW w:w="993" w:type="dxa"/>
            <w:tcBorders>
              <w:top w:val="nil"/>
              <w:left w:val="nil"/>
              <w:bottom w:val="single" w:sz="4" w:space="0" w:color="auto"/>
              <w:right w:val="nil"/>
            </w:tcBorders>
            <w:shd w:val="clear" w:color="auto" w:fill="D2EDFF" w:themeFill="accent1" w:themeFillTint="1A"/>
            <w:vAlign w:val="center"/>
          </w:tcPr>
          <w:p w14:paraId="208A6578" w14:textId="77777777" w:rsidR="006C1033" w:rsidRPr="00E20618" w:rsidRDefault="006C1033" w:rsidP="004C567F">
            <w:pPr>
              <w:pStyle w:val="TableTextRight"/>
            </w:pPr>
            <w:r>
              <w:t>3.2</w:t>
            </w:r>
          </w:p>
        </w:tc>
        <w:tc>
          <w:tcPr>
            <w:tcW w:w="992" w:type="dxa"/>
            <w:tcBorders>
              <w:top w:val="nil"/>
              <w:left w:val="nil"/>
              <w:bottom w:val="single" w:sz="4" w:space="0" w:color="auto"/>
              <w:right w:val="nil"/>
            </w:tcBorders>
            <w:vAlign w:val="center"/>
          </w:tcPr>
          <w:p w14:paraId="78637C17" w14:textId="77777777" w:rsidR="006C1033" w:rsidRPr="00E20618" w:rsidRDefault="006C1033" w:rsidP="004C567F">
            <w:pPr>
              <w:pStyle w:val="TableTextRight"/>
            </w:pPr>
            <w:r>
              <w:t>2.6</w:t>
            </w:r>
          </w:p>
        </w:tc>
        <w:tc>
          <w:tcPr>
            <w:tcW w:w="992" w:type="dxa"/>
            <w:tcBorders>
              <w:top w:val="nil"/>
              <w:left w:val="nil"/>
              <w:bottom w:val="single" w:sz="4" w:space="0" w:color="auto"/>
              <w:right w:val="nil"/>
            </w:tcBorders>
            <w:vAlign w:val="center"/>
          </w:tcPr>
          <w:p w14:paraId="1B9C73D8" w14:textId="77777777" w:rsidR="006C1033" w:rsidRPr="00E20618" w:rsidRDefault="006C1033" w:rsidP="004C567F">
            <w:pPr>
              <w:pStyle w:val="TableTextRight"/>
            </w:pPr>
            <w:r>
              <w:t>1.5</w:t>
            </w:r>
          </w:p>
        </w:tc>
        <w:tc>
          <w:tcPr>
            <w:tcW w:w="999" w:type="dxa"/>
            <w:tcBorders>
              <w:top w:val="nil"/>
              <w:left w:val="nil"/>
              <w:bottom w:val="single" w:sz="4" w:space="0" w:color="auto"/>
              <w:right w:val="single" w:sz="4" w:space="0" w:color="auto"/>
            </w:tcBorders>
            <w:vAlign w:val="center"/>
          </w:tcPr>
          <w:p w14:paraId="5C14F81D" w14:textId="77777777" w:rsidR="006C1033" w:rsidRPr="00E20618" w:rsidRDefault="006C1033" w:rsidP="004C567F">
            <w:pPr>
              <w:pStyle w:val="TableTextRight"/>
            </w:pPr>
            <w:r>
              <w:t>1.0</w:t>
            </w:r>
          </w:p>
        </w:tc>
        <w:tc>
          <w:tcPr>
            <w:tcW w:w="1127" w:type="dxa"/>
            <w:tcBorders>
              <w:top w:val="nil"/>
              <w:left w:val="single" w:sz="4" w:space="0" w:color="auto"/>
              <w:bottom w:val="single" w:sz="4" w:space="0" w:color="auto"/>
              <w:right w:val="nil"/>
            </w:tcBorders>
            <w:vAlign w:val="center"/>
          </w:tcPr>
          <w:p w14:paraId="2B7F57CA" w14:textId="77777777" w:rsidR="006C1033" w:rsidRPr="00E20618" w:rsidRDefault="006C1033" w:rsidP="004C567F">
            <w:pPr>
              <w:pStyle w:val="TableTextRight"/>
            </w:pPr>
            <w:r>
              <w:t>0.9</w:t>
            </w:r>
          </w:p>
        </w:tc>
      </w:tr>
      <w:tr w:rsidR="006C1033" w:rsidRPr="00A1737D" w14:paraId="3B4341B4" w14:textId="77777777">
        <w:tc>
          <w:tcPr>
            <w:tcW w:w="2977" w:type="dxa"/>
            <w:tcBorders>
              <w:top w:val="single" w:sz="4" w:space="0" w:color="auto"/>
              <w:bottom w:val="nil"/>
            </w:tcBorders>
          </w:tcPr>
          <w:p w14:paraId="6F8ADCAD" w14:textId="77777777" w:rsidR="006C1033" w:rsidRPr="00E20618" w:rsidRDefault="006C1033" w:rsidP="004C567F">
            <w:pPr>
              <w:pStyle w:val="TableColumnHeadingLeft"/>
            </w:pPr>
            <w:r w:rsidRPr="00E20618">
              <w:t>Natural increase (‘000)</w:t>
            </w:r>
          </w:p>
        </w:tc>
        <w:tc>
          <w:tcPr>
            <w:tcW w:w="992" w:type="dxa"/>
            <w:tcBorders>
              <w:top w:val="single" w:sz="4" w:space="0" w:color="auto"/>
              <w:left w:val="nil"/>
              <w:bottom w:val="nil"/>
              <w:right w:val="nil"/>
            </w:tcBorders>
            <w:vAlign w:val="center"/>
          </w:tcPr>
          <w:p w14:paraId="3D40C3C5" w14:textId="77777777" w:rsidR="006C1033" w:rsidRPr="00E20618" w:rsidRDefault="006C1033" w:rsidP="004C567F">
            <w:pPr>
              <w:pStyle w:val="TableTextRight"/>
            </w:pPr>
          </w:p>
        </w:tc>
        <w:tc>
          <w:tcPr>
            <w:tcW w:w="993" w:type="dxa"/>
            <w:tcBorders>
              <w:top w:val="single" w:sz="4" w:space="0" w:color="auto"/>
              <w:left w:val="nil"/>
              <w:bottom w:val="nil"/>
              <w:right w:val="nil"/>
            </w:tcBorders>
            <w:shd w:val="clear" w:color="auto" w:fill="D2EDFF" w:themeFill="accent1" w:themeFillTint="1A"/>
            <w:vAlign w:val="center"/>
          </w:tcPr>
          <w:p w14:paraId="78A33E32" w14:textId="77777777" w:rsidR="006C1033" w:rsidRPr="00E20618" w:rsidRDefault="006C1033" w:rsidP="004C567F">
            <w:pPr>
              <w:pStyle w:val="TableTextRight"/>
            </w:pPr>
            <w:r>
              <w:t> </w:t>
            </w:r>
          </w:p>
        </w:tc>
        <w:tc>
          <w:tcPr>
            <w:tcW w:w="992" w:type="dxa"/>
            <w:tcBorders>
              <w:top w:val="single" w:sz="4" w:space="0" w:color="auto"/>
              <w:left w:val="nil"/>
              <w:bottom w:val="nil"/>
              <w:right w:val="nil"/>
            </w:tcBorders>
            <w:vAlign w:val="center"/>
          </w:tcPr>
          <w:p w14:paraId="2995F801" w14:textId="77777777" w:rsidR="006C1033" w:rsidRPr="00E20618" w:rsidRDefault="006C1033" w:rsidP="004C567F">
            <w:pPr>
              <w:pStyle w:val="TableTextRight"/>
            </w:pPr>
          </w:p>
        </w:tc>
        <w:tc>
          <w:tcPr>
            <w:tcW w:w="992" w:type="dxa"/>
            <w:tcBorders>
              <w:top w:val="single" w:sz="4" w:space="0" w:color="auto"/>
              <w:left w:val="nil"/>
              <w:bottom w:val="nil"/>
              <w:right w:val="nil"/>
            </w:tcBorders>
            <w:vAlign w:val="center"/>
          </w:tcPr>
          <w:p w14:paraId="7958114E" w14:textId="77777777" w:rsidR="006C1033" w:rsidRPr="00E20618" w:rsidRDefault="006C1033" w:rsidP="004C567F">
            <w:pPr>
              <w:pStyle w:val="TableTextRight"/>
            </w:pPr>
          </w:p>
        </w:tc>
        <w:tc>
          <w:tcPr>
            <w:tcW w:w="999" w:type="dxa"/>
            <w:tcBorders>
              <w:top w:val="single" w:sz="4" w:space="0" w:color="auto"/>
              <w:left w:val="nil"/>
              <w:bottom w:val="nil"/>
              <w:right w:val="single" w:sz="4" w:space="0" w:color="auto"/>
            </w:tcBorders>
            <w:vAlign w:val="center"/>
          </w:tcPr>
          <w:p w14:paraId="429CE076" w14:textId="77777777" w:rsidR="006C1033" w:rsidRPr="00E20618" w:rsidRDefault="006C1033" w:rsidP="004C567F">
            <w:pPr>
              <w:pStyle w:val="TableTextRight"/>
            </w:pPr>
            <w:r>
              <w:t> </w:t>
            </w:r>
          </w:p>
        </w:tc>
        <w:tc>
          <w:tcPr>
            <w:tcW w:w="1127" w:type="dxa"/>
            <w:tcBorders>
              <w:top w:val="single" w:sz="4" w:space="0" w:color="auto"/>
              <w:left w:val="single" w:sz="4" w:space="0" w:color="auto"/>
              <w:bottom w:val="nil"/>
              <w:right w:val="nil"/>
            </w:tcBorders>
            <w:vAlign w:val="center"/>
          </w:tcPr>
          <w:p w14:paraId="175BE3EA" w14:textId="77777777" w:rsidR="006C1033" w:rsidRPr="00E20618" w:rsidRDefault="006C1033" w:rsidP="004C567F">
            <w:pPr>
              <w:pStyle w:val="TableTextRight"/>
            </w:pPr>
          </w:p>
        </w:tc>
      </w:tr>
      <w:tr w:rsidR="006C1033" w:rsidRPr="00A1737D" w14:paraId="0FCC4734" w14:textId="77777777">
        <w:tc>
          <w:tcPr>
            <w:tcW w:w="2977" w:type="dxa"/>
            <w:tcBorders>
              <w:top w:val="nil"/>
            </w:tcBorders>
          </w:tcPr>
          <w:p w14:paraId="1E3C6AFD" w14:textId="77777777" w:rsidR="006C1033" w:rsidRPr="00E20618" w:rsidRDefault="006C1033" w:rsidP="004C567F">
            <w:pPr>
              <w:pStyle w:val="TableTextLeft"/>
              <w:rPr>
                <w:b/>
                <w:bCs/>
              </w:rPr>
            </w:pPr>
            <w:r w:rsidRPr="00E20618">
              <w:t>South Australia</w:t>
            </w:r>
          </w:p>
        </w:tc>
        <w:tc>
          <w:tcPr>
            <w:tcW w:w="992" w:type="dxa"/>
            <w:tcBorders>
              <w:top w:val="nil"/>
              <w:left w:val="nil"/>
              <w:bottom w:val="nil"/>
              <w:right w:val="nil"/>
            </w:tcBorders>
            <w:vAlign w:val="center"/>
          </w:tcPr>
          <w:p w14:paraId="0EE12229" w14:textId="77777777" w:rsidR="006C1033" w:rsidRPr="00E20618" w:rsidRDefault="006C1033" w:rsidP="004C567F">
            <w:pPr>
              <w:pStyle w:val="TableTextRight"/>
            </w:pPr>
            <w:r>
              <w:t>4.1</w:t>
            </w:r>
          </w:p>
        </w:tc>
        <w:tc>
          <w:tcPr>
            <w:tcW w:w="993" w:type="dxa"/>
            <w:tcBorders>
              <w:top w:val="nil"/>
              <w:left w:val="nil"/>
              <w:bottom w:val="nil"/>
              <w:right w:val="nil"/>
            </w:tcBorders>
            <w:shd w:val="clear" w:color="auto" w:fill="D2EDFF" w:themeFill="accent1" w:themeFillTint="1A"/>
            <w:vAlign w:val="center"/>
          </w:tcPr>
          <w:p w14:paraId="6DE845D9" w14:textId="77777777" w:rsidR="006C1033" w:rsidRPr="00E20618" w:rsidRDefault="006C1033" w:rsidP="004C567F">
            <w:pPr>
              <w:pStyle w:val="TableTextRight"/>
            </w:pPr>
            <w:r>
              <w:t>3.8</w:t>
            </w:r>
          </w:p>
        </w:tc>
        <w:tc>
          <w:tcPr>
            <w:tcW w:w="992" w:type="dxa"/>
            <w:tcBorders>
              <w:top w:val="nil"/>
              <w:left w:val="nil"/>
              <w:bottom w:val="nil"/>
              <w:right w:val="nil"/>
            </w:tcBorders>
            <w:vAlign w:val="center"/>
          </w:tcPr>
          <w:p w14:paraId="02CC9690" w14:textId="77777777" w:rsidR="006C1033" w:rsidRPr="00E20618" w:rsidRDefault="006C1033" w:rsidP="004C567F">
            <w:pPr>
              <w:pStyle w:val="TableTextRight"/>
            </w:pPr>
            <w:r>
              <w:t>4.7</w:t>
            </w:r>
          </w:p>
        </w:tc>
        <w:tc>
          <w:tcPr>
            <w:tcW w:w="992" w:type="dxa"/>
            <w:tcBorders>
              <w:top w:val="nil"/>
              <w:left w:val="nil"/>
              <w:bottom w:val="nil"/>
              <w:right w:val="nil"/>
            </w:tcBorders>
            <w:vAlign w:val="center"/>
          </w:tcPr>
          <w:p w14:paraId="7DB8C82F" w14:textId="77777777" w:rsidR="006C1033" w:rsidRPr="00E20618" w:rsidRDefault="006C1033" w:rsidP="004C567F">
            <w:pPr>
              <w:pStyle w:val="TableTextRight"/>
            </w:pPr>
            <w:r>
              <w:t>5.2</w:t>
            </w:r>
          </w:p>
        </w:tc>
        <w:tc>
          <w:tcPr>
            <w:tcW w:w="999" w:type="dxa"/>
            <w:tcBorders>
              <w:top w:val="nil"/>
              <w:left w:val="nil"/>
              <w:bottom w:val="nil"/>
              <w:right w:val="single" w:sz="4" w:space="0" w:color="auto"/>
            </w:tcBorders>
            <w:vAlign w:val="center"/>
          </w:tcPr>
          <w:p w14:paraId="34E4A3EB" w14:textId="77777777" w:rsidR="006C1033" w:rsidRPr="00E20618" w:rsidRDefault="006C1033" w:rsidP="004C567F">
            <w:pPr>
              <w:pStyle w:val="TableTextRight"/>
            </w:pPr>
            <w:r>
              <w:t>5.4</w:t>
            </w:r>
          </w:p>
        </w:tc>
        <w:tc>
          <w:tcPr>
            <w:tcW w:w="1127" w:type="dxa"/>
            <w:tcBorders>
              <w:top w:val="nil"/>
              <w:left w:val="single" w:sz="4" w:space="0" w:color="auto"/>
              <w:bottom w:val="nil"/>
              <w:right w:val="nil"/>
            </w:tcBorders>
            <w:vAlign w:val="center"/>
          </w:tcPr>
          <w:p w14:paraId="42714E0E" w14:textId="77777777" w:rsidR="006C1033" w:rsidRPr="00E20618" w:rsidRDefault="006C1033" w:rsidP="004C567F">
            <w:pPr>
              <w:pStyle w:val="TableTextRight"/>
            </w:pPr>
            <w:r>
              <w:t>3.7</w:t>
            </w:r>
          </w:p>
        </w:tc>
      </w:tr>
      <w:tr w:rsidR="006C1033" w:rsidRPr="00A1737D" w14:paraId="065F5E05" w14:textId="77777777">
        <w:tc>
          <w:tcPr>
            <w:tcW w:w="2977" w:type="dxa"/>
          </w:tcPr>
          <w:p w14:paraId="2AD460BF" w14:textId="77777777" w:rsidR="006C1033" w:rsidRPr="00E20618" w:rsidRDefault="006C1033" w:rsidP="004C567F">
            <w:pPr>
              <w:pStyle w:val="TableTextIndented"/>
              <w:rPr>
                <w:b/>
                <w:bCs/>
              </w:rPr>
            </w:pPr>
            <w:r w:rsidRPr="00E20618">
              <w:t>Greater Adelaide</w:t>
            </w:r>
          </w:p>
        </w:tc>
        <w:tc>
          <w:tcPr>
            <w:tcW w:w="992" w:type="dxa"/>
            <w:tcBorders>
              <w:top w:val="nil"/>
              <w:left w:val="nil"/>
              <w:bottom w:val="nil"/>
              <w:right w:val="nil"/>
            </w:tcBorders>
            <w:vAlign w:val="center"/>
          </w:tcPr>
          <w:p w14:paraId="30904479" w14:textId="77777777" w:rsidR="006C1033" w:rsidRPr="00E20618" w:rsidRDefault="006C1033" w:rsidP="004C567F">
            <w:pPr>
              <w:pStyle w:val="TableTextRight"/>
            </w:pPr>
            <w:r>
              <w:t>4.6</w:t>
            </w:r>
          </w:p>
        </w:tc>
        <w:tc>
          <w:tcPr>
            <w:tcW w:w="993" w:type="dxa"/>
            <w:tcBorders>
              <w:top w:val="nil"/>
              <w:left w:val="nil"/>
              <w:bottom w:val="nil"/>
              <w:right w:val="nil"/>
            </w:tcBorders>
            <w:shd w:val="clear" w:color="auto" w:fill="D2EDFF" w:themeFill="accent1" w:themeFillTint="1A"/>
            <w:vAlign w:val="center"/>
          </w:tcPr>
          <w:p w14:paraId="299F9B91" w14:textId="77777777" w:rsidR="006C1033" w:rsidRPr="00E20618" w:rsidRDefault="006C1033" w:rsidP="004C567F">
            <w:pPr>
              <w:pStyle w:val="TableTextRight"/>
            </w:pPr>
            <w:r>
              <w:t>4.3</w:t>
            </w:r>
          </w:p>
        </w:tc>
        <w:tc>
          <w:tcPr>
            <w:tcW w:w="992" w:type="dxa"/>
            <w:tcBorders>
              <w:top w:val="nil"/>
              <w:left w:val="nil"/>
              <w:bottom w:val="nil"/>
              <w:right w:val="nil"/>
            </w:tcBorders>
            <w:vAlign w:val="center"/>
          </w:tcPr>
          <w:p w14:paraId="6B1FD9B2" w14:textId="77777777" w:rsidR="006C1033" w:rsidRPr="00E20618" w:rsidRDefault="006C1033" w:rsidP="004C567F">
            <w:pPr>
              <w:pStyle w:val="TableTextRight"/>
            </w:pPr>
            <w:r>
              <w:t>5.1</w:t>
            </w:r>
          </w:p>
        </w:tc>
        <w:tc>
          <w:tcPr>
            <w:tcW w:w="992" w:type="dxa"/>
            <w:tcBorders>
              <w:top w:val="nil"/>
              <w:left w:val="nil"/>
              <w:bottom w:val="nil"/>
              <w:right w:val="nil"/>
            </w:tcBorders>
            <w:vAlign w:val="center"/>
          </w:tcPr>
          <w:p w14:paraId="3FEF8191" w14:textId="77777777" w:rsidR="006C1033" w:rsidRPr="00E20618" w:rsidRDefault="006C1033" w:rsidP="004C567F">
            <w:pPr>
              <w:pStyle w:val="TableTextRight"/>
            </w:pPr>
            <w:r>
              <w:t>5.5</w:t>
            </w:r>
          </w:p>
        </w:tc>
        <w:tc>
          <w:tcPr>
            <w:tcW w:w="999" w:type="dxa"/>
            <w:tcBorders>
              <w:top w:val="nil"/>
              <w:left w:val="nil"/>
              <w:bottom w:val="nil"/>
              <w:right w:val="single" w:sz="4" w:space="0" w:color="auto"/>
            </w:tcBorders>
            <w:vAlign w:val="center"/>
          </w:tcPr>
          <w:p w14:paraId="624A73E9" w14:textId="77777777" w:rsidR="006C1033" w:rsidRPr="00E20618" w:rsidRDefault="006C1033" w:rsidP="004C567F">
            <w:pPr>
              <w:pStyle w:val="TableTextRight"/>
            </w:pPr>
            <w:r>
              <w:t>5.7</w:t>
            </w:r>
          </w:p>
        </w:tc>
        <w:tc>
          <w:tcPr>
            <w:tcW w:w="1127" w:type="dxa"/>
            <w:tcBorders>
              <w:top w:val="nil"/>
              <w:left w:val="single" w:sz="4" w:space="0" w:color="auto"/>
              <w:bottom w:val="nil"/>
              <w:right w:val="nil"/>
            </w:tcBorders>
            <w:vAlign w:val="center"/>
          </w:tcPr>
          <w:p w14:paraId="5D4DA27C" w14:textId="77777777" w:rsidR="006C1033" w:rsidRPr="00E20618" w:rsidRDefault="006C1033" w:rsidP="004C567F">
            <w:pPr>
              <w:pStyle w:val="TableTextRight"/>
            </w:pPr>
            <w:r>
              <w:t>4.7</w:t>
            </w:r>
          </w:p>
        </w:tc>
      </w:tr>
      <w:tr w:rsidR="006C1033" w:rsidRPr="00A1737D" w14:paraId="0CF8F4EA" w14:textId="77777777">
        <w:tc>
          <w:tcPr>
            <w:tcW w:w="2977" w:type="dxa"/>
          </w:tcPr>
          <w:p w14:paraId="13A699AB" w14:textId="77777777" w:rsidR="006C1033" w:rsidRPr="00E20618" w:rsidRDefault="006C1033" w:rsidP="004C567F">
            <w:pPr>
              <w:pStyle w:val="TableTextIndented"/>
              <w:rPr>
                <w:b/>
                <w:bCs/>
              </w:rPr>
            </w:pPr>
            <w:r w:rsidRPr="00E20618">
              <w:t>Rest of South Australia</w:t>
            </w:r>
          </w:p>
        </w:tc>
        <w:tc>
          <w:tcPr>
            <w:tcW w:w="992" w:type="dxa"/>
            <w:tcBorders>
              <w:top w:val="nil"/>
              <w:left w:val="nil"/>
              <w:bottom w:val="nil"/>
              <w:right w:val="nil"/>
            </w:tcBorders>
            <w:vAlign w:val="center"/>
          </w:tcPr>
          <w:p w14:paraId="79620345" w14:textId="77777777" w:rsidR="006C1033" w:rsidRPr="00E20618" w:rsidRDefault="006C1033" w:rsidP="004C567F">
            <w:pPr>
              <w:pStyle w:val="TableTextRight"/>
            </w:pPr>
            <w:r>
              <w:t>-0.1</w:t>
            </w:r>
          </w:p>
        </w:tc>
        <w:tc>
          <w:tcPr>
            <w:tcW w:w="993" w:type="dxa"/>
            <w:tcBorders>
              <w:top w:val="nil"/>
              <w:left w:val="nil"/>
              <w:bottom w:val="nil"/>
              <w:right w:val="nil"/>
            </w:tcBorders>
            <w:shd w:val="clear" w:color="auto" w:fill="D2EDFF" w:themeFill="accent1" w:themeFillTint="1A"/>
            <w:vAlign w:val="center"/>
          </w:tcPr>
          <w:p w14:paraId="40245937" w14:textId="77777777" w:rsidR="006C1033" w:rsidRPr="00E20618" w:rsidRDefault="006C1033" w:rsidP="004C567F">
            <w:pPr>
              <w:pStyle w:val="TableTextRight"/>
            </w:pPr>
            <w:r>
              <w:t>-0.5</w:t>
            </w:r>
          </w:p>
        </w:tc>
        <w:tc>
          <w:tcPr>
            <w:tcW w:w="992" w:type="dxa"/>
            <w:tcBorders>
              <w:top w:val="nil"/>
              <w:left w:val="nil"/>
              <w:bottom w:val="nil"/>
              <w:right w:val="nil"/>
            </w:tcBorders>
            <w:vAlign w:val="center"/>
          </w:tcPr>
          <w:p w14:paraId="4D7F633A" w14:textId="77777777" w:rsidR="006C1033" w:rsidRPr="00E20618" w:rsidRDefault="006C1033" w:rsidP="004C567F">
            <w:pPr>
              <w:pStyle w:val="TableTextRight"/>
            </w:pPr>
            <w:r>
              <w:t>-0.4</w:t>
            </w:r>
          </w:p>
        </w:tc>
        <w:tc>
          <w:tcPr>
            <w:tcW w:w="992" w:type="dxa"/>
            <w:tcBorders>
              <w:top w:val="nil"/>
              <w:left w:val="nil"/>
              <w:bottom w:val="nil"/>
              <w:right w:val="nil"/>
            </w:tcBorders>
            <w:vAlign w:val="center"/>
          </w:tcPr>
          <w:p w14:paraId="2B0E9684" w14:textId="77777777" w:rsidR="006C1033" w:rsidRPr="00E20618" w:rsidRDefault="006C1033" w:rsidP="004C567F">
            <w:pPr>
              <w:pStyle w:val="TableTextRight"/>
            </w:pPr>
            <w:r>
              <w:t>-0.3</w:t>
            </w:r>
          </w:p>
        </w:tc>
        <w:tc>
          <w:tcPr>
            <w:tcW w:w="999" w:type="dxa"/>
            <w:tcBorders>
              <w:top w:val="nil"/>
              <w:left w:val="nil"/>
              <w:bottom w:val="nil"/>
              <w:right w:val="single" w:sz="4" w:space="0" w:color="auto"/>
            </w:tcBorders>
            <w:vAlign w:val="center"/>
          </w:tcPr>
          <w:p w14:paraId="69B115C0" w14:textId="77777777" w:rsidR="006C1033" w:rsidRPr="00E20618" w:rsidRDefault="006C1033" w:rsidP="004C567F">
            <w:pPr>
              <w:pStyle w:val="TableTextRight"/>
            </w:pPr>
            <w:r>
              <w:t>-0.3</w:t>
            </w:r>
          </w:p>
        </w:tc>
        <w:tc>
          <w:tcPr>
            <w:tcW w:w="1127" w:type="dxa"/>
            <w:tcBorders>
              <w:top w:val="nil"/>
              <w:left w:val="single" w:sz="4" w:space="0" w:color="auto"/>
              <w:bottom w:val="nil"/>
              <w:right w:val="nil"/>
            </w:tcBorders>
            <w:vAlign w:val="center"/>
          </w:tcPr>
          <w:p w14:paraId="499C51BF" w14:textId="77777777" w:rsidR="006C1033" w:rsidRPr="00E20618" w:rsidRDefault="006C1033" w:rsidP="004C567F">
            <w:pPr>
              <w:pStyle w:val="TableTextRight"/>
            </w:pPr>
            <w:r>
              <w:t>-1.0</w:t>
            </w:r>
          </w:p>
        </w:tc>
      </w:tr>
      <w:tr w:rsidR="006C1033" w:rsidRPr="00A1737D" w14:paraId="501E6F46" w14:textId="77777777">
        <w:tc>
          <w:tcPr>
            <w:tcW w:w="2977" w:type="dxa"/>
          </w:tcPr>
          <w:p w14:paraId="45D87765" w14:textId="77777777" w:rsidR="006C1033" w:rsidRPr="00E20618" w:rsidRDefault="006C1033" w:rsidP="004C567F">
            <w:pPr>
              <w:pStyle w:val="TableColumnHeadingLeft"/>
            </w:pPr>
            <w:r w:rsidRPr="00E20618">
              <w:t>Net overseas migration (‘000)</w:t>
            </w:r>
          </w:p>
        </w:tc>
        <w:tc>
          <w:tcPr>
            <w:tcW w:w="992" w:type="dxa"/>
            <w:tcBorders>
              <w:top w:val="nil"/>
              <w:left w:val="nil"/>
              <w:bottom w:val="nil"/>
              <w:right w:val="nil"/>
            </w:tcBorders>
            <w:vAlign w:val="center"/>
          </w:tcPr>
          <w:p w14:paraId="1C6934FC" w14:textId="77777777" w:rsidR="006C1033" w:rsidRPr="00E20618" w:rsidRDefault="006C1033" w:rsidP="004C567F">
            <w:pPr>
              <w:pStyle w:val="TableTextRight"/>
            </w:pPr>
          </w:p>
        </w:tc>
        <w:tc>
          <w:tcPr>
            <w:tcW w:w="993" w:type="dxa"/>
            <w:tcBorders>
              <w:top w:val="nil"/>
              <w:left w:val="nil"/>
              <w:bottom w:val="nil"/>
              <w:right w:val="nil"/>
            </w:tcBorders>
            <w:shd w:val="clear" w:color="auto" w:fill="D2EDFF" w:themeFill="accent1" w:themeFillTint="1A"/>
            <w:vAlign w:val="center"/>
          </w:tcPr>
          <w:p w14:paraId="0B22727B" w14:textId="77777777" w:rsidR="006C1033" w:rsidRPr="00E20618" w:rsidRDefault="006C1033" w:rsidP="004C567F">
            <w:pPr>
              <w:pStyle w:val="TableTextRight"/>
            </w:pPr>
            <w:r>
              <w:t> </w:t>
            </w:r>
          </w:p>
        </w:tc>
        <w:tc>
          <w:tcPr>
            <w:tcW w:w="992" w:type="dxa"/>
            <w:tcBorders>
              <w:top w:val="nil"/>
              <w:left w:val="nil"/>
              <w:bottom w:val="nil"/>
              <w:right w:val="nil"/>
            </w:tcBorders>
            <w:vAlign w:val="center"/>
          </w:tcPr>
          <w:p w14:paraId="438E7E5F" w14:textId="77777777" w:rsidR="006C1033" w:rsidRPr="00E20618" w:rsidRDefault="006C1033" w:rsidP="004C567F">
            <w:pPr>
              <w:pStyle w:val="TableTextRight"/>
            </w:pPr>
          </w:p>
        </w:tc>
        <w:tc>
          <w:tcPr>
            <w:tcW w:w="992" w:type="dxa"/>
            <w:tcBorders>
              <w:top w:val="nil"/>
              <w:left w:val="nil"/>
              <w:bottom w:val="nil"/>
              <w:right w:val="nil"/>
            </w:tcBorders>
            <w:vAlign w:val="center"/>
          </w:tcPr>
          <w:p w14:paraId="4C92EA5D" w14:textId="77777777" w:rsidR="006C1033" w:rsidRPr="00E20618" w:rsidRDefault="006C1033" w:rsidP="004C567F">
            <w:pPr>
              <w:pStyle w:val="TableTextRight"/>
            </w:pPr>
          </w:p>
        </w:tc>
        <w:tc>
          <w:tcPr>
            <w:tcW w:w="999" w:type="dxa"/>
            <w:tcBorders>
              <w:top w:val="nil"/>
              <w:left w:val="nil"/>
              <w:bottom w:val="nil"/>
              <w:right w:val="single" w:sz="4" w:space="0" w:color="auto"/>
            </w:tcBorders>
            <w:vAlign w:val="center"/>
          </w:tcPr>
          <w:p w14:paraId="3B35C22F" w14:textId="77777777" w:rsidR="006C1033" w:rsidRPr="00E20618" w:rsidRDefault="006C1033" w:rsidP="004C567F">
            <w:pPr>
              <w:pStyle w:val="TableTextRight"/>
            </w:pPr>
            <w:r>
              <w:t> </w:t>
            </w:r>
          </w:p>
        </w:tc>
        <w:tc>
          <w:tcPr>
            <w:tcW w:w="1127" w:type="dxa"/>
            <w:tcBorders>
              <w:top w:val="nil"/>
              <w:left w:val="single" w:sz="4" w:space="0" w:color="auto"/>
              <w:bottom w:val="nil"/>
              <w:right w:val="nil"/>
            </w:tcBorders>
            <w:vAlign w:val="center"/>
          </w:tcPr>
          <w:p w14:paraId="18675B18" w14:textId="77777777" w:rsidR="006C1033" w:rsidRPr="00E20618" w:rsidRDefault="006C1033" w:rsidP="004C567F">
            <w:pPr>
              <w:pStyle w:val="TableTextRight"/>
            </w:pPr>
          </w:p>
        </w:tc>
      </w:tr>
      <w:tr w:rsidR="006C1033" w:rsidRPr="00A1737D" w14:paraId="31B6E0B0" w14:textId="77777777">
        <w:tc>
          <w:tcPr>
            <w:tcW w:w="2977" w:type="dxa"/>
          </w:tcPr>
          <w:p w14:paraId="3A9FBC2D" w14:textId="77777777" w:rsidR="006C1033" w:rsidRPr="00E20618" w:rsidRDefault="006C1033" w:rsidP="004C567F">
            <w:pPr>
              <w:pStyle w:val="TableTextLeft"/>
              <w:rPr>
                <w:b/>
                <w:bCs/>
              </w:rPr>
            </w:pPr>
            <w:r w:rsidRPr="00E20618">
              <w:t>South Australia</w:t>
            </w:r>
          </w:p>
        </w:tc>
        <w:tc>
          <w:tcPr>
            <w:tcW w:w="992" w:type="dxa"/>
            <w:tcBorders>
              <w:top w:val="nil"/>
              <w:left w:val="nil"/>
              <w:bottom w:val="nil"/>
              <w:right w:val="nil"/>
            </w:tcBorders>
            <w:vAlign w:val="center"/>
          </w:tcPr>
          <w:p w14:paraId="1D02EBD5" w14:textId="77777777" w:rsidR="006C1033" w:rsidRPr="00E20618" w:rsidRDefault="006C1033" w:rsidP="004C567F">
            <w:pPr>
              <w:pStyle w:val="TableTextRight"/>
            </w:pPr>
            <w:r>
              <w:t>14.2</w:t>
            </w:r>
          </w:p>
        </w:tc>
        <w:tc>
          <w:tcPr>
            <w:tcW w:w="993" w:type="dxa"/>
            <w:tcBorders>
              <w:top w:val="nil"/>
              <w:left w:val="nil"/>
              <w:bottom w:val="nil"/>
              <w:right w:val="nil"/>
            </w:tcBorders>
            <w:shd w:val="clear" w:color="auto" w:fill="D2EDFF" w:themeFill="accent1" w:themeFillTint="1A"/>
            <w:vAlign w:val="center"/>
          </w:tcPr>
          <w:p w14:paraId="141E09EC" w14:textId="77777777" w:rsidR="006C1033" w:rsidRPr="00E20618" w:rsidRDefault="006C1033" w:rsidP="004C567F">
            <w:pPr>
              <w:pStyle w:val="TableTextRight"/>
            </w:pPr>
            <w:r>
              <w:t>27.4</w:t>
            </w:r>
          </w:p>
        </w:tc>
        <w:tc>
          <w:tcPr>
            <w:tcW w:w="992" w:type="dxa"/>
            <w:tcBorders>
              <w:top w:val="nil"/>
              <w:left w:val="nil"/>
              <w:bottom w:val="nil"/>
              <w:right w:val="nil"/>
            </w:tcBorders>
            <w:vAlign w:val="center"/>
          </w:tcPr>
          <w:p w14:paraId="5F6F5768" w14:textId="77777777" w:rsidR="006C1033" w:rsidRPr="00E20618" w:rsidRDefault="006C1033" w:rsidP="004C567F">
            <w:pPr>
              <w:pStyle w:val="TableTextRight"/>
            </w:pPr>
            <w:r>
              <w:t>23.9</w:t>
            </w:r>
          </w:p>
        </w:tc>
        <w:tc>
          <w:tcPr>
            <w:tcW w:w="992" w:type="dxa"/>
            <w:tcBorders>
              <w:top w:val="nil"/>
              <w:left w:val="nil"/>
              <w:bottom w:val="nil"/>
              <w:right w:val="nil"/>
            </w:tcBorders>
            <w:vAlign w:val="center"/>
          </w:tcPr>
          <w:p w14:paraId="4D792538" w14:textId="77777777" w:rsidR="006C1033" w:rsidRPr="00E20618" w:rsidRDefault="006C1033" w:rsidP="004C567F">
            <w:pPr>
              <w:pStyle w:val="TableTextRight"/>
            </w:pPr>
            <w:r>
              <w:t>15.7</w:t>
            </w:r>
          </w:p>
        </w:tc>
        <w:tc>
          <w:tcPr>
            <w:tcW w:w="999" w:type="dxa"/>
            <w:tcBorders>
              <w:top w:val="nil"/>
              <w:left w:val="nil"/>
              <w:bottom w:val="nil"/>
              <w:right w:val="single" w:sz="4" w:space="0" w:color="auto"/>
            </w:tcBorders>
            <w:vAlign w:val="center"/>
          </w:tcPr>
          <w:p w14:paraId="3B95B986" w14:textId="77777777" w:rsidR="006C1033" w:rsidRPr="00E20618" w:rsidRDefault="006C1033" w:rsidP="004C567F">
            <w:pPr>
              <w:pStyle w:val="TableTextRight"/>
            </w:pPr>
            <w:r>
              <w:t>16.2</w:t>
            </w:r>
          </w:p>
        </w:tc>
        <w:tc>
          <w:tcPr>
            <w:tcW w:w="1127" w:type="dxa"/>
            <w:tcBorders>
              <w:top w:val="nil"/>
              <w:left w:val="single" w:sz="4" w:space="0" w:color="auto"/>
              <w:bottom w:val="nil"/>
              <w:right w:val="nil"/>
            </w:tcBorders>
            <w:vAlign w:val="center"/>
          </w:tcPr>
          <w:p w14:paraId="79FB1DE5" w14:textId="77777777" w:rsidR="006C1033" w:rsidRPr="00E20618" w:rsidRDefault="006C1033" w:rsidP="004C567F">
            <w:pPr>
              <w:pStyle w:val="TableTextRight"/>
            </w:pPr>
            <w:r>
              <w:t>15.5</w:t>
            </w:r>
          </w:p>
        </w:tc>
      </w:tr>
      <w:tr w:rsidR="006C1033" w:rsidRPr="00A1737D" w14:paraId="72984140" w14:textId="77777777">
        <w:tc>
          <w:tcPr>
            <w:tcW w:w="2977" w:type="dxa"/>
          </w:tcPr>
          <w:p w14:paraId="4FD69B93" w14:textId="77777777" w:rsidR="006C1033" w:rsidRPr="00E20618" w:rsidRDefault="006C1033" w:rsidP="004C567F">
            <w:pPr>
              <w:pStyle w:val="TableTextIndented"/>
              <w:rPr>
                <w:b/>
                <w:bCs/>
              </w:rPr>
            </w:pPr>
            <w:r w:rsidRPr="00E20618">
              <w:t>Greater Adelaide</w:t>
            </w:r>
          </w:p>
        </w:tc>
        <w:tc>
          <w:tcPr>
            <w:tcW w:w="992" w:type="dxa"/>
            <w:tcBorders>
              <w:top w:val="nil"/>
              <w:left w:val="nil"/>
              <w:bottom w:val="nil"/>
              <w:right w:val="nil"/>
            </w:tcBorders>
            <w:vAlign w:val="center"/>
          </w:tcPr>
          <w:p w14:paraId="771B35DC" w14:textId="77777777" w:rsidR="006C1033" w:rsidRPr="00E20618" w:rsidRDefault="006C1033" w:rsidP="004C567F">
            <w:pPr>
              <w:pStyle w:val="TableTextRight"/>
            </w:pPr>
            <w:r>
              <w:t>12.5</w:t>
            </w:r>
          </w:p>
        </w:tc>
        <w:tc>
          <w:tcPr>
            <w:tcW w:w="993" w:type="dxa"/>
            <w:tcBorders>
              <w:top w:val="nil"/>
              <w:left w:val="nil"/>
              <w:bottom w:val="nil"/>
              <w:right w:val="nil"/>
            </w:tcBorders>
            <w:shd w:val="clear" w:color="auto" w:fill="D2EDFF" w:themeFill="accent1" w:themeFillTint="1A"/>
            <w:vAlign w:val="center"/>
          </w:tcPr>
          <w:p w14:paraId="69EE227E" w14:textId="77777777" w:rsidR="006C1033" w:rsidRPr="00E20618" w:rsidRDefault="006C1033" w:rsidP="004C567F">
            <w:pPr>
              <w:pStyle w:val="TableTextRight"/>
            </w:pPr>
            <w:r>
              <w:t>25.2</w:t>
            </w:r>
          </w:p>
        </w:tc>
        <w:tc>
          <w:tcPr>
            <w:tcW w:w="992" w:type="dxa"/>
            <w:tcBorders>
              <w:top w:val="nil"/>
              <w:left w:val="nil"/>
              <w:bottom w:val="nil"/>
              <w:right w:val="nil"/>
            </w:tcBorders>
            <w:vAlign w:val="center"/>
          </w:tcPr>
          <w:p w14:paraId="6FAE396D" w14:textId="77777777" w:rsidR="006C1033" w:rsidRPr="00E20618" w:rsidRDefault="006C1033" w:rsidP="004C567F">
            <w:pPr>
              <w:pStyle w:val="TableTextRight"/>
            </w:pPr>
            <w:r>
              <w:t>21.9</w:t>
            </w:r>
          </w:p>
        </w:tc>
        <w:tc>
          <w:tcPr>
            <w:tcW w:w="992" w:type="dxa"/>
            <w:tcBorders>
              <w:top w:val="nil"/>
              <w:left w:val="nil"/>
              <w:bottom w:val="nil"/>
              <w:right w:val="nil"/>
            </w:tcBorders>
            <w:vAlign w:val="center"/>
          </w:tcPr>
          <w:p w14:paraId="09DDFBE5" w14:textId="77777777" w:rsidR="006C1033" w:rsidRPr="00E20618" w:rsidRDefault="006C1033" w:rsidP="004C567F">
            <w:pPr>
              <w:pStyle w:val="TableTextRight"/>
            </w:pPr>
            <w:r>
              <w:t>14.4</w:t>
            </w:r>
          </w:p>
        </w:tc>
        <w:tc>
          <w:tcPr>
            <w:tcW w:w="999" w:type="dxa"/>
            <w:tcBorders>
              <w:top w:val="nil"/>
              <w:left w:val="nil"/>
              <w:bottom w:val="nil"/>
              <w:right w:val="single" w:sz="4" w:space="0" w:color="auto"/>
            </w:tcBorders>
            <w:vAlign w:val="center"/>
          </w:tcPr>
          <w:p w14:paraId="241525E2" w14:textId="77777777" w:rsidR="006C1033" w:rsidRPr="00E20618" w:rsidRDefault="006C1033" w:rsidP="004C567F">
            <w:pPr>
              <w:pStyle w:val="TableTextRight"/>
            </w:pPr>
            <w:r>
              <w:t>14.9</w:t>
            </w:r>
          </w:p>
        </w:tc>
        <w:tc>
          <w:tcPr>
            <w:tcW w:w="1127" w:type="dxa"/>
            <w:tcBorders>
              <w:top w:val="nil"/>
              <w:left w:val="single" w:sz="4" w:space="0" w:color="auto"/>
              <w:bottom w:val="nil"/>
              <w:right w:val="nil"/>
            </w:tcBorders>
            <w:vAlign w:val="center"/>
          </w:tcPr>
          <w:p w14:paraId="5A5B1096" w14:textId="77777777" w:rsidR="006C1033" w:rsidRPr="00E20618" w:rsidRDefault="006C1033" w:rsidP="004C567F">
            <w:pPr>
              <w:pStyle w:val="TableTextRight"/>
            </w:pPr>
            <w:r>
              <w:t>14.1</w:t>
            </w:r>
          </w:p>
        </w:tc>
      </w:tr>
      <w:tr w:rsidR="006C1033" w:rsidRPr="00A1737D" w14:paraId="0700D3D9" w14:textId="77777777">
        <w:tc>
          <w:tcPr>
            <w:tcW w:w="2977" w:type="dxa"/>
          </w:tcPr>
          <w:p w14:paraId="560C30A1" w14:textId="77777777" w:rsidR="006C1033" w:rsidRPr="00E20618" w:rsidRDefault="006C1033" w:rsidP="004C567F">
            <w:pPr>
              <w:pStyle w:val="TableTextIndented"/>
              <w:rPr>
                <w:b/>
                <w:bCs/>
              </w:rPr>
            </w:pPr>
            <w:r w:rsidRPr="00E20618">
              <w:t>Rest of South Australia</w:t>
            </w:r>
          </w:p>
        </w:tc>
        <w:tc>
          <w:tcPr>
            <w:tcW w:w="992" w:type="dxa"/>
            <w:tcBorders>
              <w:top w:val="nil"/>
              <w:left w:val="nil"/>
              <w:bottom w:val="nil"/>
              <w:right w:val="nil"/>
            </w:tcBorders>
            <w:vAlign w:val="center"/>
          </w:tcPr>
          <w:p w14:paraId="2CB27E69" w14:textId="77777777" w:rsidR="006C1033" w:rsidRPr="00E20618" w:rsidRDefault="006C1033" w:rsidP="004C567F">
            <w:pPr>
              <w:pStyle w:val="TableTextRight"/>
            </w:pPr>
            <w:r>
              <w:t>1.3</w:t>
            </w:r>
          </w:p>
        </w:tc>
        <w:tc>
          <w:tcPr>
            <w:tcW w:w="993" w:type="dxa"/>
            <w:tcBorders>
              <w:top w:val="nil"/>
              <w:left w:val="nil"/>
              <w:bottom w:val="nil"/>
              <w:right w:val="nil"/>
            </w:tcBorders>
            <w:shd w:val="clear" w:color="auto" w:fill="D2EDFF" w:themeFill="accent1" w:themeFillTint="1A"/>
            <w:vAlign w:val="center"/>
          </w:tcPr>
          <w:p w14:paraId="56A84787" w14:textId="77777777" w:rsidR="006C1033" w:rsidRPr="00E20618" w:rsidRDefault="006C1033" w:rsidP="004C567F">
            <w:pPr>
              <w:pStyle w:val="TableTextRight"/>
            </w:pPr>
            <w:r>
              <w:t>2.2</w:t>
            </w:r>
          </w:p>
        </w:tc>
        <w:tc>
          <w:tcPr>
            <w:tcW w:w="992" w:type="dxa"/>
            <w:tcBorders>
              <w:top w:val="nil"/>
              <w:left w:val="nil"/>
              <w:bottom w:val="nil"/>
              <w:right w:val="nil"/>
            </w:tcBorders>
            <w:vAlign w:val="center"/>
          </w:tcPr>
          <w:p w14:paraId="10CCE787" w14:textId="77777777" w:rsidR="006C1033" w:rsidRPr="00E20618" w:rsidRDefault="006C1033" w:rsidP="004C567F">
            <w:pPr>
              <w:pStyle w:val="TableTextRight"/>
            </w:pPr>
            <w:r>
              <w:t>1.9</w:t>
            </w:r>
          </w:p>
        </w:tc>
        <w:tc>
          <w:tcPr>
            <w:tcW w:w="992" w:type="dxa"/>
            <w:tcBorders>
              <w:top w:val="nil"/>
              <w:left w:val="nil"/>
              <w:bottom w:val="nil"/>
              <w:right w:val="nil"/>
            </w:tcBorders>
            <w:vAlign w:val="center"/>
          </w:tcPr>
          <w:p w14:paraId="1FDAE596" w14:textId="77777777" w:rsidR="006C1033" w:rsidRPr="00E20618" w:rsidRDefault="006C1033" w:rsidP="004C567F">
            <w:pPr>
              <w:pStyle w:val="TableTextRight"/>
            </w:pPr>
            <w:r>
              <w:t>1.3</w:t>
            </w:r>
          </w:p>
        </w:tc>
        <w:tc>
          <w:tcPr>
            <w:tcW w:w="999" w:type="dxa"/>
            <w:tcBorders>
              <w:top w:val="nil"/>
              <w:left w:val="nil"/>
              <w:bottom w:val="nil"/>
              <w:right w:val="single" w:sz="4" w:space="0" w:color="auto"/>
            </w:tcBorders>
            <w:vAlign w:val="center"/>
          </w:tcPr>
          <w:p w14:paraId="2BA6602B" w14:textId="77777777" w:rsidR="006C1033" w:rsidRPr="00E20618" w:rsidRDefault="006C1033" w:rsidP="004C567F">
            <w:pPr>
              <w:pStyle w:val="TableTextRight"/>
            </w:pPr>
            <w:r>
              <w:t>1.4</w:t>
            </w:r>
          </w:p>
        </w:tc>
        <w:tc>
          <w:tcPr>
            <w:tcW w:w="1127" w:type="dxa"/>
            <w:tcBorders>
              <w:top w:val="nil"/>
              <w:left w:val="single" w:sz="4" w:space="0" w:color="auto"/>
              <w:bottom w:val="nil"/>
              <w:right w:val="nil"/>
            </w:tcBorders>
            <w:vAlign w:val="center"/>
          </w:tcPr>
          <w:p w14:paraId="28C41FB3" w14:textId="77777777" w:rsidR="006C1033" w:rsidRPr="00E20618" w:rsidRDefault="006C1033" w:rsidP="004C567F">
            <w:pPr>
              <w:pStyle w:val="TableTextRight"/>
            </w:pPr>
            <w:r>
              <w:t>1.3</w:t>
            </w:r>
          </w:p>
        </w:tc>
      </w:tr>
      <w:tr w:rsidR="006C1033" w:rsidRPr="00A1737D" w14:paraId="51C786DB" w14:textId="77777777">
        <w:tc>
          <w:tcPr>
            <w:tcW w:w="2977" w:type="dxa"/>
          </w:tcPr>
          <w:p w14:paraId="45CBD9B0" w14:textId="77777777" w:rsidR="006C1033" w:rsidRPr="00E20618" w:rsidRDefault="006C1033" w:rsidP="004C567F">
            <w:pPr>
              <w:pStyle w:val="TableColumnHeadingLeft"/>
            </w:pPr>
            <w:r w:rsidRPr="00E20618">
              <w:t>Net internal migration (‘000)</w:t>
            </w:r>
          </w:p>
        </w:tc>
        <w:tc>
          <w:tcPr>
            <w:tcW w:w="992" w:type="dxa"/>
            <w:tcBorders>
              <w:top w:val="nil"/>
              <w:left w:val="nil"/>
              <w:bottom w:val="nil"/>
              <w:right w:val="nil"/>
            </w:tcBorders>
            <w:vAlign w:val="center"/>
          </w:tcPr>
          <w:p w14:paraId="386B1512" w14:textId="77777777" w:rsidR="006C1033" w:rsidRPr="00E20618" w:rsidRDefault="006C1033" w:rsidP="004C567F">
            <w:pPr>
              <w:pStyle w:val="TableTextRight"/>
            </w:pPr>
          </w:p>
        </w:tc>
        <w:tc>
          <w:tcPr>
            <w:tcW w:w="993" w:type="dxa"/>
            <w:tcBorders>
              <w:top w:val="nil"/>
              <w:left w:val="nil"/>
              <w:bottom w:val="nil"/>
              <w:right w:val="nil"/>
            </w:tcBorders>
            <w:shd w:val="clear" w:color="auto" w:fill="D2EDFF" w:themeFill="accent1" w:themeFillTint="1A"/>
            <w:vAlign w:val="center"/>
          </w:tcPr>
          <w:p w14:paraId="7F142F19" w14:textId="77777777" w:rsidR="006C1033" w:rsidRPr="00E20618" w:rsidRDefault="006C1033" w:rsidP="004C567F">
            <w:pPr>
              <w:pStyle w:val="TableTextRight"/>
            </w:pPr>
            <w:r>
              <w:t> </w:t>
            </w:r>
          </w:p>
        </w:tc>
        <w:tc>
          <w:tcPr>
            <w:tcW w:w="992" w:type="dxa"/>
            <w:tcBorders>
              <w:top w:val="nil"/>
              <w:left w:val="nil"/>
              <w:bottom w:val="nil"/>
              <w:right w:val="nil"/>
            </w:tcBorders>
            <w:vAlign w:val="center"/>
          </w:tcPr>
          <w:p w14:paraId="445FD0F0" w14:textId="77777777" w:rsidR="006C1033" w:rsidRPr="00E20618" w:rsidRDefault="006C1033" w:rsidP="004C567F">
            <w:pPr>
              <w:pStyle w:val="TableTextRight"/>
            </w:pPr>
          </w:p>
        </w:tc>
        <w:tc>
          <w:tcPr>
            <w:tcW w:w="992" w:type="dxa"/>
            <w:tcBorders>
              <w:top w:val="nil"/>
              <w:left w:val="nil"/>
              <w:bottom w:val="nil"/>
              <w:right w:val="nil"/>
            </w:tcBorders>
            <w:vAlign w:val="center"/>
          </w:tcPr>
          <w:p w14:paraId="2ADF4E99" w14:textId="77777777" w:rsidR="006C1033" w:rsidRPr="00E20618" w:rsidRDefault="006C1033" w:rsidP="004C567F">
            <w:pPr>
              <w:pStyle w:val="TableTextRight"/>
            </w:pPr>
          </w:p>
        </w:tc>
        <w:tc>
          <w:tcPr>
            <w:tcW w:w="999" w:type="dxa"/>
            <w:tcBorders>
              <w:top w:val="nil"/>
              <w:left w:val="nil"/>
              <w:bottom w:val="nil"/>
              <w:right w:val="single" w:sz="4" w:space="0" w:color="auto"/>
            </w:tcBorders>
            <w:vAlign w:val="center"/>
          </w:tcPr>
          <w:p w14:paraId="53D6FB07" w14:textId="77777777" w:rsidR="006C1033" w:rsidRPr="00E20618" w:rsidRDefault="006C1033" w:rsidP="004C567F">
            <w:pPr>
              <w:pStyle w:val="TableTextRight"/>
            </w:pPr>
            <w:r>
              <w:t> </w:t>
            </w:r>
          </w:p>
        </w:tc>
        <w:tc>
          <w:tcPr>
            <w:tcW w:w="1127" w:type="dxa"/>
            <w:tcBorders>
              <w:top w:val="nil"/>
              <w:left w:val="single" w:sz="4" w:space="0" w:color="auto"/>
              <w:bottom w:val="nil"/>
              <w:right w:val="nil"/>
            </w:tcBorders>
            <w:vAlign w:val="center"/>
          </w:tcPr>
          <w:p w14:paraId="79692543" w14:textId="77777777" w:rsidR="006C1033" w:rsidRPr="00E20618" w:rsidRDefault="006C1033" w:rsidP="004C567F">
            <w:pPr>
              <w:pStyle w:val="TableTextRight"/>
            </w:pPr>
          </w:p>
        </w:tc>
      </w:tr>
      <w:tr w:rsidR="006C1033" w:rsidRPr="00A1737D" w14:paraId="01658A20" w14:textId="77777777">
        <w:tc>
          <w:tcPr>
            <w:tcW w:w="2977" w:type="dxa"/>
          </w:tcPr>
          <w:p w14:paraId="6E8D61C9" w14:textId="77777777" w:rsidR="006C1033" w:rsidRPr="00E20618" w:rsidRDefault="006C1033" w:rsidP="004C567F">
            <w:pPr>
              <w:pStyle w:val="TableTextLeft"/>
              <w:rPr>
                <w:b/>
                <w:bCs/>
              </w:rPr>
            </w:pPr>
            <w:r w:rsidRPr="00E20618">
              <w:t>South Australia</w:t>
            </w:r>
          </w:p>
        </w:tc>
        <w:tc>
          <w:tcPr>
            <w:tcW w:w="992" w:type="dxa"/>
            <w:tcBorders>
              <w:top w:val="nil"/>
              <w:left w:val="nil"/>
              <w:bottom w:val="nil"/>
              <w:right w:val="nil"/>
            </w:tcBorders>
            <w:vAlign w:val="center"/>
          </w:tcPr>
          <w:p w14:paraId="40ED613E" w14:textId="77777777" w:rsidR="006C1033" w:rsidRPr="00E20618" w:rsidRDefault="006C1033" w:rsidP="004C567F">
            <w:pPr>
              <w:pStyle w:val="TableTextRight"/>
            </w:pPr>
            <w:r>
              <w:t>0.2</w:t>
            </w:r>
          </w:p>
        </w:tc>
        <w:tc>
          <w:tcPr>
            <w:tcW w:w="993" w:type="dxa"/>
            <w:tcBorders>
              <w:top w:val="nil"/>
              <w:left w:val="nil"/>
              <w:bottom w:val="nil"/>
              <w:right w:val="nil"/>
            </w:tcBorders>
            <w:shd w:val="clear" w:color="auto" w:fill="D2EDFF" w:themeFill="accent1" w:themeFillTint="1A"/>
            <w:vAlign w:val="center"/>
          </w:tcPr>
          <w:p w14:paraId="6DB85FDD" w14:textId="77777777" w:rsidR="006C1033" w:rsidRPr="00E20618" w:rsidRDefault="006C1033" w:rsidP="004C567F">
            <w:pPr>
              <w:pStyle w:val="TableTextRight"/>
            </w:pPr>
            <w:r>
              <w:t>-0.1</w:t>
            </w:r>
          </w:p>
        </w:tc>
        <w:tc>
          <w:tcPr>
            <w:tcW w:w="992" w:type="dxa"/>
            <w:tcBorders>
              <w:top w:val="nil"/>
              <w:left w:val="nil"/>
              <w:bottom w:val="nil"/>
              <w:right w:val="nil"/>
            </w:tcBorders>
            <w:vAlign w:val="center"/>
          </w:tcPr>
          <w:p w14:paraId="5542810B" w14:textId="77777777" w:rsidR="006C1033" w:rsidRPr="00E20618" w:rsidRDefault="006C1033" w:rsidP="004C567F">
            <w:pPr>
              <w:pStyle w:val="TableTextRight"/>
            </w:pPr>
            <w:r>
              <w:t>-1.3</w:t>
            </w:r>
          </w:p>
        </w:tc>
        <w:tc>
          <w:tcPr>
            <w:tcW w:w="992" w:type="dxa"/>
            <w:tcBorders>
              <w:top w:val="nil"/>
              <w:left w:val="nil"/>
              <w:bottom w:val="nil"/>
              <w:right w:val="nil"/>
            </w:tcBorders>
            <w:vAlign w:val="center"/>
          </w:tcPr>
          <w:p w14:paraId="735D623A" w14:textId="77777777" w:rsidR="006C1033" w:rsidRPr="00E20618" w:rsidRDefault="006C1033" w:rsidP="004C567F">
            <w:pPr>
              <w:pStyle w:val="TableTextRight"/>
            </w:pPr>
            <w:r>
              <w:t>-2.5</w:t>
            </w:r>
          </w:p>
        </w:tc>
        <w:tc>
          <w:tcPr>
            <w:tcW w:w="999" w:type="dxa"/>
            <w:tcBorders>
              <w:top w:val="nil"/>
              <w:left w:val="nil"/>
              <w:bottom w:val="nil"/>
              <w:right w:val="single" w:sz="4" w:space="0" w:color="auto"/>
            </w:tcBorders>
            <w:vAlign w:val="center"/>
          </w:tcPr>
          <w:p w14:paraId="608E461A" w14:textId="77777777" w:rsidR="006C1033" w:rsidRPr="00E20618" w:rsidRDefault="006C1033" w:rsidP="004C567F">
            <w:pPr>
              <w:pStyle w:val="TableTextRight"/>
            </w:pPr>
            <w:r>
              <w:t>-3.6</w:t>
            </w:r>
          </w:p>
        </w:tc>
        <w:tc>
          <w:tcPr>
            <w:tcW w:w="1127" w:type="dxa"/>
            <w:tcBorders>
              <w:top w:val="nil"/>
              <w:left w:val="single" w:sz="4" w:space="0" w:color="auto"/>
              <w:bottom w:val="nil"/>
              <w:right w:val="nil"/>
            </w:tcBorders>
            <w:vAlign w:val="center"/>
          </w:tcPr>
          <w:p w14:paraId="4D24372D" w14:textId="77777777" w:rsidR="006C1033" w:rsidRPr="00E20618" w:rsidRDefault="006C1033" w:rsidP="004C567F">
            <w:pPr>
              <w:pStyle w:val="TableTextRight"/>
            </w:pPr>
            <w:r>
              <w:t>-3.6</w:t>
            </w:r>
          </w:p>
        </w:tc>
      </w:tr>
      <w:tr w:rsidR="006C1033" w:rsidRPr="00A1737D" w14:paraId="24B71549" w14:textId="77777777">
        <w:tc>
          <w:tcPr>
            <w:tcW w:w="2977" w:type="dxa"/>
          </w:tcPr>
          <w:p w14:paraId="2F7099C2" w14:textId="77777777" w:rsidR="006C1033" w:rsidRPr="00E20618" w:rsidRDefault="006C1033" w:rsidP="004C567F">
            <w:pPr>
              <w:pStyle w:val="TableTextIndented"/>
              <w:rPr>
                <w:b/>
                <w:bCs/>
              </w:rPr>
            </w:pPr>
            <w:r w:rsidRPr="00E20618">
              <w:t>Greater Adelaide</w:t>
            </w:r>
          </w:p>
        </w:tc>
        <w:tc>
          <w:tcPr>
            <w:tcW w:w="992" w:type="dxa"/>
            <w:tcBorders>
              <w:top w:val="nil"/>
              <w:left w:val="nil"/>
              <w:bottom w:val="nil"/>
              <w:right w:val="nil"/>
            </w:tcBorders>
            <w:vAlign w:val="center"/>
          </w:tcPr>
          <w:p w14:paraId="0DC780CC" w14:textId="77777777" w:rsidR="006C1033" w:rsidRPr="00E20618" w:rsidRDefault="006C1033" w:rsidP="004C567F">
            <w:pPr>
              <w:pStyle w:val="TableTextRight"/>
            </w:pPr>
            <w:r>
              <w:t>-0.7</w:t>
            </w:r>
          </w:p>
        </w:tc>
        <w:tc>
          <w:tcPr>
            <w:tcW w:w="993" w:type="dxa"/>
            <w:tcBorders>
              <w:top w:val="nil"/>
              <w:left w:val="nil"/>
              <w:bottom w:val="nil"/>
              <w:right w:val="nil"/>
            </w:tcBorders>
            <w:shd w:val="clear" w:color="auto" w:fill="D2EDFF" w:themeFill="accent1" w:themeFillTint="1A"/>
            <w:vAlign w:val="center"/>
          </w:tcPr>
          <w:p w14:paraId="39A4BE81" w14:textId="77777777" w:rsidR="006C1033" w:rsidRPr="00E20618" w:rsidRDefault="006C1033" w:rsidP="004C567F">
            <w:pPr>
              <w:pStyle w:val="TableTextRight"/>
            </w:pPr>
            <w:r>
              <w:t>-1.7</w:t>
            </w:r>
          </w:p>
        </w:tc>
        <w:tc>
          <w:tcPr>
            <w:tcW w:w="992" w:type="dxa"/>
            <w:tcBorders>
              <w:top w:val="nil"/>
              <w:left w:val="nil"/>
              <w:bottom w:val="nil"/>
              <w:right w:val="nil"/>
            </w:tcBorders>
            <w:vAlign w:val="center"/>
          </w:tcPr>
          <w:p w14:paraId="002D3964" w14:textId="77777777" w:rsidR="006C1033" w:rsidRPr="00E20618" w:rsidRDefault="006C1033" w:rsidP="004C567F">
            <w:pPr>
              <w:pStyle w:val="TableTextRight"/>
            </w:pPr>
            <w:r>
              <w:t>-2.3</w:t>
            </w:r>
          </w:p>
        </w:tc>
        <w:tc>
          <w:tcPr>
            <w:tcW w:w="992" w:type="dxa"/>
            <w:tcBorders>
              <w:top w:val="nil"/>
              <w:left w:val="nil"/>
              <w:bottom w:val="nil"/>
              <w:right w:val="nil"/>
            </w:tcBorders>
            <w:vAlign w:val="center"/>
          </w:tcPr>
          <w:p w14:paraId="61FF56F1" w14:textId="77777777" w:rsidR="006C1033" w:rsidRPr="00E20618" w:rsidRDefault="006C1033" w:rsidP="004C567F">
            <w:pPr>
              <w:pStyle w:val="TableTextRight"/>
            </w:pPr>
            <w:r>
              <w:t>-2.9</w:t>
            </w:r>
          </w:p>
        </w:tc>
        <w:tc>
          <w:tcPr>
            <w:tcW w:w="999" w:type="dxa"/>
            <w:tcBorders>
              <w:top w:val="nil"/>
              <w:left w:val="nil"/>
              <w:bottom w:val="nil"/>
              <w:right w:val="single" w:sz="4" w:space="0" w:color="auto"/>
            </w:tcBorders>
            <w:vAlign w:val="center"/>
          </w:tcPr>
          <w:p w14:paraId="1BB73C70" w14:textId="77777777" w:rsidR="006C1033" w:rsidRPr="00E20618" w:rsidRDefault="006C1033" w:rsidP="004C567F">
            <w:pPr>
              <w:pStyle w:val="TableTextRight"/>
            </w:pPr>
            <w:r>
              <w:t>-3.6</w:t>
            </w:r>
          </w:p>
        </w:tc>
        <w:tc>
          <w:tcPr>
            <w:tcW w:w="1127" w:type="dxa"/>
            <w:tcBorders>
              <w:top w:val="nil"/>
              <w:left w:val="single" w:sz="4" w:space="0" w:color="auto"/>
              <w:bottom w:val="nil"/>
              <w:right w:val="nil"/>
            </w:tcBorders>
            <w:vAlign w:val="center"/>
          </w:tcPr>
          <w:p w14:paraId="5F96513A" w14:textId="77777777" w:rsidR="006C1033" w:rsidRPr="00E20618" w:rsidRDefault="006C1033" w:rsidP="004C567F">
            <w:pPr>
              <w:pStyle w:val="TableTextRight"/>
            </w:pPr>
            <w:r>
              <w:t>-4.2</w:t>
            </w:r>
          </w:p>
        </w:tc>
      </w:tr>
      <w:tr w:rsidR="006C1033" w:rsidRPr="00A1737D" w14:paraId="1B8A26B6" w14:textId="77777777">
        <w:tc>
          <w:tcPr>
            <w:tcW w:w="2977" w:type="dxa"/>
            <w:tcBorders>
              <w:bottom w:val="single" w:sz="4" w:space="0" w:color="auto"/>
            </w:tcBorders>
          </w:tcPr>
          <w:p w14:paraId="1EB8449F" w14:textId="77777777" w:rsidR="006C1033" w:rsidRPr="00E20618" w:rsidRDefault="006C1033" w:rsidP="004C567F">
            <w:pPr>
              <w:pStyle w:val="TableTextIndented"/>
              <w:rPr>
                <w:b/>
                <w:bCs/>
              </w:rPr>
            </w:pPr>
            <w:r w:rsidRPr="00E20618">
              <w:t>Rest of South Australia</w:t>
            </w:r>
          </w:p>
        </w:tc>
        <w:tc>
          <w:tcPr>
            <w:tcW w:w="992" w:type="dxa"/>
            <w:tcBorders>
              <w:top w:val="nil"/>
              <w:left w:val="nil"/>
              <w:bottom w:val="single" w:sz="4" w:space="0" w:color="auto"/>
              <w:right w:val="nil"/>
            </w:tcBorders>
            <w:vAlign w:val="center"/>
          </w:tcPr>
          <w:p w14:paraId="1E2D5CF5" w14:textId="77777777" w:rsidR="006C1033" w:rsidRPr="00E20618" w:rsidRDefault="006C1033" w:rsidP="004C567F">
            <w:pPr>
              <w:pStyle w:val="TableTextRight"/>
            </w:pPr>
            <w:r>
              <w:t>1.0</w:t>
            </w:r>
          </w:p>
        </w:tc>
        <w:tc>
          <w:tcPr>
            <w:tcW w:w="993" w:type="dxa"/>
            <w:tcBorders>
              <w:top w:val="nil"/>
              <w:left w:val="nil"/>
              <w:bottom w:val="single" w:sz="4" w:space="0" w:color="auto"/>
              <w:right w:val="nil"/>
            </w:tcBorders>
            <w:shd w:val="clear" w:color="auto" w:fill="D2EDFF" w:themeFill="accent1" w:themeFillTint="1A"/>
            <w:vAlign w:val="center"/>
          </w:tcPr>
          <w:p w14:paraId="4D53EAA3" w14:textId="77777777" w:rsidR="006C1033" w:rsidRPr="00E20618" w:rsidRDefault="006C1033" w:rsidP="004C567F">
            <w:pPr>
              <w:pStyle w:val="TableTextRight"/>
            </w:pPr>
            <w:r>
              <w:t>1.6</w:t>
            </w:r>
          </w:p>
        </w:tc>
        <w:tc>
          <w:tcPr>
            <w:tcW w:w="992" w:type="dxa"/>
            <w:tcBorders>
              <w:top w:val="nil"/>
              <w:left w:val="nil"/>
              <w:bottom w:val="single" w:sz="4" w:space="0" w:color="auto"/>
              <w:right w:val="nil"/>
            </w:tcBorders>
            <w:vAlign w:val="center"/>
          </w:tcPr>
          <w:p w14:paraId="275D3B92" w14:textId="77777777" w:rsidR="006C1033" w:rsidRPr="00E20618" w:rsidRDefault="006C1033" w:rsidP="004C567F">
            <w:pPr>
              <w:pStyle w:val="TableTextRight"/>
            </w:pPr>
            <w:r>
              <w:t>1.0</w:t>
            </w:r>
          </w:p>
        </w:tc>
        <w:tc>
          <w:tcPr>
            <w:tcW w:w="992" w:type="dxa"/>
            <w:tcBorders>
              <w:top w:val="nil"/>
              <w:left w:val="nil"/>
              <w:bottom w:val="single" w:sz="4" w:space="0" w:color="auto"/>
              <w:right w:val="nil"/>
            </w:tcBorders>
            <w:vAlign w:val="center"/>
          </w:tcPr>
          <w:p w14:paraId="3EC30709" w14:textId="77777777" w:rsidR="006C1033" w:rsidRPr="00E20618" w:rsidRDefault="006C1033" w:rsidP="004C567F">
            <w:pPr>
              <w:pStyle w:val="TableTextRight"/>
            </w:pPr>
            <w:r>
              <w:t>0.5</w:t>
            </w:r>
          </w:p>
        </w:tc>
        <w:tc>
          <w:tcPr>
            <w:tcW w:w="999" w:type="dxa"/>
            <w:tcBorders>
              <w:top w:val="nil"/>
              <w:left w:val="nil"/>
              <w:bottom w:val="single" w:sz="4" w:space="0" w:color="auto"/>
              <w:right w:val="single" w:sz="4" w:space="0" w:color="auto"/>
            </w:tcBorders>
            <w:vAlign w:val="center"/>
          </w:tcPr>
          <w:p w14:paraId="5AF1CA8C" w14:textId="77777777" w:rsidR="006C1033" w:rsidRPr="00E20618" w:rsidRDefault="006C1033" w:rsidP="004C567F">
            <w:pPr>
              <w:pStyle w:val="TableTextRight"/>
            </w:pPr>
            <w:r>
              <w:t>-0.1</w:t>
            </w:r>
          </w:p>
        </w:tc>
        <w:tc>
          <w:tcPr>
            <w:tcW w:w="1127" w:type="dxa"/>
            <w:tcBorders>
              <w:top w:val="nil"/>
              <w:left w:val="single" w:sz="4" w:space="0" w:color="auto"/>
              <w:bottom w:val="single" w:sz="4" w:space="0" w:color="auto"/>
              <w:right w:val="nil"/>
            </w:tcBorders>
            <w:vAlign w:val="center"/>
          </w:tcPr>
          <w:p w14:paraId="08F43461" w14:textId="77777777" w:rsidR="006C1033" w:rsidRPr="00E20618" w:rsidRDefault="006C1033" w:rsidP="004C567F">
            <w:pPr>
              <w:pStyle w:val="TableTextRight"/>
            </w:pPr>
            <w:r>
              <w:t>0.6</w:t>
            </w:r>
          </w:p>
        </w:tc>
      </w:tr>
      <w:tr w:rsidR="006C1033" w:rsidRPr="00A1737D" w14:paraId="712A8F56" w14:textId="77777777">
        <w:tc>
          <w:tcPr>
            <w:tcW w:w="2977" w:type="dxa"/>
            <w:tcBorders>
              <w:top w:val="single" w:sz="4" w:space="0" w:color="auto"/>
              <w:bottom w:val="nil"/>
            </w:tcBorders>
          </w:tcPr>
          <w:p w14:paraId="1DFBD3CF" w14:textId="77777777" w:rsidR="006C1033" w:rsidRPr="00E20618" w:rsidRDefault="006C1033" w:rsidP="004C567F">
            <w:pPr>
              <w:pStyle w:val="TableColumnHeadingLeft"/>
            </w:pPr>
            <w:r w:rsidRPr="00E20618">
              <w:t>Median age (years)</w:t>
            </w:r>
          </w:p>
        </w:tc>
        <w:tc>
          <w:tcPr>
            <w:tcW w:w="992" w:type="dxa"/>
            <w:tcBorders>
              <w:top w:val="single" w:sz="4" w:space="0" w:color="auto"/>
              <w:left w:val="nil"/>
              <w:bottom w:val="nil"/>
              <w:right w:val="nil"/>
            </w:tcBorders>
            <w:vAlign w:val="center"/>
          </w:tcPr>
          <w:p w14:paraId="60F96ECF" w14:textId="77777777" w:rsidR="006C1033" w:rsidRPr="00E20618" w:rsidRDefault="006C1033" w:rsidP="004C567F">
            <w:pPr>
              <w:pStyle w:val="TableTextRight"/>
            </w:pPr>
          </w:p>
        </w:tc>
        <w:tc>
          <w:tcPr>
            <w:tcW w:w="993" w:type="dxa"/>
            <w:tcBorders>
              <w:top w:val="single" w:sz="4" w:space="0" w:color="auto"/>
              <w:left w:val="nil"/>
              <w:bottom w:val="nil"/>
              <w:right w:val="nil"/>
            </w:tcBorders>
            <w:shd w:val="clear" w:color="auto" w:fill="D2EDFF" w:themeFill="accent1" w:themeFillTint="1A"/>
            <w:vAlign w:val="center"/>
          </w:tcPr>
          <w:p w14:paraId="5C1CE765" w14:textId="77777777" w:rsidR="006C1033" w:rsidRPr="00E20618" w:rsidRDefault="006C1033" w:rsidP="004C567F">
            <w:pPr>
              <w:pStyle w:val="TableTextRight"/>
            </w:pPr>
            <w:r>
              <w:t> </w:t>
            </w:r>
          </w:p>
        </w:tc>
        <w:tc>
          <w:tcPr>
            <w:tcW w:w="992" w:type="dxa"/>
            <w:tcBorders>
              <w:top w:val="single" w:sz="4" w:space="0" w:color="auto"/>
              <w:left w:val="nil"/>
              <w:bottom w:val="nil"/>
              <w:right w:val="nil"/>
            </w:tcBorders>
            <w:vAlign w:val="center"/>
          </w:tcPr>
          <w:p w14:paraId="5BE5F29E" w14:textId="77777777" w:rsidR="006C1033" w:rsidRPr="00E20618" w:rsidRDefault="006C1033" w:rsidP="004C567F">
            <w:pPr>
              <w:pStyle w:val="TableTextRight"/>
            </w:pPr>
          </w:p>
        </w:tc>
        <w:tc>
          <w:tcPr>
            <w:tcW w:w="992" w:type="dxa"/>
            <w:tcBorders>
              <w:top w:val="single" w:sz="4" w:space="0" w:color="auto"/>
              <w:left w:val="nil"/>
              <w:bottom w:val="nil"/>
              <w:right w:val="nil"/>
            </w:tcBorders>
            <w:vAlign w:val="center"/>
          </w:tcPr>
          <w:p w14:paraId="1F998AF1" w14:textId="77777777" w:rsidR="006C1033" w:rsidRPr="00E20618" w:rsidRDefault="006C1033" w:rsidP="004C567F">
            <w:pPr>
              <w:pStyle w:val="TableTextRight"/>
            </w:pPr>
          </w:p>
        </w:tc>
        <w:tc>
          <w:tcPr>
            <w:tcW w:w="999" w:type="dxa"/>
            <w:tcBorders>
              <w:top w:val="single" w:sz="4" w:space="0" w:color="auto"/>
              <w:left w:val="nil"/>
              <w:bottom w:val="nil"/>
              <w:right w:val="single" w:sz="4" w:space="0" w:color="auto"/>
            </w:tcBorders>
            <w:vAlign w:val="center"/>
          </w:tcPr>
          <w:p w14:paraId="6073F679" w14:textId="77777777" w:rsidR="006C1033" w:rsidRPr="00E20618" w:rsidRDefault="006C1033" w:rsidP="004C567F">
            <w:pPr>
              <w:pStyle w:val="TableTextRight"/>
            </w:pPr>
            <w:r>
              <w:t> </w:t>
            </w:r>
          </w:p>
        </w:tc>
        <w:tc>
          <w:tcPr>
            <w:tcW w:w="1127" w:type="dxa"/>
            <w:tcBorders>
              <w:top w:val="single" w:sz="4" w:space="0" w:color="auto"/>
              <w:left w:val="single" w:sz="4" w:space="0" w:color="auto"/>
              <w:bottom w:val="nil"/>
              <w:right w:val="nil"/>
            </w:tcBorders>
            <w:vAlign w:val="center"/>
          </w:tcPr>
          <w:p w14:paraId="5BC35F44" w14:textId="77777777" w:rsidR="006C1033" w:rsidRPr="00E20618" w:rsidRDefault="006C1033" w:rsidP="004C567F">
            <w:pPr>
              <w:pStyle w:val="TableTextRight"/>
            </w:pPr>
          </w:p>
        </w:tc>
      </w:tr>
      <w:tr w:rsidR="006C1033" w:rsidRPr="00AD648F" w14:paraId="4A6D1C4C" w14:textId="77777777">
        <w:tc>
          <w:tcPr>
            <w:tcW w:w="2977" w:type="dxa"/>
            <w:tcBorders>
              <w:bottom w:val="nil"/>
            </w:tcBorders>
          </w:tcPr>
          <w:p w14:paraId="08C9DC11" w14:textId="77777777" w:rsidR="006C1033" w:rsidRPr="00AD648F" w:rsidRDefault="006C1033" w:rsidP="004C567F">
            <w:pPr>
              <w:pStyle w:val="TableTextLeft"/>
            </w:pPr>
            <w:r w:rsidRPr="00E20618">
              <w:t>South Australia</w:t>
            </w:r>
          </w:p>
        </w:tc>
        <w:tc>
          <w:tcPr>
            <w:tcW w:w="992" w:type="dxa"/>
            <w:tcBorders>
              <w:top w:val="nil"/>
              <w:left w:val="nil"/>
              <w:bottom w:val="nil"/>
              <w:right w:val="nil"/>
            </w:tcBorders>
            <w:vAlign w:val="center"/>
          </w:tcPr>
          <w:p w14:paraId="430C3B89" w14:textId="42A944FF" w:rsidR="006C1033" w:rsidRPr="0075199D" w:rsidRDefault="0048289C" w:rsidP="004C567F">
            <w:pPr>
              <w:pStyle w:val="TableTextRight"/>
            </w:pPr>
            <w:r>
              <w:t>39.7</w:t>
            </w:r>
          </w:p>
        </w:tc>
        <w:tc>
          <w:tcPr>
            <w:tcW w:w="993" w:type="dxa"/>
            <w:tcBorders>
              <w:top w:val="nil"/>
              <w:left w:val="nil"/>
              <w:bottom w:val="nil"/>
              <w:right w:val="nil"/>
            </w:tcBorders>
            <w:shd w:val="clear" w:color="auto" w:fill="D2EDFF" w:themeFill="accent1" w:themeFillTint="1A"/>
            <w:vAlign w:val="center"/>
          </w:tcPr>
          <w:p w14:paraId="4754DBEC" w14:textId="1CB01C47" w:rsidR="006C1033" w:rsidRPr="0075199D" w:rsidRDefault="00D547EB" w:rsidP="004C567F">
            <w:pPr>
              <w:pStyle w:val="TableTextRight"/>
            </w:pPr>
            <w:r>
              <w:t>39.6</w:t>
            </w:r>
          </w:p>
        </w:tc>
        <w:tc>
          <w:tcPr>
            <w:tcW w:w="992" w:type="dxa"/>
            <w:tcBorders>
              <w:top w:val="nil"/>
              <w:left w:val="nil"/>
              <w:bottom w:val="nil"/>
              <w:right w:val="nil"/>
            </w:tcBorders>
            <w:vAlign w:val="center"/>
          </w:tcPr>
          <w:p w14:paraId="1D85CED1" w14:textId="2B398DC3" w:rsidR="006C1033" w:rsidRPr="0075199D" w:rsidRDefault="00D547EB" w:rsidP="004C567F">
            <w:pPr>
              <w:pStyle w:val="TableTextRight"/>
            </w:pPr>
            <w:r>
              <w:t>39.6</w:t>
            </w:r>
          </w:p>
        </w:tc>
        <w:tc>
          <w:tcPr>
            <w:tcW w:w="992" w:type="dxa"/>
            <w:tcBorders>
              <w:top w:val="nil"/>
              <w:left w:val="nil"/>
              <w:bottom w:val="nil"/>
              <w:right w:val="nil"/>
            </w:tcBorders>
            <w:vAlign w:val="center"/>
          </w:tcPr>
          <w:p w14:paraId="315BF8D9" w14:textId="5A002DA2" w:rsidR="006C1033" w:rsidRPr="0075199D" w:rsidRDefault="00D547EB" w:rsidP="004C567F">
            <w:pPr>
              <w:pStyle w:val="TableTextRight"/>
            </w:pPr>
            <w:r>
              <w:t>39.7</w:t>
            </w:r>
          </w:p>
        </w:tc>
        <w:tc>
          <w:tcPr>
            <w:tcW w:w="999" w:type="dxa"/>
            <w:tcBorders>
              <w:top w:val="nil"/>
              <w:left w:val="nil"/>
              <w:bottom w:val="nil"/>
              <w:right w:val="single" w:sz="4" w:space="0" w:color="auto"/>
            </w:tcBorders>
            <w:vAlign w:val="center"/>
          </w:tcPr>
          <w:p w14:paraId="30667D44" w14:textId="53E377BE" w:rsidR="006C1033" w:rsidRPr="0075199D" w:rsidRDefault="00D547EB" w:rsidP="004C567F">
            <w:pPr>
              <w:pStyle w:val="TableTextRight"/>
            </w:pPr>
            <w:r>
              <w:t>39.9</w:t>
            </w:r>
          </w:p>
        </w:tc>
        <w:tc>
          <w:tcPr>
            <w:tcW w:w="1127" w:type="dxa"/>
            <w:tcBorders>
              <w:top w:val="nil"/>
              <w:left w:val="single" w:sz="4" w:space="0" w:color="auto"/>
              <w:bottom w:val="nil"/>
              <w:right w:val="nil"/>
            </w:tcBorders>
            <w:vAlign w:val="center"/>
          </w:tcPr>
          <w:p w14:paraId="66E06AC6" w14:textId="2C13D4E3" w:rsidR="006C1033" w:rsidRPr="0075199D" w:rsidRDefault="00D547EB" w:rsidP="004C567F">
            <w:pPr>
              <w:pStyle w:val="TableTextRight"/>
            </w:pPr>
            <w:r>
              <w:t>41.0</w:t>
            </w:r>
          </w:p>
        </w:tc>
      </w:tr>
      <w:tr w:rsidR="006C1033" w:rsidRPr="00AD648F" w14:paraId="6A5782A9" w14:textId="77777777">
        <w:tc>
          <w:tcPr>
            <w:tcW w:w="2977" w:type="dxa"/>
            <w:tcBorders>
              <w:bottom w:val="nil"/>
            </w:tcBorders>
          </w:tcPr>
          <w:p w14:paraId="56E37ECD" w14:textId="77777777" w:rsidR="006C1033" w:rsidRPr="0075199D" w:rsidRDefault="006C1033" w:rsidP="004C567F">
            <w:pPr>
              <w:pStyle w:val="TableTextIndented"/>
            </w:pPr>
            <w:r w:rsidRPr="0075199D">
              <w:t>Greater Adelaide</w:t>
            </w:r>
          </w:p>
        </w:tc>
        <w:tc>
          <w:tcPr>
            <w:tcW w:w="992" w:type="dxa"/>
            <w:tcBorders>
              <w:top w:val="nil"/>
              <w:left w:val="nil"/>
              <w:bottom w:val="nil"/>
              <w:right w:val="nil"/>
            </w:tcBorders>
            <w:vAlign w:val="center"/>
          </w:tcPr>
          <w:p w14:paraId="70846D97" w14:textId="312F04B1" w:rsidR="006C1033" w:rsidRPr="0075199D" w:rsidRDefault="0048289C" w:rsidP="004C567F">
            <w:pPr>
              <w:pStyle w:val="TableTextRight"/>
            </w:pPr>
            <w:r>
              <w:t>38.4</w:t>
            </w:r>
          </w:p>
        </w:tc>
        <w:tc>
          <w:tcPr>
            <w:tcW w:w="993" w:type="dxa"/>
            <w:tcBorders>
              <w:top w:val="nil"/>
              <w:left w:val="nil"/>
              <w:bottom w:val="nil"/>
              <w:right w:val="nil"/>
            </w:tcBorders>
            <w:shd w:val="clear" w:color="auto" w:fill="D2EDFF" w:themeFill="accent1" w:themeFillTint="1A"/>
            <w:vAlign w:val="center"/>
          </w:tcPr>
          <w:p w14:paraId="236D2202" w14:textId="73D3BEC8" w:rsidR="006C1033" w:rsidRPr="0075199D" w:rsidRDefault="00D547EB" w:rsidP="004C567F">
            <w:pPr>
              <w:pStyle w:val="TableTextRight"/>
            </w:pPr>
            <w:r>
              <w:t>38.3</w:t>
            </w:r>
          </w:p>
        </w:tc>
        <w:tc>
          <w:tcPr>
            <w:tcW w:w="992" w:type="dxa"/>
            <w:tcBorders>
              <w:top w:val="nil"/>
              <w:left w:val="nil"/>
              <w:bottom w:val="nil"/>
              <w:right w:val="nil"/>
            </w:tcBorders>
            <w:vAlign w:val="center"/>
          </w:tcPr>
          <w:p w14:paraId="2CBE6CC9" w14:textId="1D4AFF9C" w:rsidR="006C1033" w:rsidRPr="0075199D" w:rsidRDefault="00D547EB" w:rsidP="004C567F">
            <w:pPr>
              <w:pStyle w:val="TableTextRight"/>
            </w:pPr>
            <w:r>
              <w:t>38.2</w:t>
            </w:r>
          </w:p>
        </w:tc>
        <w:tc>
          <w:tcPr>
            <w:tcW w:w="992" w:type="dxa"/>
            <w:tcBorders>
              <w:top w:val="nil"/>
              <w:left w:val="nil"/>
              <w:bottom w:val="nil"/>
              <w:right w:val="nil"/>
            </w:tcBorders>
            <w:vAlign w:val="center"/>
          </w:tcPr>
          <w:p w14:paraId="20602E7E" w14:textId="613CCE60" w:rsidR="006C1033" w:rsidRPr="0075199D" w:rsidRDefault="00D547EB" w:rsidP="004C567F">
            <w:pPr>
              <w:pStyle w:val="TableTextRight"/>
            </w:pPr>
            <w:r>
              <w:t>38.4</w:t>
            </w:r>
          </w:p>
        </w:tc>
        <w:tc>
          <w:tcPr>
            <w:tcW w:w="999" w:type="dxa"/>
            <w:tcBorders>
              <w:top w:val="nil"/>
              <w:left w:val="nil"/>
              <w:bottom w:val="nil"/>
              <w:right w:val="single" w:sz="4" w:space="0" w:color="auto"/>
            </w:tcBorders>
            <w:vAlign w:val="center"/>
          </w:tcPr>
          <w:p w14:paraId="24E45897" w14:textId="74C61662" w:rsidR="006C1033" w:rsidRPr="0075199D" w:rsidRDefault="00D547EB" w:rsidP="004C567F">
            <w:pPr>
              <w:pStyle w:val="TableTextRight"/>
            </w:pPr>
            <w:r>
              <w:t>38.5</w:t>
            </w:r>
          </w:p>
        </w:tc>
        <w:tc>
          <w:tcPr>
            <w:tcW w:w="1127" w:type="dxa"/>
            <w:tcBorders>
              <w:top w:val="nil"/>
              <w:left w:val="single" w:sz="4" w:space="0" w:color="auto"/>
              <w:bottom w:val="nil"/>
              <w:right w:val="nil"/>
            </w:tcBorders>
            <w:vAlign w:val="center"/>
          </w:tcPr>
          <w:p w14:paraId="672750E6" w14:textId="6ACADD6B" w:rsidR="006C1033" w:rsidRPr="0075199D" w:rsidRDefault="00D547EB" w:rsidP="004C567F">
            <w:pPr>
              <w:pStyle w:val="TableTextRight"/>
            </w:pPr>
            <w:r>
              <w:t>39.4</w:t>
            </w:r>
          </w:p>
        </w:tc>
      </w:tr>
      <w:tr w:rsidR="006C1033" w:rsidRPr="00AD648F" w14:paraId="3DF49EF6" w14:textId="77777777">
        <w:tc>
          <w:tcPr>
            <w:tcW w:w="2977" w:type="dxa"/>
            <w:tcBorders>
              <w:bottom w:val="single" w:sz="4" w:space="0" w:color="auto"/>
            </w:tcBorders>
          </w:tcPr>
          <w:p w14:paraId="3A3C77F1" w14:textId="77777777" w:rsidR="006C1033" w:rsidRPr="0075199D" w:rsidRDefault="006C1033" w:rsidP="004C567F">
            <w:pPr>
              <w:pStyle w:val="TableTextIndented"/>
            </w:pPr>
            <w:r w:rsidRPr="0075199D">
              <w:t>Rest of South Australia</w:t>
            </w:r>
          </w:p>
        </w:tc>
        <w:tc>
          <w:tcPr>
            <w:tcW w:w="992" w:type="dxa"/>
            <w:tcBorders>
              <w:top w:val="nil"/>
              <w:left w:val="nil"/>
              <w:bottom w:val="single" w:sz="4" w:space="0" w:color="auto"/>
              <w:right w:val="nil"/>
            </w:tcBorders>
            <w:vAlign w:val="center"/>
          </w:tcPr>
          <w:p w14:paraId="3CD23DA1" w14:textId="662D9E46" w:rsidR="006C1033" w:rsidRPr="0075199D" w:rsidRDefault="0048289C" w:rsidP="004C567F">
            <w:pPr>
              <w:pStyle w:val="TableTextRight"/>
            </w:pPr>
            <w:r>
              <w:t>45.8</w:t>
            </w:r>
          </w:p>
        </w:tc>
        <w:tc>
          <w:tcPr>
            <w:tcW w:w="993" w:type="dxa"/>
            <w:tcBorders>
              <w:top w:val="nil"/>
              <w:left w:val="nil"/>
              <w:bottom w:val="single" w:sz="4" w:space="0" w:color="auto"/>
              <w:right w:val="nil"/>
            </w:tcBorders>
            <w:shd w:val="clear" w:color="auto" w:fill="D2EDFF" w:themeFill="accent1" w:themeFillTint="1A"/>
            <w:vAlign w:val="center"/>
          </w:tcPr>
          <w:p w14:paraId="68932499" w14:textId="7F1DCB0D" w:rsidR="006C1033" w:rsidRPr="0075199D" w:rsidRDefault="00D547EB" w:rsidP="004C567F">
            <w:pPr>
              <w:pStyle w:val="TableTextRight"/>
            </w:pPr>
            <w:r>
              <w:t>45.9</w:t>
            </w:r>
          </w:p>
        </w:tc>
        <w:tc>
          <w:tcPr>
            <w:tcW w:w="992" w:type="dxa"/>
            <w:tcBorders>
              <w:top w:val="nil"/>
              <w:left w:val="nil"/>
              <w:bottom w:val="single" w:sz="4" w:space="0" w:color="auto"/>
              <w:right w:val="nil"/>
            </w:tcBorders>
            <w:vAlign w:val="center"/>
          </w:tcPr>
          <w:p w14:paraId="6FEFFCFC" w14:textId="3503B9F1" w:rsidR="006C1033" w:rsidRPr="0075199D" w:rsidRDefault="00D547EB" w:rsidP="004C567F">
            <w:pPr>
              <w:pStyle w:val="TableTextRight"/>
            </w:pPr>
            <w:r>
              <w:t>46.0</w:t>
            </w:r>
          </w:p>
        </w:tc>
        <w:tc>
          <w:tcPr>
            <w:tcW w:w="992" w:type="dxa"/>
            <w:tcBorders>
              <w:top w:val="nil"/>
              <w:left w:val="nil"/>
              <w:bottom w:val="single" w:sz="4" w:space="0" w:color="auto"/>
              <w:right w:val="nil"/>
            </w:tcBorders>
            <w:vAlign w:val="center"/>
          </w:tcPr>
          <w:p w14:paraId="64C955F7" w14:textId="6B013514" w:rsidR="006C1033" w:rsidRPr="0075199D" w:rsidRDefault="00D547EB" w:rsidP="004C567F">
            <w:pPr>
              <w:pStyle w:val="TableTextRight"/>
            </w:pPr>
            <w:r>
              <w:t>46.2</w:t>
            </w:r>
          </w:p>
        </w:tc>
        <w:tc>
          <w:tcPr>
            <w:tcW w:w="999" w:type="dxa"/>
            <w:tcBorders>
              <w:top w:val="nil"/>
              <w:left w:val="nil"/>
              <w:bottom w:val="single" w:sz="4" w:space="0" w:color="auto"/>
              <w:right w:val="single" w:sz="4" w:space="0" w:color="auto"/>
            </w:tcBorders>
            <w:vAlign w:val="center"/>
          </w:tcPr>
          <w:p w14:paraId="1AF3DFD7" w14:textId="285E3B00" w:rsidR="006C1033" w:rsidRPr="0075199D" w:rsidRDefault="00D547EB" w:rsidP="004C567F">
            <w:pPr>
              <w:pStyle w:val="TableTextRight"/>
            </w:pPr>
            <w:r>
              <w:t>46.5</w:t>
            </w:r>
          </w:p>
        </w:tc>
        <w:tc>
          <w:tcPr>
            <w:tcW w:w="1127" w:type="dxa"/>
            <w:tcBorders>
              <w:top w:val="nil"/>
              <w:left w:val="single" w:sz="4" w:space="0" w:color="auto"/>
              <w:bottom w:val="single" w:sz="4" w:space="0" w:color="auto"/>
              <w:right w:val="nil"/>
            </w:tcBorders>
            <w:vAlign w:val="center"/>
          </w:tcPr>
          <w:p w14:paraId="18DEFF4B" w14:textId="1D9E91AB" w:rsidR="006C1033" w:rsidRPr="0075199D" w:rsidRDefault="00D547EB" w:rsidP="004C567F">
            <w:pPr>
              <w:pStyle w:val="TableTextRight"/>
            </w:pPr>
            <w:r>
              <w:t>48.5</w:t>
            </w:r>
          </w:p>
        </w:tc>
      </w:tr>
    </w:tbl>
    <w:p w14:paraId="624AB893" w14:textId="1EB9C4DE" w:rsidR="00C41673" w:rsidRPr="00926A5E" w:rsidRDefault="00C41673" w:rsidP="00C14BAE">
      <w:pPr>
        <w:pStyle w:val="Source"/>
      </w:pPr>
      <w:r w:rsidRPr="00926A5E">
        <w:t xml:space="preserve">Source: </w:t>
      </w:r>
      <w:r>
        <w:tab/>
      </w:r>
      <w:r w:rsidRPr="00926A5E">
        <w:t>ABS, National, state and territory population, March 2023</w:t>
      </w:r>
      <w:r w:rsidR="00D52E32">
        <w:t>,</w:t>
      </w:r>
      <w:r w:rsidRPr="00926A5E">
        <w:t xml:space="preserve"> ABS, Regional population 2021–22</w:t>
      </w:r>
      <w:r w:rsidR="00D52E32">
        <w:t>,</w:t>
      </w:r>
      <w:r w:rsidR="00AD648F">
        <w:t xml:space="preserve"> </w:t>
      </w:r>
      <w:r w:rsidRPr="00926A5E">
        <w:t>and Centre for Population projections.</w:t>
      </w:r>
    </w:p>
    <w:p w14:paraId="0369CF27" w14:textId="0D3CCD42" w:rsidR="00E47BB8" w:rsidRDefault="00E47BB8" w:rsidP="00006198">
      <w:pPr>
        <w:pStyle w:val="SingleParagraph"/>
      </w:pPr>
    </w:p>
    <w:p w14:paraId="709B1864" w14:textId="13FFEB64" w:rsidR="00E47BB8" w:rsidRDefault="00472C9A" w:rsidP="00006198">
      <w:pPr>
        <w:pStyle w:val="Heading2Numbered"/>
      </w:pPr>
      <w:bookmarkStart w:id="150" w:name="_Toc149846512"/>
      <w:bookmarkStart w:id="151" w:name="_Toc149846553"/>
      <w:bookmarkStart w:id="152" w:name="_Toc149846651"/>
      <w:bookmarkStart w:id="153" w:name="_Toc149847594"/>
      <w:bookmarkStart w:id="154" w:name="_Toc151994727"/>
      <w:bookmarkStart w:id="155" w:name="_Toc154050216"/>
      <w:r>
        <w:lastRenderedPageBreak/>
        <w:t>Western Australia</w:t>
      </w:r>
      <w:bookmarkEnd w:id="150"/>
      <w:bookmarkEnd w:id="151"/>
      <w:bookmarkEnd w:id="152"/>
      <w:bookmarkEnd w:id="153"/>
      <w:bookmarkEnd w:id="154"/>
      <w:bookmarkEnd w:id="155"/>
    </w:p>
    <w:p w14:paraId="725E647F" w14:textId="52F51918" w:rsidR="005B3279" w:rsidRDefault="005B3279" w:rsidP="00F43500">
      <w:pPr>
        <w:keepLines/>
      </w:pPr>
      <w:r>
        <w:t>Western Australia</w:t>
      </w:r>
      <w:r w:rsidR="004B14AB">
        <w:t>’</w:t>
      </w:r>
      <w:r>
        <w:t xml:space="preserve">s population was </w:t>
      </w:r>
      <w:r w:rsidR="00EA27B9">
        <w:t>2</w:t>
      </w:r>
      <w:r>
        <w:t xml:space="preserve">.8 million on 30 June 2022 and is projected to reach </w:t>
      </w:r>
      <w:r w:rsidR="00864268">
        <w:t>3.4</w:t>
      </w:r>
      <w:r>
        <w:t xml:space="preserve"> million by </w:t>
      </w:r>
      <w:r w:rsidR="00697156">
        <w:br/>
      </w:r>
      <w:r>
        <w:t xml:space="preserve">2033–34. </w:t>
      </w:r>
      <w:r w:rsidR="00C8244B">
        <w:t>Western Australia is forecast to be the fastest growing state or territory in 2022</w:t>
      </w:r>
      <w:r w:rsidR="00E54F9C" w:rsidDel="00EA63CC">
        <w:t>–</w:t>
      </w:r>
      <w:r w:rsidR="00C8244B">
        <w:t>23 with growth of</w:t>
      </w:r>
      <w:r>
        <w:t xml:space="preserve"> </w:t>
      </w:r>
      <w:r w:rsidR="00C93A8A">
        <w:t>3.0</w:t>
      </w:r>
      <w:r w:rsidR="001F3B6F">
        <w:t> per cent</w:t>
      </w:r>
      <w:r w:rsidR="001811EA">
        <w:t xml:space="preserve">. </w:t>
      </w:r>
      <w:r w:rsidR="00A95EE2">
        <w:rPr>
          <w:rStyle w:val="cf01"/>
        </w:rPr>
        <w:t>This is driven by elevated net overseas migration, with student migrant arrivals expected to be more than double pre-pandemic levels</w:t>
      </w:r>
      <w:r w:rsidR="00BD0BA5">
        <w:t>.</w:t>
      </w:r>
      <w:r>
        <w:t xml:space="preserve"> </w:t>
      </w:r>
      <w:r w:rsidR="00691DB1">
        <w:t xml:space="preserve">Western Australia has also recorded </w:t>
      </w:r>
      <w:r w:rsidR="00BF7E72">
        <w:t xml:space="preserve">positive net interstate migration over the </w:t>
      </w:r>
      <w:r w:rsidR="001811EA">
        <w:t>p</w:t>
      </w:r>
      <w:r w:rsidR="00BF7E72">
        <w:t xml:space="preserve">ast </w:t>
      </w:r>
      <w:r w:rsidR="004B7CAE">
        <w:t>3</w:t>
      </w:r>
      <w:r w:rsidR="00377429">
        <w:t> year</w:t>
      </w:r>
      <w:r w:rsidR="00BF7E72">
        <w:t>s</w:t>
      </w:r>
      <w:r w:rsidR="009E2398">
        <w:t xml:space="preserve"> after recording net </w:t>
      </w:r>
      <w:r w:rsidR="00E514DE">
        <w:t xml:space="preserve">departures </w:t>
      </w:r>
      <w:r w:rsidR="009E2398">
        <w:t>over 2013</w:t>
      </w:r>
      <w:r w:rsidR="00E54F9C" w:rsidDel="00EA63CC">
        <w:t>–</w:t>
      </w:r>
      <w:r w:rsidR="009E2398">
        <w:t xml:space="preserve">14 to </w:t>
      </w:r>
      <w:r w:rsidR="006F301F">
        <w:t>2018</w:t>
      </w:r>
      <w:r w:rsidR="00E54F9C" w:rsidDel="00EA63CC">
        <w:t>–</w:t>
      </w:r>
      <w:r w:rsidR="006F301F">
        <w:t xml:space="preserve">19. </w:t>
      </w:r>
      <w:r w:rsidR="002E6736">
        <w:t>Western Australia</w:t>
      </w:r>
      <w:r w:rsidR="001B5C47">
        <w:t xml:space="preserve"> </w:t>
      </w:r>
      <w:r w:rsidR="002E6736">
        <w:t>is projected to</w:t>
      </w:r>
      <w:r w:rsidR="001B5C47">
        <w:t xml:space="preserve"> </w:t>
      </w:r>
      <w:r w:rsidR="00D57327">
        <w:t xml:space="preserve">grow at a </w:t>
      </w:r>
      <w:r w:rsidR="00865F44">
        <w:t xml:space="preserve">rate </w:t>
      </w:r>
      <w:r w:rsidR="00D57327">
        <w:t xml:space="preserve">similar to </w:t>
      </w:r>
      <w:r w:rsidR="008F32D7">
        <w:t>national growth</w:t>
      </w:r>
      <w:r w:rsidR="008C0C4E">
        <w:t xml:space="preserve"> from</w:t>
      </w:r>
      <w:r w:rsidR="00EF27D0">
        <w:t xml:space="preserve"> 2025</w:t>
      </w:r>
      <w:r w:rsidR="00E54F9C" w:rsidDel="00EA63CC">
        <w:t>–</w:t>
      </w:r>
      <w:r w:rsidR="00EF27D0">
        <w:t xml:space="preserve">26, </w:t>
      </w:r>
      <w:r w:rsidR="001B5C47">
        <w:t>a</w:t>
      </w:r>
      <w:r w:rsidR="006F301F">
        <w:t xml:space="preserve">s net overseas and </w:t>
      </w:r>
      <w:r w:rsidR="00912584">
        <w:t>inter</w:t>
      </w:r>
      <w:r w:rsidR="006B682F">
        <w:t>state</w:t>
      </w:r>
      <w:r w:rsidR="00912584">
        <w:t xml:space="preserve"> </w:t>
      </w:r>
      <w:r w:rsidR="006F301F">
        <w:t>migration retur</w:t>
      </w:r>
      <w:r w:rsidR="00912584">
        <w:t>n</w:t>
      </w:r>
      <w:r w:rsidR="006F301F">
        <w:t xml:space="preserve"> to their trend levels</w:t>
      </w:r>
      <w:r>
        <w:t>.</w:t>
      </w:r>
    </w:p>
    <w:p w14:paraId="2A424AF5" w14:textId="0C93EDFC" w:rsidR="005B3279" w:rsidRDefault="005B3279" w:rsidP="00926A5E">
      <w:r>
        <w:t xml:space="preserve">Over the projection period, net overseas migration is forecast to be the primary driver of population growth in </w:t>
      </w:r>
      <w:r w:rsidR="00B33446">
        <w:t>Western</w:t>
      </w:r>
      <w:r>
        <w:t xml:space="preserve"> Australia, contributing</w:t>
      </w:r>
      <w:r w:rsidR="00B33446">
        <w:t xml:space="preserve"> 6</w:t>
      </w:r>
      <w:r>
        <w:t>0</w:t>
      </w:r>
      <w:r w:rsidR="001F3B6F">
        <w:t> per cent</w:t>
      </w:r>
      <w:r>
        <w:t xml:space="preserve"> of the growth between 2022–23 and 2033–34. Natural increase </w:t>
      </w:r>
      <w:r w:rsidR="005042B3">
        <w:t xml:space="preserve">is projected to </w:t>
      </w:r>
      <w:r w:rsidR="00A35D82">
        <w:t>make the third strongest</w:t>
      </w:r>
      <w:r w:rsidR="00FC7332">
        <w:t xml:space="preserve"> </w:t>
      </w:r>
      <w:r w:rsidR="00BB248E">
        <w:t>percentage point</w:t>
      </w:r>
      <w:r w:rsidR="00FC7332">
        <w:t xml:space="preserve"> contribution to growth of any state or territory</w:t>
      </w:r>
      <w:r>
        <w:t xml:space="preserve">, </w:t>
      </w:r>
      <w:r w:rsidR="00703C5C">
        <w:t>behind the Northern Territory and the Australian Capital Territory</w:t>
      </w:r>
      <w:r>
        <w:t xml:space="preserve">. </w:t>
      </w:r>
      <w:r w:rsidR="00835D2A">
        <w:t xml:space="preserve">Western Australia is expected to experience </w:t>
      </w:r>
      <w:r w:rsidR="001E279D">
        <w:t xml:space="preserve">little or </w:t>
      </w:r>
      <w:r w:rsidR="00835D2A">
        <w:t>no n</w:t>
      </w:r>
      <w:r>
        <w:t xml:space="preserve">et interstate migration </w:t>
      </w:r>
      <w:r w:rsidR="002E4754">
        <w:t>from 2025</w:t>
      </w:r>
      <w:r w:rsidR="00E54F9C" w:rsidDel="00EA63CC">
        <w:t>–</w:t>
      </w:r>
      <w:r w:rsidR="002E4754">
        <w:t>26</w:t>
      </w:r>
      <w:r>
        <w:t>.</w:t>
      </w:r>
    </w:p>
    <w:p w14:paraId="4080E5BD" w14:textId="0F0B3E70" w:rsidR="00D0560E" w:rsidRPr="00926A5E" w:rsidRDefault="00D0560E" w:rsidP="00F43500">
      <w:pPr>
        <w:pStyle w:val="ChartMainHeading"/>
      </w:pPr>
      <w:r w:rsidRPr="00926A5E">
        <w:t>Population growth and components, Western Australia</w:t>
      </w:r>
    </w:p>
    <w:p w14:paraId="48A7F517" w14:textId="7BD577AF" w:rsidR="001A749D" w:rsidRDefault="001A749D" w:rsidP="00F43500">
      <w:pPr>
        <w:pStyle w:val="ChartGraphic"/>
      </w:pPr>
      <w:r w:rsidRPr="001A749D">
        <w:rPr>
          <w:noProof/>
        </w:rPr>
        <w:drawing>
          <wp:inline distT="0" distB="0" distL="0" distR="0" wp14:anchorId="17A6C354" wp14:editId="2AE07BC8">
            <wp:extent cx="5581650" cy="2886075"/>
            <wp:effectExtent l="0" t="0" r="0" b="0"/>
            <wp:docPr id="16" name="Picture 16" descr="This chart shows population growth by component for Western Australia, disaggregated into its components: natural increase, net overseas migration and net interstate migration. Intercensal difference is also shown. Net overseas migration and natural increase are both major contributors to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population growth by component for Western Australia, disaggregated into its components: natural increase, net overseas migration and net interstate migration. Intercensal difference is also shown. Net overseas migration and natural increase are both major contributors to population growth over the projection perio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3F1B4696" w14:textId="6773EB43" w:rsidR="00D0560E" w:rsidRPr="00F43500" w:rsidRDefault="00D0560E" w:rsidP="00C14BAE">
      <w:pPr>
        <w:pStyle w:val="Source"/>
        <w:rPr>
          <w:rStyle w:val="Hyperlink"/>
          <w:color w:val="000000"/>
          <w:sz w:val="20"/>
        </w:rPr>
      </w:pPr>
      <w:r w:rsidRPr="00926A5E">
        <w:t xml:space="preserve">Source: </w:t>
      </w:r>
      <w:r w:rsidR="00926A5E">
        <w:tab/>
      </w:r>
      <w:r w:rsidR="00DD1DCF" w:rsidRPr="00926A5E">
        <w:t>ABS</w:t>
      </w:r>
      <w:r w:rsidRPr="00926A5E">
        <w:t>, National, state and territory population, March 2023</w:t>
      </w:r>
      <w:r w:rsidR="0040762D" w:rsidRPr="00926A5E">
        <w:t xml:space="preserve"> </w:t>
      </w:r>
      <w:r w:rsidRPr="00926A5E">
        <w:t>and Centre for Population projections.</w:t>
      </w:r>
    </w:p>
    <w:p w14:paraId="46AB7582" w14:textId="77C37656" w:rsidR="005B3279" w:rsidRDefault="005B3279" w:rsidP="00926A5E">
      <w:r w:rsidRPr="00F704FC">
        <w:rPr>
          <w:b/>
        </w:rPr>
        <w:t xml:space="preserve">Greater </w:t>
      </w:r>
      <w:r w:rsidR="009C6AAB" w:rsidRPr="00F704FC">
        <w:rPr>
          <w:b/>
        </w:rPr>
        <w:t>Perth</w:t>
      </w:r>
      <w:r w:rsidR="004B14AB">
        <w:rPr>
          <w:b/>
        </w:rPr>
        <w:t>’</w:t>
      </w:r>
      <w:r w:rsidRPr="00F704FC">
        <w:rPr>
          <w:b/>
        </w:rPr>
        <w:t>s</w:t>
      </w:r>
      <w:r>
        <w:t xml:space="preserve"> population on 30 June 2022 was </w:t>
      </w:r>
      <w:r w:rsidR="003A3EA4">
        <w:t>2</w:t>
      </w:r>
      <w:r>
        <w:t>.</w:t>
      </w:r>
      <w:r w:rsidR="003A3EA4">
        <w:t>2</w:t>
      </w:r>
      <w:r>
        <w:t xml:space="preserve"> million, representing </w:t>
      </w:r>
      <w:r w:rsidR="00E5362D">
        <w:t>80</w:t>
      </w:r>
      <w:r w:rsidR="001F3B6F">
        <w:t> per cent</w:t>
      </w:r>
      <w:r>
        <w:t xml:space="preserve"> of </w:t>
      </w:r>
      <w:r w:rsidR="00E5362D">
        <w:t>Western</w:t>
      </w:r>
      <w:r>
        <w:t xml:space="preserve"> Australia</w:t>
      </w:r>
      <w:r w:rsidR="004B14AB">
        <w:t>’</w:t>
      </w:r>
      <w:r>
        <w:t xml:space="preserve">s population. Population growth in </w:t>
      </w:r>
      <w:r w:rsidR="00E5362D">
        <w:t>Perth</w:t>
      </w:r>
      <w:r>
        <w:t xml:space="preserve"> was </w:t>
      </w:r>
      <w:r w:rsidR="00535065">
        <w:t>1.5</w:t>
      </w:r>
      <w:r w:rsidR="001F3B6F">
        <w:t> per cent</w:t>
      </w:r>
      <w:r>
        <w:t xml:space="preserve"> in 2021</w:t>
      </w:r>
      <w:r w:rsidR="00E54F9C" w:rsidDel="00EA63CC">
        <w:t>–</w:t>
      </w:r>
      <w:r>
        <w:t xml:space="preserve">22 and is forecast to increase to </w:t>
      </w:r>
      <w:r w:rsidR="00535065">
        <w:t>3.4</w:t>
      </w:r>
      <w:r w:rsidR="001F3B6F">
        <w:t> per cent</w:t>
      </w:r>
      <w:r>
        <w:t xml:space="preserve"> </w:t>
      </w:r>
      <w:r w:rsidR="00535065">
        <w:t>in</w:t>
      </w:r>
      <w:r>
        <w:t xml:space="preserve"> 2022–23, </w:t>
      </w:r>
      <w:r w:rsidR="005A0AD8">
        <w:t>the highest of any capital city.</w:t>
      </w:r>
      <w:r>
        <w:t xml:space="preserve"> </w:t>
      </w:r>
      <w:r w:rsidR="001708E0">
        <w:t xml:space="preserve">Growth is projected to </w:t>
      </w:r>
      <w:r>
        <w:t xml:space="preserve">slow to </w:t>
      </w:r>
      <w:r w:rsidR="005D0129">
        <w:t>1.4</w:t>
      </w:r>
      <w:r w:rsidR="001F3B6F">
        <w:t> per cent</w:t>
      </w:r>
      <w:r>
        <w:t xml:space="preserve"> by 2033–34. </w:t>
      </w:r>
      <w:r w:rsidR="00942412" w:rsidDel="00EA63CC">
        <w:t>G</w:t>
      </w:r>
      <w:r w:rsidDel="00EA63CC">
        <w:t>rowth</w:t>
      </w:r>
      <w:r>
        <w:t xml:space="preserve"> is expected to </w:t>
      </w:r>
      <w:r w:rsidR="00942412">
        <w:t>mainly</w:t>
      </w:r>
      <w:r>
        <w:t xml:space="preserve"> come from net overseas migration, with </w:t>
      </w:r>
      <w:r w:rsidR="00DE08E9">
        <w:t xml:space="preserve">a strong contribution from natural increase, and </w:t>
      </w:r>
      <w:r w:rsidR="00826A4D">
        <w:t xml:space="preserve">net internal migration expected to </w:t>
      </w:r>
      <w:r w:rsidR="005F2246">
        <w:t>be slightly positive.</w:t>
      </w:r>
      <w:r>
        <w:t xml:space="preserve"> </w:t>
      </w:r>
      <w:r w:rsidR="005F2246">
        <w:t>Perth</w:t>
      </w:r>
      <w:r w:rsidR="004B14AB">
        <w:t>’</w:t>
      </w:r>
      <w:r>
        <w:t xml:space="preserve">s population is projected to be </w:t>
      </w:r>
      <w:r w:rsidR="00A16B18">
        <w:t>2</w:t>
      </w:r>
      <w:r>
        <w:t>.</w:t>
      </w:r>
      <w:r w:rsidR="006D6443">
        <w:t>7</w:t>
      </w:r>
      <w:r>
        <w:t xml:space="preserve"> million </w:t>
      </w:r>
      <w:r w:rsidR="00DB4A76">
        <w:br/>
      </w:r>
      <w:r>
        <w:t xml:space="preserve">in 2033–34. </w:t>
      </w:r>
    </w:p>
    <w:p w14:paraId="3AC7C954" w14:textId="36249A3E" w:rsidR="005B3279" w:rsidRDefault="005B3279" w:rsidP="00926A5E">
      <w:r>
        <w:t xml:space="preserve">The population of the </w:t>
      </w:r>
      <w:r w:rsidRPr="00F704FC">
        <w:rPr>
          <w:b/>
        </w:rPr>
        <w:t xml:space="preserve">rest of </w:t>
      </w:r>
      <w:r w:rsidR="00A16B18" w:rsidRPr="00F704FC">
        <w:rPr>
          <w:b/>
        </w:rPr>
        <w:t>Western</w:t>
      </w:r>
      <w:r w:rsidRPr="00F704FC">
        <w:rPr>
          <w:b/>
        </w:rPr>
        <w:t xml:space="preserve"> Australia</w:t>
      </w:r>
      <w:r>
        <w:t xml:space="preserve"> on 30 June 2022 was </w:t>
      </w:r>
      <w:r w:rsidR="00B77560">
        <w:t>563</w:t>
      </w:r>
      <w:r>
        <w:t xml:space="preserve">,000. Population growth was </w:t>
      </w:r>
      <w:r w:rsidR="003A7521">
        <w:t>1</w:t>
      </w:r>
      <w:r>
        <w:t>.</w:t>
      </w:r>
      <w:r w:rsidR="003A7521">
        <w:t>1</w:t>
      </w:r>
      <w:r w:rsidR="001F3B6F">
        <w:t> per cent</w:t>
      </w:r>
      <w:r>
        <w:t xml:space="preserve"> in 2021–22 and </w:t>
      </w:r>
      <w:r w:rsidR="000173CD">
        <w:t xml:space="preserve">is forecast to be </w:t>
      </w:r>
      <w:r w:rsidR="009D21D5">
        <w:t>1.5</w:t>
      </w:r>
      <w:r w:rsidR="001F3B6F">
        <w:t> per cent</w:t>
      </w:r>
      <w:r>
        <w:t xml:space="preserve"> </w:t>
      </w:r>
      <w:r w:rsidR="00E22836">
        <w:t>in</w:t>
      </w:r>
      <w:r>
        <w:t xml:space="preserve"> 2022</w:t>
      </w:r>
      <w:r w:rsidR="00E54F9C" w:rsidDel="00EA63CC">
        <w:t>–</w:t>
      </w:r>
      <w:r>
        <w:t xml:space="preserve">23, </w:t>
      </w:r>
      <w:r w:rsidR="00D5495B">
        <w:t>driven by net overseas migration</w:t>
      </w:r>
      <w:r>
        <w:t xml:space="preserve">. </w:t>
      </w:r>
      <w:r w:rsidR="00CC7C2F">
        <w:br/>
      </w:r>
      <w:r w:rsidR="007849FC">
        <w:t>As with m</w:t>
      </w:r>
      <w:r w:rsidR="002638B0">
        <w:t>any</w:t>
      </w:r>
      <w:r w:rsidR="007849FC">
        <w:t xml:space="preserve"> regions, </w:t>
      </w:r>
      <w:r w:rsidR="007849FC" w:rsidDel="00EA63CC">
        <w:t>n</w:t>
      </w:r>
      <w:r w:rsidR="003203F4" w:rsidDel="00EA63CC">
        <w:t>et</w:t>
      </w:r>
      <w:r w:rsidR="003203F4">
        <w:t xml:space="preserve"> overseas migration is projected to contribute the most to population growth</w:t>
      </w:r>
      <w:r w:rsidR="002B7756">
        <w:t>.</w:t>
      </w:r>
      <w:r w:rsidR="006E5712">
        <w:t xml:space="preserve"> </w:t>
      </w:r>
      <w:r w:rsidR="001811EA">
        <w:t>H</w:t>
      </w:r>
      <w:r w:rsidR="00325298">
        <w:t>owever</w:t>
      </w:r>
      <w:r w:rsidR="001811EA">
        <w:t>,</w:t>
      </w:r>
      <w:r w:rsidR="00325298">
        <w:t xml:space="preserve"> natural increase will also </w:t>
      </w:r>
      <w:r w:rsidR="00D23BA4">
        <w:t>contribute more</w:t>
      </w:r>
      <w:r w:rsidR="00325298">
        <w:t xml:space="preserve"> to growth </w:t>
      </w:r>
      <w:r w:rsidR="003203F4">
        <w:t>over the projection period</w:t>
      </w:r>
      <w:r w:rsidR="00D23BA4">
        <w:t xml:space="preserve"> than in </w:t>
      </w:r>
      <w:r w:rsidR="00655482">
        <w:t xml:space="preserve">most </w:t>
      </w:r>
      <w:r w:rsidR="00D23BA4">
        <w:t>other rest</w:t>
      </w:r>
      <w:r w:rsidR="00943CF1">
        <w:noBreakHyphen/>
      </w:r>
      <w:r w:rsidR="00D23BA4">
        <w:t>of</w:t>
      </w:r>
      <w:r w:rsidR="00943CF1">
        <w:noBreakHyphen/>
      </w:r>
      <w:r w:rsidR="00D23BA4">
        <w:t>state areas</w:t>
      </w:r>
      <w:r w:rsidR="003203F4">
        <w:t xml:space="preserve">. </w:t>
      </w:r>
      <w:r w:rsidR="007200E7">
        <w:t>Although most rest</w:t>
      </w:r>
      <w:r w:rsidR="004B14AB">
        <w:noBreakHyphen/>
      </w:r>
      <w:r w:rsidR="007200E7">
        <w:t>of</w:t>
      </w:r>
      <w:r w:rsidR="004B14AB">
        <w:noBreakHyphen/>
      </w:r>
      <w:r w:rsidR="007200E7">
        <w:t>state area</w:t>
      </w:r>
      <w:r w:rsidR="005A4450">
        <w:t xml:space="preserve"> population</w:t>
      </w:r>
      <w:r w:rsidR="007200E7">
        <w:t xml:space="preserve">s </w:t>
      </w:r>
      <w:r w:rsidR="00094796">
        <w:t xml:space="preserve">benefit </w:t>
      </w:r>
      <w:r w:rsidR="005A4450">
        <w:t>from positive internal</w:t>
      </w:r>
      <w:r w:rsidR="007200E7">
        <w:t xml:space="preserve"> migration, </w:t>
      </w:r>
      <w:r w:rsidR="006D109C">
        <w:t xml:space="preserve">net internal migration </w:t>
      </w:r>
      <w:r w:rsidR="007D780D">
        <w:t>to rest of Western Australia</w:t>
      </w:r>
      <w:r w:rsidR="00FA3E31">
        <w:t xml:space="preserve"> is</w:t>
      </w:r>
      <w:r w:rsidR="00111AE8">
        <w:t xml:space="preserve"> negative in every</w:t>
      </w:r>
      <w:r w:rsidR="00377429">
        <w:t> year</w:t>
      </w:r>
      <w:r w:rsidR="006244B8">
        <w:t xml:space="preserve"> of the </w:t>
      </w:r>
      <w:r w:rsidR="00111AE8">
        <w:t>pro</w:t>
      </w:r>
      <w:r w:rsidR="006244B8">
        <w:t>j</w:t>
      </w:r>
      <w:r w:rsidR="00111AE8">
        <w:t>ection</w:t>
      </w:r>
      <w:r w:rsidR="006244B8">
        <w:t>s</w:t>
      </w:r>
      <w:r w:rsidR="00AA2A2D">
        <w:t xml:space="preserve"> (ex</w:t>
      </w:r>
      <w:r w:rsidR="008442C0">
        <w:t>c</w:t>
      </w:r>
      <w:r w:rsidR="00AA2A2D">
        <w:t>e</w:t>
      </w:r>
      <w:r w:rsidR="008442C0">
        <w:t>p</w:t>
      </w:r>
      <w:r w:rsidR="00AA2A2D">
        <w:t>t for 2022</w:t>
      </w:r>
      <w:r w:rsidR="00E54F9C" w:rsidDel="00EA63CC">
        <w:t>–</w:t>
      </w:r>
      <w:r w:rsidR="00AA2A2D">
        <w:t>23)</w:t>
      </w:r>
      <w:r w:rsidR="00DB56C8">
        <w:t>.</w:t>
      </w:r>
      <w:r w:rsidR="007C7447">
        <w:t xml:space="preserve"> </w:t>
      </w:r>
      <w:r w:rsidR="00583719">
        <w:br/>
      </w:r>
      <w:r w:rsidR="00C02FB1">
        <w:t>The r</w:t>
      </w:r>
      <w:r>
        <w:t xml:space="preserve">est of </w:t>
      </w:r>
      <w:r w:rsidR="001574DB">
        <w:t>Western</w:t>
      </w:r>
      <w:r>
        <w:t xml:space="preserve"> Australia</w:t>
      </w:r>
      <w:r w:rsidR="004B14AB">
        <w:t>’</w:t>
      </w:r>
      <w:r>
        <w:t xml:space="preserve">s population is projected to be </w:t>
      </w:r>
      <w:r w:rsidR="00AA0B66">
        <w:t>61</w:t>
      </w:r>
      <w:r w:rsidR="00FF7418">
        <w:t>0</w:t>
      </w:r>
      <w:r>
        <w:t>,000 in 2033</w:t>
      </w:r>
      <w:r w:rsidR="00E54F9C" w:rsidDel="00EA63CC">
        <w:t>–</w:t>
      </w:r>
      <w:r>
        <w:t xml:space="preserve">34. </w:t>
      </w:r>
    </w:p>
    <w:p w14:paraId="2D8F5A6D" w14:textId="4B823DA7" w:rsidR="006C6E85" w:rsidRPr="00926A5E" w:rsidRDefault="006C6E85" w:rsidP="00AA722D">
      <w:pPr>
        <w:pStyle w:val="ChartMainHeading"/>
      </w:pPr>
      <w:r w:rsidRPr="00926A5E">
        <w:lastRenderedPageBreak/>
        <w:t xml:space="preserve">Population growth in Western Australia, Greater Perth and the </w:t>
      </w:r>
      <w:r w:rsidR="002D69FD" w:rsidRPr="00926A5E">
        <w:t>r</w:t>
      </w:r>
      <w:r w:rsidRPr="00926A5E">
        <w:t>est of Western Australia</w:t>
      </w:r>
    </w:p>
    <w:p w14:paraId="6A7CAD86" w14:textId="7A815362" w:rsidR="00A7786B" w:rsidRDefault="006D6DA2" w:rsidP="00926A5E">
      <w:pPr>
        <w:pStyle w:val="ChartGraphic"/>
      </w:pPr>
      <w:r w:rsidRPr="006D6DA2">
        <w:rPr>
          <w:noProof/>
        </w:rPr>
        <w:drawing>
          <wp:inline distT="0" distB="0" distL="0" distR="0" wp14:anchorId="2E4614D0" wp14:editId="2907FAC6">
            <wp:extent cx="5581650" cy="2885440"/>
            <wp:effectExtent l="0" t="0" r="0" b="0"/>
            <wp:docPr id="35" name="Picture 35" descr="This chart shows population growth for Perth, Western Australia and the rest of Western Australia. Population growth began to decline in Perth and Western Australia in 2020-21, but remained constant in the rest of Western Australia. Population growth is projected to increase in Perth and Western Australia from 2021-22 to 2022-23. Population growth in the rest of Western Australia peaks in 2022-23.  All three areas decline from 2022-23 to the end of the projectio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chart shows population growth for Perth, Western Australia and the rest of Western Australia. Population growth began to decline in Perth and Western Australia in 2020-21, but remained constant in the rest of Western Australia. Population growth is projected to increase in Perth and Western Australia from 2021-22 to 2022-23. Population growth in the rest of Western Australia peaks in 2022-23.  All three areas decline from 2022-23 to the end of the projection serie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2885440"/>
                    </a:xfrm>
                    <a:prstGeom prst="rect">
                      <a:avLst/>
                    </a:prstGeom>
                    <a:noFill/>
                    <a:ln>
                      <a:noFill/>
                    </a:ln>
                  </pic:spPr>
                </pic:pic>
              </a:graphicData>
            </a:graphic>
          </wp:inline>
        </w:drawing>
      </w:r>
    </w:p>
    <w:p w14:paraId="0ABFB6B7" w14:textId="0609233C" w:rsidR="006C6E85" w:rsidRPr="00926A5E" w:rsidRDefault="006C6E85" w:rsidP="00C14BAE">
      <w:pPr>
        <w:pStyle w:val="Source"/>
      </w:pPr>
      <w:r w:rsidRPr="00926A5E">
        <w:t xml:space="preserve">Source: </w:t>
      </w:r>
      <w:r w:rsidR="00926A5E">
        <w:tab/>
      </w:r>
      <w:r w:rsidR="00DD1DCF" w:rsidRPr="00926A5E">
        <w:t>ABS</w:t>
      </w:r>
      <w:r w:rsidRPr="00926A5E">
        <w:t>, Regional population</w:t>
      </w:r>
      <w:r w:rsidR="00301B61" w:rsidRPr="00926A5E">
        <w:t xml:space="preserve"> 2021–22</w:t>
      </w:r>
      <w:r w:rsidR="00B12B38">
        <w:t>,</w:t>
      </w:r>
      <w:r w:rsidRPr="00926A5E">
        <w:t xml:space="preserve"> </w:t>
      </w:r>
      <w:r w:rsidR="00DD1DCF" w:rsidRPr="00926A5E">
        <w:t>ABS</w:t>
      </w:r>
      <w:r w:rsidRPr="00926A5E">
        <w:t>, National, state and territory population, March 202</w:t>
      </w:r>
      <w:r w:rsidR="00301B61" w:rsidRPr="00926A5E">
        <w:t>3</w:t>
      </w:r>
      <w:r w:rsidR="00D47042">
        <w:t>,</w:t>
      </w:r>
      <w:r w:rsidR="00AE20AA" w:rsidRPr="00926A5E">
        <w:t xml:space="preserve"> </w:t>
      </w:r>
      <w:r w:rsidRPr="00926A5E">
        <w:t>and Centre for Population projections.</w:t>
      </w:r>
    </w:p>
    <w:p w14:paraId="655591EC" w14:textId="55671072" w:rsidR="0053032F" w:rsidRDefault="0053032F" w:rsidP="00AA722D">
      <w:pPr>
        <w:spacing w:before="0" w:after="160" w:line="259" w:lineRule="auto"/>
      </w:pPr>
      <w:r>
        <w:br w:type="page"/>
      </w:r>
    </w:p>
    <w:p w14:paraId="3514B9A9" w14:textId="77777777" w:rsidR="00DA35F7" w:rsidRPr="00A1737D" w:rsidRDefault="00DA35F7" w:rsidP="00AA722D">
      <w:pPr>
        <w:pStyle w:val="TableMainHeading"/>
      </w:pPr>
      <w:r w:rsidRPr="00A1737D">
        <w:lastRenderedPageBreak/>
        <w:t>Population projections, Western Australia</w:t>
      </w:r>
    </w:p>
    <w:tbl>
      <w:tblPr>
        <w:tblStyle w:val="CPOPTable"/>
        <w:tblW w:w="0" w:type="auto"/>
        <w:tblLayout w:type="fixed"/>
        <w:tblLook w:val="04A0" w:firstRow="1" w:lastRow="0" w:firstColumn="1" w:lastColumn="0" w:noHBand="0" w:noVBand="1"/>
      </w:tblPr>
      <w:tblGrid>
        <w:gridCol w:w="3096"/>
        <w:gridCol w:w="996"/>
        <w:gridCol w:w="996"/>
        <w:gridCol w:w="996"/>
        <w:gridCol w:w="996"/>
        <w:gridCol w:w="996"/>
        <w:gridCol w:w="996"/>
      </w:tblGrid>
      <w:tr w:rsidR="00DA35F7" w:rsidRPr="00A1737D" w14:paraId="626E3768" w14:textId="77777777" w:rsidTr="00F004EC">
        <w:trPr>
          <w:cnfStyle w:val="100000000000" w:firstRow="1" w:lastRow="0" w:firstColumn="0" w:lastColumn="0" w:oddVBand="0" w:evenVBand="0" w:oddHBand="0" w:evenHBand="0" w:firstRowFirstColumn="0" w:firstRowLastColumn="0" w:lastRowFirstColumn="0" w:lastRowLastColumn="0"/>
        </w:trPr>
        <w:tc>
          <w:tcPr>
            <w:tcW w:w="3096" w:type="dxa"/>
          </w:tcPr>
          <w:p w14:paraId="7723478E" w14:textId="77777777" w:rsidR="00DA35F7" w:rsidRPr="00A1737D" w:rsidRDefault="00DA35F7" w:rsidP="00DA35F7">
            <w:pPr>
              <w:spacing w:after="0"/>
            </w:pPr>
          </w:p>
        </w:tc>
        <w:tc>
          <w:tcPr>
            <w:tcW w:w="996" w:type="dxa"/>
          </w:tcPr>
          <w:p w14:paraId="1F7D1783" w14:textId="58E5E079" w:rsidR="00DA35F7" w:rsidRPr="00A1737D" w:rsidRDefault="00DA35F7" w:rsidP="004C567F">
            <w:pPr>
              <w:pStyle w:val="TableColumnHeadingRight"/>
            </w:pPr>
            <w:r w:rsidRPr="0080495D">
              <w:t>202</w:t>
            </w:r>
            <w:r>
              <w:t>1–</w:t>
            </w:r>
            <w:r w:rsidRPr="0080495D">
              <w:t>2</w:t>
            </w:r>
            <w:r>
              <w:t>2</w:t>
            </w:r>
          </w:p>
        </w:tc>
        <w:tc>
          <w:tcPr>
            <w:tcW w:w="996" w:type="dxa"/>
            <w:shd w:val="clear" w:color="auto" w:fill="D2EDFF" w:themeFill="accent1" w:themeFillTint="1A"/>
          </w:tcPr>
          <w:p w14:paraId="1CFBB90F" w14:textId="06138234" w:rsidR="00DA35F7" w:rsidRPr="00A1737D" w:rsidRDefault="00DA35F7" w:rsidP="004C567F">
            <w:pPr>
              <w:pStyle w:val="TableColumnHeadingRight"/>
            </w:pPr>
            <w:r w:rsidRPr="0080495D">
              <w:t>202</w:t>
            </w:r>
            <w:r>
              <w:t>2–</w:t>
            </w:r>
            <w:r w:rsidRPr="0080495D">
              <w:t>2</w:t>
            </w:r>
            <w:r>
              <w:t>3</w:t>
            </w:r>
          </w:p>
        </w:tc>
        <w:tc>
          <w:tcPr>
            <w:tcW w:w="996" w:type="dxa"/>
          </w:tcPr>
          <w:p w14:paraId="7FF73E53" w14:textId="2D59E0F1" w:rsidR="00DA35F7" w:rsidRPr="00A1737D" w:rsidRDefault="00DA35F7" w:rsidP="004C567F">
            <w:pPr>
              <w:pStyle w:val="TableColumnHeadingRight"/>
            </w:pPr>
            <w:r w:rsidRPr="0080495D">
              <w:t>202</w:t>
            </w:r>
            <w:r>
              <w:t>3–</w:t>
            </w:r>
            <w:r w:rsidRPr="0080495D">
              <w:t>2</w:t>
            </w:r>
            <w:r>
              <w:t>4</w:t>
            </w:r>
          </w:p>
        </w:tc>
        <w:tc>
          <w:tcPr>
            <w:tcW w:w="996" w:type="dxa"/>
          </w:tcPr>
          <w:p w14:paraId="4B1EFA1A" w14:textId="559278B3" w:rsidR="00DA35F7" w:rsidRPr="00A1737D" w:rsidRDefault="00DA35F7" w:rsidP="004C567F">
            <w:pPr>
              <w:pStyle w:val="TableColumnHeadingRight"/>
            </w:pPr>
            <w:r w:rsidRPr="0080495D">
              <w:t>202</w:t>
            </w:r>
            <w:r>
              <w:t>4–</w:t>
            </w:r>
            <w:r w:rsidRPr="0080495D">
              <w:t>2</w:t>
            </w:r>
            <w:r>
              <w:t>5</w:t>
            </w:r>
          </w:p>
        </w:tc>
        <w:tc>
          <w:tcPr>
            <w:tcW w:w="996" w:type="dxa"/>
          </w:tcPr>
          <w:p w14:paraId="7E6D8C56" w14:textId="704314C8" w:rsidR="00DA35F7" w:rsidRPr="00A1737D" w:rsidRDefault="00DA35F7" w:rsidP="004C567F">
            <w:pPr>
              <w:pStyle w:val="TableColumnHeadingRight"/>
            </w:pPr>
            <w:r w:rsidRPr="0080495D">
              <w:t>202</w:t>
            </w:r>
            <w:r>
              <w:t>5–</w:t>
            </w:r>
            <w:r w:rsidRPr="0080495D">
              <w:t>2</w:t>
            </w:r>
            <w:r>
              <w:t>6</w:t>
            </w:r>
          </w:p>
        </w:tc>
        <w:tc>
          <w:tcPr>
            <w:tcW w:w="996" w:type="dxa"/>
          </w:tcPr>
          <w:p w14:paraId="4BADB7BA" w14:textId="584E8546" w:rsidR="00DA35F7" w:rsidRPr="00A1737D" w:rsidRDefault="00DA35F7" w:rsidP="004C567F">
            <w:pPr>
              <w:pStyle w:val="TableColumnHeadingRight"/>
            </w:pPr>
            <w:r w:rsidRPr="0080495D">
              <w:t>203</w:t>
            </w:r>
            <w:r>
              <w:t>3–</w:t>
            </w:r>
            <w:r w:rsidRPr="0080495D">
              <w:t>3</w:t>
            </w:r>
            <w:r>
              <w:t>4</w:t>
            </w:r>
          </w:p>
        </w:tc>
      </w:tr>
      <w:tr w:rsidR="001A002F" w:rsidRPr="00A1737D" w14:paraId="0129F49F" w14:textId="77777777" w:rsidTr="00F004EC">
        <w:tc>
          <w:tcPr>
            <w:tcW w:w="0" w:type="dxa"/>
          </w:tcPr>
          <w:p w14:paraId="39506CA5" w14:textId="4D8CD90B" w:rsidR="00DA35F7" w:rsidRPr="00F72F18" w:rsidRDefault="00DA35F7" w:rsidP="004C567F">
            <w:pPr>
              <w:pStyle w:val="TableColumnHeadingLeft"/>
            </w:pPr>
            <w:r w:rsidRPr="00F72F18">
              <w:t>Population (</w:t>
            </w:r>
            <w:r w:rsidR="004B14AB" w:rsidRPr="00F72F18">
              <w:t>‘</w:t>
            </w:r>
            <w:r w:rsidRPr="00F72F18">
              <w:t>000)</w:t>
            </w:r>
          </w:p>
        </w:tc>
        <w:tc>
          <w:tcPr>
            <w:tcW w:w="0" w:type="dxa"/>
            <w:vAlign w:val="center"/>
          </w:tcPr>
          <w:p w14:paraId="5D64C3F1" w14:textId="77777777" w:rsidR="00DA35F7" w:rsidRPr="00E20618" w:rsidRDefault="00DA35F7" w:rsidP="00DA35F7">
            <w:pPr>
              <w:spacing w:after="0"/>
            </w:pPr>
          </w:p>
        </w:tc>
        <w:tc>
          <w:tcPr>
            <w:tcW w:w="0" w:type="dxa"/>
            <w:shd w:val="clear" w:color="auto" w:fill="D2EDFF" w:themeFill="accent1" w:themeFillTint="1A"/>
            <w:vAlign w:val="center"/>
          </w:tcPr>
          <w:p w14:paraId="7DBDD1C2" w14:textId="477DA015" w:rsidR="00DA35F7" w:rsidRPr="00E20618" w:rsidRDefault="0076425F" w:rsidP="00DA35F7">
            <w:pPr>
              <w:spacing w:after="0"/>
            </w:pPr>
            <w:r>
              <w:rPr>
                <w:rFonts w:ascii="Calibri" w:hAnsi="Calibri" w:cs="Calibri"/>
                <w:color w:val="000000"/>
              </w:rPr>
              <w:t> </w:t>
            </w:r>
          </w:p>
        </w:tc>
        <w:tc>
          <w:tcPr>
            <w:tcW w:w="0" w:type="dxa"/>
            <w:vAlign w:val="center"/>
          </w:tcPr>
          <w:p w14:paraId="7624FE2D" w14:textId="77777777" w:rsidR="00DA35F7" w:rsidRPr="00E20618" w:rsidRDefault="00DA35F7" w:rsidP="00DA35F7">
            <w:pPr>
              <w:spacing w:after="0"/>
            </w:pPr>
          </w:p>
        </w:tc>
        <w:tc>
          <w:tcPr>
            <w:tcW w:w="0" w:type="dxa"/>
            <w:vAlign w:val="center"/>
          </w:tcPr>
          <w:p w14:paraId="04380A8C" w14:textId="77777777" w:rsidR="00DA35F7" w:rsidRPr="00E20618" w:rsidRDefault="00DA35F7" w:rsidP="00DA35F7">
            <w:pPr>
              <w:spacing w:after="0"/>
            </w:pPr>
          </w:p>
        </w:tc>
        <w:tc>
          <w:tcPr>
            <w:tcW w:w="0" w:type="dxa"/>
            <w:tcBorders>
              <w:right w:val="single" w:sz="4" w:space="0" w:color="auto"/>
            </w:tcBorders>
            <w:vAlign w:val="center"/>
          </w:tcPr>
          <w:p w14:paraId="74F95C9F" w14:textId="39732D55" w:rsidR="00DA35F7" w:rsidRPr="00E20618" w:rsidRDefault="0076425F" w:rsidP="00DA35F7">
            <w:pPr>
              <w:spacing w:after="0"/>
            </w:pPr>
            <w:r>
              <w:rPr>
                <w:rFonts w:ascii="Calibri" w:hAnsi="Calibri" w:cs="Calibri"/>
                <w:color w:val="000000"/>
              </w:rPr>
              <w:t> </w:t>
            </w:r>
          </w:p>
        </w:tc>
        <w:tc>
          <w:tcPr>
            <w:tcW w:w="0" w:type="dxa"/>
            <w:tcBorders>
              <w:top w:val="single" w:sz="4" w:space="0" w:color="000000" w:themeColor="text1"/>
              <w:left w:val="single" w:sz="4" w:space="0" w:color="auto"/>
              <w:bottom w:val="nil"/>
            </w:tcBorders>
            <w:vAlign w:val="center"/>
          </w:tcPr>
          <w:p w14:paraId="1D632FB5" w14:textId="77777777" w:rsidR="00DA35F7" w:rsidRPr="00E20618" w:rsidRDefault="00DA35F7" w:rsidP="00DA35F7">
            <w:pPr>
              <w:spacing w:after="0"/>
            </w:pPr>
          </w:p>
        </w:tc>
      </w:tr>
      <w:tr w:rsidR="00F67DB6" w:rsidRPr="00A1737D" w14:paraId="3DF3AD66" w14:textId="77777777" w:rsidTr="000D6011">
        <w:tc>
          <w:tcPr>
            <w:tcW w:w="0" w:type="dxa"/>
          </w:tcPr>
          <w:p w14:paraId="419A1E46" w14:textId="77777777" w:rsidR="00DA35F7" w:rsidRPr="00F72F18" w:rsidRDefault="00DA35F7" w:rsidP="004C567F">
            <w:pPr>
              <w:pStyle w:val="TableTextLeft"/>
            </w:pPr>
            <w:r w:rsidRPr="00F72F18">
              <w:t>Western Australia</w:t>
            </w:r>
          </w:p>
        </w:tc>
        <w:tc>
          <w:tcPr>
            <w:tcW w:w="0" w:type="dxa"/>
            <w:tcBorders>
              <w:top w:val="nil"/>
              <w:left w:val="nil"/>
              <w:bottom w:val="nil"/>
              <w:right w:val="nil"/>
            </w:tcBorders>
            <w:vAlign w:val="center"/>
          </w:tcPr>
          <w:p w14:paraId="50884B35" w14:textId="129ED858" w:rsidR="00DA35F7" w:rsidRPr="00E20618" w:rsidRDefault="0076425F" w:rsidP="004C567F">
            <w:pPr>
              <w:pStyle w:val="TableTextRight"/>
              <w:rPr>
                <w:rFonts w:cstheme="minorHAnsi"/>
              </w:rPr>
            </w:pPr>
            <w:r w:rsidRPr="00F004EC">
              <w:t>2,791</w:t>
            </w:r>
          </w:p>
        </w:tc>
        <w:tc>
          <w:tcPr>
            <w:tcW w:w="0" w:type="dxa"/>
            <w:tcBorders>
              <w:top w:val="nil"/>
              <w:left w:val="nil"/>
              <w:bottom w:val="nil"/>
              <w:right w:val="nil"/>
            </w:tcBorders>
            <w:shd w:val="clear" w:color="auto" w:fill="D2EDFF" w:themeFill="accent1" w:themeFillTint="1A"/>
            <w:vAlign w:val="center"/>
          </w:tcPr>
          <w:p w14:paraId="17BA0527" w14:textId="72DE5FDD" w:rsidR="00DA35F7" w:rsidRPr="00E20618" w:rsidRDefault="0076425F" w:rsidP="004C567F">
            <w:pPr>
              <w:pStyle w:val="TableTextRight"/>
              <w:rPr>
                <w:rFonts w:cstheme="minorHAnsi"/>
              </w:rPr>
            </w:pPr>
            <w:r w:rsidRPr="00483C26">
              <w:t>2,876</w:t>
            </w:r>
          </w:p>
        </w:tc>
        <w:tc>
          <w:tcPr>
            <w:tcW w:w="0" w:type="dxa"/>
            <w:tcBorders>
              <w:top w:val="nil"/>
              <w:left w:val="nil"/>
              <w:bottom w:val="nil"/>
              <w:right w:val="nil"/>
            </w:tcBorders>
            <w:vAlign w:val="center"/>
          </w:tcPr>
          <w:p w14:paraId="566454ED" w14:textId="4A52CB89" w:rsidR="00DA35F7" w:rsidRPr="00E20618" w:rsidRDefault="0076425F" w:rsidP="004C567F">
            <w:pPr>
              <w:pStyle w:val="TableTextRight"/>
              <w:rPr>
                <w:rFonts w:cstheme="minorHAnsi"/>
              </w:rPr>
            </w:pPr>
            <w:r w:rsidRPr="008149D8">
              <w:t>2,</w:t>
            </w:r>
            <w:r w:rsidR="007E179A">
              <w:rPr>
                <w:rFonts w:ascii="Calibri" w:hAnsi="Calibri" w:cs="Calibri"/>
              </w:rPr>
              <w:t>935</w:t>
            </w:r>
          </w:p>
        </w:tc>
        <w:tc>
          <w:tcPr>
            <w:tcW w:w="0" w:type="dxa"/>
            <w:tcBorders>
              <w:top w:val="nil"/>
              <w:left w:val="nil"/>
              <w:bottom w:val="nil"/>
              <w:right w:val="nil"/>
            </w:tcBorders>
            <w:vAlign w:val="center"/>
          </w:tcPr>
          <w:p w14:paraId="621AE4EF" w14:textId="598461BF" w:rsidR="00DA35F7" w:rsidRPr="00E20618" w:rsidRDefault="0076425F" w:rsidP="004C567F">
            <w:pPr>
              <w:pStyle w:val="TableTextRight"/>
              <w:rPr>
                <w:rFonts w:cstheme="minorHAnsi"/>
              </w:rPr>
            </w:pPr>
            <w:r w:rsidRPr="008149D8">
              <w:t>2,</w:t>
            </w:r>
            <w:r w:rsidR="007E179A">
              <w:rPr>
                <w:rFonts w:ascii="Calibri" w:hAnsi="Calibri" w:cs="Calibri"/>
              </w:rPr>
              <w:t>980</w:t>
            </w:r>
          </w:p>
        </w:tc>
        <w:tc>
          <w:tcPr>
            <w:tcW w:w="0" w:type="dxa"/>
            <w:tcBorders>
              <w:top w:val="nil"/>
              <w:left w:val="nil"/>
              <w:bottom w:val="nil"/>
              <w:right w:val="single" w:sz="4" w:space="0" w:color="auto"/>
            </w:tcBorders>
            <w:vAlign w:val="center"/>
          </w:tcPr>
          <w:p w14:paraId="3CCD80B0" w14:textId="46A6CAAE" w:rsidR="00DA35F7" w:rsidRPr="00E20618" w:rsidRDefault="0076425F" w:rsidP="004C567F">
            <w:pPr>
              <w:pStyle w:val="TableTextRight"/>
              <w:rPr>
                <w:rFonts w:cstheme="minorHAnsi"/>
              </w:rPr>
            </w:pPr>
            <w:r w:rsidRPr="006D0AA5">
              <w:rPr>
                <w:rFonts w:ascii="Calibri" w:hAnsi="Calibri"/>
              </w:rPr>
              <w:t>3,</w:t>
            </w:r>
            <w:r w:rsidR="007E179A">
              <w:rPr>
                <w:rFonts w:ascii="Calibri" w:hAnsi="Calibri" w:cs="Calibri"/>
              </w:rPr>
              <w:t>023</w:t>
            </w:r>
          </w:p>
        </w:tc>
        <w:tc>
          <w:tcPr>
            <w:tcW w:w="0" w:type="dxa"/>
            <w:tcBorders>
              <w:top w:val="nil"/>
              <w:left w:val="single" w:sz="4" w:space="0" w:color="auto"/>
              <w:bottom w:val="nil"/>
              <w:right w:val="nil"/>
            </w:tcBorders>
            <w:vAlign w:val="center"/>
          </w:tcPr>
          <w:p w14:paraId="32CEADF0" w14:textId="07BA5D71" w:rsidR="00DA35F7" w:rsidRPr="00E20618" w:rsidRDefault="0076425F" w:rsidP="004C567F">
            <w:pPr>
              <w:pStyle w:val="TableTextRight"/>
              <w:rPr>
                <w:rFonts w:cstheme="minorHAnsi"/>
              </w:rPr>
            </w:pPr>
            <w:r w:rsidRPr="006D0AA5">
              <w:rPr>
                <w:rFonts w:ascii="Calibri" w:hAnsi="Calibri"/>
              </w:rPr>
              <w:t>3,</w:t>
            </w:r>
            <w:r w:rsidR="007E179A">
              <w:rPr>
                <w:rFonts w:ascii="Calibri" w:hAnsi="Calibri" w:cs="Calibri"/>
              </w:rPr>
              <w:t>357</w:t>
            </w:r>
          </w:p>
        </w:tc>
      </w:tr>
      <w:tr w:rsidR="00F67DB6" w:rsidRPr="00A1737D" w14:paraId="3981FFBB" w14:textId="77777777" w:rsidTr="000D6011">
        <w:tc>
          <w:tcPr>
            <w:tcW w:w="0" w:type="dxa"/>
          </w:tcPr>
          <w:p w14:paraId="484FFA65" w14:textId="77777777" w:rsidR="00DA35F7" w:rsidRPr="006D0AA5" w:rsidRDefault="00DA35F7" w:rsidP="004C567F">
            <w:pPr>
              <w:pStyle w:val="Tabletextleftindent"/>
            </w:pPr>
            <w:r w:rsidRPr="006A6673">
              <w:t>Greater Perth</w:t>
            </w:r>
          </w:p>
        </w:tc>
        <w:tc>
          <w:tcPr>
            <w:tcW w:w="0" w:type="dxa"/>
            <w:tcBorders>
              <w:top w:val="nil"/>
              <w:left w:val="nil"/>
              <w:bottom w:val="nil"/>
              <w:right w:val="nil"/>
            </w:tcBorders>
            <w:vAlign w:val="center"/>
          </w:tcPr>
          <w:p w14:paraId="3F45D473" w14:textId="4CB8113A" w:rsidR="00DA35F7" w:rsidRPr="00E20618" w:rsidRDefault="0076425F" w:rsidP="004C567F">
            <w:pPr>
              <w:pStyle w:val="TableTextRight"/>
              <w:rPr>
                <w:rFonts w:cstheme="minorHAnsi"/>
              </w:rPr>
            </w:pPr>
            <w:r w:rsidRPr="006D0AA5">
              <w:rPr>
                <w:rFonts w:ascii="Calibri" w:hAnsi="Calibri"/>
              </w:rPr>
              <w:t>2,226</w:t>
            </w:r>
          </w:p>
        </w:tc>
        <w:tc>
          <w:tcPr>
            <w:tcW w:w="0" w:type="dxa"/>
            <w:tcBorders>
              <w:top w:val="nil"/>
              <w:left w:val="nil"/>
              <w:bottom w:val="nil"/>
              <w:right w:val="nil"/>
            </w:tcBorders>
            <w:shd w:val="clear" w:color="auto" w:fill="D2EDFF" w:themeFill="accent1" w:themeFillTint="1A"/>
            <w:vAlign w:val="center"/>
          </w:tcPr>
          <w:p w14:paraId="74F41EDC" w14:textId="4C79B6DC" w:rsidR="00DA35F7" w:rsidRPr="00E20618" w:rsidRDefault="0076425F" w:rsidP="004C567F">
            <w:pPr>
              <w:pStyle w:val="TableTextRight"/>
              <w:rPr>
                <w:rFonts w:cstheme="minorHAnsi"/>
              </w:rPr>
            </w:pPr>
            <w:r w:rsidRPr="006D0AA5">
              <w:rPr>
                <w:rFonts w:ascii="Calibri" w:hAnsi="Calibri"/>
              </w:rPr>
              <w:t>2,303</w:t>
            </w:r>
          </w:p>
        </w:tc>
        <w:tc>
          <w:tcPr>
            <w:tcW w:w="0" w:type="dxa"/>
            <w:tcBorders>
              <w:top w:val="nil"/>
              <w:left w:val="nil"/>
              <w:bottom w:val="nil"/>
              <w:right w:val="nil"/>
            </w:tcBorders>
            <w:vAlign w:val="center"/>
          </w:tcPr>
          <w:p w14:paraId="5450CB04" w14:textId="139F5E91"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357</w:t>
            </w:r>
          </w:p>
        </w:tc>
        <w:tc>
          <w:tcPr>
            <w:tcW w:w="0" w:type="dxa"/>
            <w:tcBorders>
              <w:top w:val="nil"/>
              <w:left w:val="nil"/>
              <w:bottom w:val="nil"/>
              <w:right w:val="nil"/>
            </w:tcBorders>
            <w:vAlign w:val="center"/>
          </w:tcPr>
          <w:p w14:paraId="3A894447" w14:textId="63FBA216"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399</w:t>
            </w:r>
          </w:p>
        </w:tc>
        <w:tc>
          <w:tcPr>
            <w:tcW w:w="0" w:type="dxa"/>
            <w:tcBorders>
              <w:top w:val="nil"/>
              <w:left w:val="nil"/>
              <w:bottom w:val="nil"/>
              <w:right w:val="single" w:sz="4" w:space="0" w:color="auto"/>
            </w:tcBorders>
            <w:vAlign w:val="center"/>
          </w:tcPr>
          <w:p w14:paraId="3F0D19E1" w14:textId="478615C9"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439</w:t>
            </w:r>
          </w:p>
        </w:tc>
        <w:tc>
          <w:tcPr>
            <w:tcW w:w="0" w:type="dxa"/>
            <w:tcBorders>
              <w:top w:val="nil"/>
              <w:left w:val="single" w:sz="4" w:space="0" w:color="auto"/>
              <w:bottom w:val="nil"/>
              <w:right w:val="nil"/>
            </w:tcBorders>
            <w:vAlign w:val="center"/>
          </w:tcPr>
          <w:p w14:paraId="74A6AE84" w14:textId="7DFE9A28"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747</w:t>
            </w:r>
          </w:p>
        </w:tc>
      </w:tr>
      <w:tr w:rsidR="00F67DB6" w:rsidRPr="00A1737D" w14:paraId="7AC43568" w14:textId="77777777" w:rsidTr="000D6011">
        <w:tc>
          <w:tcPr>
            <w:tcW w:w="0" w:type="dxa"/>
          </w:tcPr>
          <w:p w14:paraId="4B3C737D" w14:textId="2B6CDE14" w:rsidR="00DA35F7" w:rsidRPr="006D0AA5" w:rsidRDefault="00DA35F7" w:rsidP="004C567F">
            <w:pPr>
              <w:pStyle w:val="Tabletextleftindent"/>
            </w:pPr>
            <w:r w:rsidRPr="006A6673">
              <w:t>Rest of Western</w:t>
            </w:r>
            <w:r w:rsidR="007E179A" w:rsidRPr="006A6673">
              <w:t> </w:t>
            </w:r>
            <w:r w:rsidRPr="006A6673">
              <w:t>Australia</w:t>
            </w:r>
          </w:p>
        </w:tc>
        <w:tc>
          <w:tcPr>
            <w:tcW w:w="0" w:type="dxa"/>
            <w:tcBorders>
              <w:top w:val="nil"/>
              <w:left w:val="nil"/>
              <w:bottom w:val="nil"/>
              <w:right w:val="nil"/>
            </w:tcBorders>
            <w:vAlign w:val="center"/>
          </w:tcPr>
          <w:p w14:paraId="692751FB" w14:textId="2F29F4C9" w:rsidR="00DA35F7" w:rsidRPr="00E20618" w:rsidRDefault="0076425F" w:rsidP="004C567F">
            <w:pPr>
              <w:pStyle w:val="TableTextRight"/>
              <w:rPr>
                <w:rFonts w:cstheme="minorHAnsi"/>
              </w:rPr>
            </w:pPr>
            <w:r w:rsidRPr="006D0AA5">
              <w:rPr>
                <w:rFonts w:ascii="Calibri" w:hAnsi="Calibri"/>
              </w:rPr>
              <w:t>563</w:t>
            </w:r>
          </w:p>
        </w:tc>
        <w:tc>
          <w:tcPr>
            <w:tcW w:w="0" w:type="dxa"/>
            <w:tcBorders>
              <w:top w:val="nil"/>
              <w:left w:val="nil"/>
              <w:bottom w:val="nil"/>
              <w:right w:val="nil"/>
            </w:tcBorders>
            <w:shd w:val="clear" w:color="auto" w:fill="D2EDFF" w:themeFill="accent1" w:themeFillTint="1A"/>
            <w:vAlign w:val="center"/>
          </w:tcPr>
          <w:p w14:paraId="248106A4" w14:textId="77A08614" w:rsidR="00DA35F7" w:rsidRPr="00E20618" w:rsidRDefault="0076425F" w:rsidP="004C567F">
            <w:pPr>
              <w:pStyle w:val="TableTextRight"/>
              <w:rPr>
                <w:rFonts w:cstheme="minorHAnsi"/>
              </w:rPr>
            </w:pPr>
            <w:r w:rsidRPr="006D0AA5">
              <w:rPr>
                <w:rFonts w:ascii="Calibri" w:hAnsi="Calibri"/>
              </w:rPr>
              <w:t>572</w:t>
            </w:r>
          </w:p>
        </w:tc>
        <w:tc>
          <w:tcPr>
            <w:tcW w:w="0" w:type="dxa"/>
            <w:tcBorders>
              <w:top w:val="nil"/>
              <w:left w:val="nil"/>
              <w:bottom w:val="nil"/>
              <w:right w:val="nil"/>
            </w:tcBorders>
            <w:vAlign w:val="center"/>
          </w:tcPr>
          <w:p w14:paraId="04E8901B" w14:textId="64449CE8" w:rsidR="00DA35F7" w:rsidRPr="00E20618" w:rsidRDefault="0076425F" w:rsidP="004C567F">
            <w:pPr>
              <w:pStyle w:val="TableTextRight"/>
              <w:rPr>
                <w:rFonts w:cstheme="minorHAnsi"/>
              </w:rPr>
            </w:pPr>
            <w:r w:rsidRPr="006D0AA5">
              <w:rPr>
                <w:rFonts w:ascii="Calibri" w:hAnsi="Calibri"/>
              </w:rPr>
              <w:t>578</w:t>
            </w:r>
          </w:p>
        </w:tc>
        <w:tc>
          <w:tcPr>
            <w:tcW w:w="0" w:type="dxa"/>
            <w:tcBorders>
              <w:top w:val="nil"/>
              <w:left w:val="nil"/>
              <w:bottom w:val="nil"/>
              <w:right w:val="nil"/>
            </w:tcBorders>
            <w:vAlign w:val="center"/>
          </w:tcPr>
          <w:p w14:paraId="68ED1D12" w14:textId="0A906E53" w:rsidR="00DA35F7" w:rsidRPr="00E20618" w:rsidRDefault="007E179A" w:rsidP="004C567F">
            <w:pPr>
              <w:pStyle w:val="TableTextRight"/>
              <w:rPr>
                <w:rFonts w:cstheme="minorHAnsi"/>
              </w:rPr>
            </w:pPr>
            <w:r>
              <w:rPr>
                <w:rFonts w:ascii="Calibri" w:hAnsi="Calibri" w:cs="Calibri"/>
              </w:rPr>
              <w:t>581</w:t>
            </w:r>
          </w:p>
        </w:tc>
        <w:tc>
          <w:tcPr>
            <w:tcW w:w="0" w:type="dxa"/>
            <w:tcBorders>
              <w:top w:val="nil"/>
              <w:left w:val="nil"/>
              <w:bottom w:val="nil"/>
              <w:right w:val="single" w:sz="4" w:space="0" w:color="auto"/>
            </w:tcBorders>
            <w:vAlign w:val="center"/>
          </w:tcPr>
          <w:p w14:paraId="6B811D65" w14:textId="61E51D73" w:rsidR="00DA35F7" w:rsidRPr="00E20618" w:rsidRDefault="007E179A" w:rsidP="004C567F">
            <w:pPr>
              <w:pStyle w:val="TableTextRight"/>
              <w:rPr>
                <w:rFonts w:cstheme="minorHAnsi"/>
              </w:rPr>
            </w:pPr>
            <w:r>
              <w:rPr>
                <w:rFonts w:ascii="Calibri" w:hAnsi="Calibri" w:cs="Calibri"/>
              </w:rPr>
              <w:t>584</w:t>
            </w:r>
          </w:p>
        </w:tc>
        <w:tc>
          <w:tcPr>
            <w:tcW w:w="0" w:type="dxa"/>
            <w:tcBorders>
              <w:top w:val="nil"/>
              <w:left w:val="single" w:sz="4" w:space="0" w:color="auto"/>
              <w:bottom w:val="nil"/>
              <w:right w:val="nil"/>
            </w:tcBorders>
            <w:vAlign w:val="center"/>
          </w:tcPr>
          <w:p w14:paraId="53518E12" w14:textId="2DA7A091" w:rsidR="00DA35F7" w:rsidRPr="00E20618" w:rsidRDefault="007E179A" w:rsidP="004C567F">
            <w:pPr>
              <w:pStyle w:val="TableTextRight"/>
              <w:rPr>
                <w:rFonts w:cstheme="minorHAnsi"/>
              </w:rPr>
            </w:pPr>
            <w:r>
              <w:rPr>
                <w:rFonts w:ascii="Calibri" w:hAnsi="Calibri" w:cs="Calibri"/>
              </w:rPr>
              <w:t>610</w:t>
            </w:r>
          </w:p>
        </w:tc>
      </w:tr>
      <w:tr w:rsidR="00F67DB6" w:rsidRPr="00A1737D" w14:paraId="6919BE98" w14:textId="77777777" w:rsidTr="000D6011">
        <w:tc>
          <w:tcPr>
            <w:tcW w:w="0" w:type="dxa"/>
          </w:tcPr>
          <w:p w14:paraId="5441D40F" w14:textId="77777777" w:rsidR="00DA35F7" w:rsidRPr="006D0AA5" w:rsidRDefault="00DA35F7" w:rsidP="004C567F">
            <w:pPr>
              <w:pStyle w:val="TableColumnHeadingLeft"/>
            </w:pPr>
            <w:r w:rsidRPr="00485848">
              <w:t>Population growth (per cent)</w:t>
            </w:r>
          </w:p>
        </w:tc>
        <w:tc>
          <w:tcPr>
            <w:tcW w:w="0" w:type="dxa"/>
            <w:tcBorders>
              <w:top w:val="nil"/>
              <w:left w:val="nil"/>
              <w:bottom w:val="nil"/>
              <w:right w:val="nil"/>
            </w:tcBorders>
            <w:vAlign w:val="center"/>
          </w:tcPr>
          <w:p w14:paraId="7C713842" w14:textId="77777777" w:rsidR="00DA35F7" w:rsidRPr="00E20618" w:rsidRDefault="00DA35F7"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1E884300" w14:textId="16EFE987"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nil"/>
              <w:bottom w:val="nil"/>
              <w:right w:val="nil"/>
            </w:tcBorders>
            <w:vAlign w:val="center"/>
          </w:tcPr>
          <w:p w14:paraId="6C7F16C3" w14:textId="77777777" w:rsidR="00DA35F7" w:rsidRPr="00E20618" w:rsidRDefault="00DA35F7" w:rsidP="004C567F">
            <w:pPr>
              <w:pStyle w:val="TableTextRight"/>
              <w:rPr>
                <w:rFonts w:cstheme="minorHAnsi"/>
              </w:rPr>
            </w:pPr>
          </w:p>
        </w:tc>
        <w:tc>
          <w:tcPr>
            <w:tcW w:w="0" w:type="dxa"/>
            <w:tcBorders>
              <w:top w:val="nil"/>
              <w:left w:val="nil"/>
              <w:bottom w:val="nil"/>
              <w:right w:val="nil"/>
            </w:tcBorders>
            <w:vAlign w:val="center"/>
          </w:tcPr>
          <w:p w14:paraId="629926C8" w14:textId="77777777" w:rsidR="00DA35F7" w:rsidRPr="00E20618" w:rsidRDefault="00DA35F7" w:rsidP="004C567F">
            <w:pPr>
              <w:pStyle w:val="TableTextRight"/>
              <w:rPr>
                <w:rFonts w:cstheme="minorHAnsi"/>
              </w:rPr>
            </w:pPr>
          </w:p>
        </w:tc>
        <w:tc>
          <w:tcPr>
            <w:tcW w:w="0" w:type="dxa"/>
            <w:tcBorders>
              <w:top w:val="nil"/>
              <w:left w:val="nil"/>
              <w:bottom w:val="nil"/>
              <w:right w:val="single" w:sz="4" w:space="0" w:color="auto"/>
            </w:tcBorders>
            <w:vAlign w:val="center"/>
          </w:tcPr>
          <w:p w14:paraId="2871AEE2" w14:textId="0CDE9984"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single" w:sz="4" w:space="0" w:color="auto"/>
              <w:bottom w:val="nil"/>
              <w:right w:val="nil"/>
            </w:tcBorders>
            <w:vAlign w:val="center"/>
          </w:tcPr>
          <w:p w14:paraId="2C4EE0FB" w14:textId="77777777" w:rsidR="00DA35F7" w:rsidRPr="00E20618" w:rsidRDefault="00DA35F7" w:rsidP="004C567F">
            <w:pPr>
              <w:pStyle w:val="TableTextRight"/>
              <w:rPr>
                <w:rFonts w:cstheme="minorHAnsi"/>
              </w:rPr>
            </w:pPr>
          </w:p>
        </w:tc>
      </w:tr>
      <w:tr w:rsidR="00F67DB6" w:rsidRPr="00A1737D" w14:paraId="49816D1B" w14:textId="77777777" w:rsidTr="000D6011">
        <w:tc>
          <w:tcPr>
            <w:tcW w:w="0" w:type="dxa"/>
          </w:tcPr>
          <w:p w14:paraId="1BB1BD04" w14:textId="77777777" w:rsidR="00DA35F7" w:rsidRPr="006D0AA5" w:rsidRDefault="00DA35F7" w:rsidP="004C567F">
            <w:pPr>
              <w:pStyle w:val="TableTextLeft"/>
            </w:pPr>
            <w:r w:rsidRPr="006D0AA5">
              <w:t>Western Australia</w:t>
            </w:r>
          </w:p>
        </w:tc>
        <w:tc>
          <w:tcPr>
            <w:tcW w:w="0" w:type="dxa"/>
            <w:tcBorders>
              <w:top w:val="nil"/>
              <w:left w:val="nil"/>
              <w:bottom w:val="nil"/>
              <w:right w:val="nil"/>
            </w:tcBorders>
            <w:vAlign w:val="center"/>
          </w:tcPr>
          <w:p w14:paraId="0CACF63B" w14:textId="52B41CA4" w:rsidR="00DA35F7" w:rsidRPr="00E20618" w:rsidRDefault="0076425F" w:rsidP="004C567F">
            <w:pPr>
              <w:pStyle w:val="TableTextRight"/>
              <w:rPr>
                <w:rFonts w:cstheme="minorHAnsi"/>
              </w:rPr>
            </w:pPr>
            <w:r w:rsidRPr="006D0AA5">
              <w:rPr>
                <w:rFonts w:ascii="Calibri" w:hAnsi="Calibri"/>
              </w:rPr>
              <w:t>1.5</w:t>
            </w:r>
          </w:p>
        </w:tc>
        <w:tc>
          <w:tcPr>
            <w:tcW w:w="0" w:type="dxa"/>
            <w:tcBorders>
              <w:top w:val="nil"/>
              <w:left w:val="nil"/>
              <w:bottom w:val="nil"/>
              <w:right w:val="nil"/>
            </w:tcBorders>
            <w:shd w:val="clear" w:color="auto" w:fill="D2EDFF" w:themeFill="accent1" w:themeFillTint="1A"/>
            <w:vAlign w:val="center"/>
          </w:tcPr>
          <w:p w14:paraId="626EFC9D" w14:textId="62BBA88D" w:rsidR="00DA35F7" w:rsidRPr="00E20618" w:rsidRDefault="0076425F" w:rsidP="004C567F">
            <w:pPr>
              <w:pStyle w:val="TableTextRight"/>
              <w:rPr>
                <w:rFonts w:cstheme="minorHAnsi"/>
              </w:rPr>
            </w:pPr>
            <w:r w:rsidRPr="006D0AA5">
              <w:rPr>
                <w:rFonts w:ascii="Calibri" w:hAnsi="Calibri"/>
              </w:rPr>
              <w:t>3.0</w:t>
            </w:r>
          </w:p>
        </w:tc>
        <w:tc>
          <w:tcPr>
            <w:tcW w:w="0" w:type="dxa"/>
            <w:tcBorders>
              <w:top w:val="nil"/>
              <w:left w:val="nil"/>
              <w:bottom w:val="nil"/>
              <w:right w:val="nil"/>
            </w:tcBorders>
            <w:vAlign w:val="center"/>
          </w:tcPr>
          <w:p w14:paraId="56DE024D" w14:textId="543E156B" w:rsidR="00DA35F7" w:rsidRPr="00E20618" w:rsidRDefault="0076425F" w:rsidP="004C567F">
            <w:pPr>
              <w:pStyle w:val="TableTextRight"/>
              <w:rPr>
                <w:rFonts w:cstheme="minorHAnsi"/>
              </w:rPr>
            </w:pPr>
            <w:r w:rsidRPr="006D0AA5">
              <w:rPr>
                <w:rFonts w:ascii="Calibri" w:hAnsi="Calibri"/>
              </w:rPr>
              <w:t>2.1</w:t>
            </w:r>
          </w:p>
        </w:tc>
        <w:tc>
          <w:tcPr>
            <w:tcW w:w="0" w:type="dxa"/>
            <w:tcBorders>
              <w:top w:val="nil"/>
              <w:left w:val="nil"/>
              <w:bottom w:val="nil"/>
              <w:right w:val="nil"/>
            </w:tcBorders>
            <w:vAlign w:val="center"/>
          </w:tcPr>
          <w:p w14:paraId="1E0B3A10" w14:textId="12C7A1B6" w:rsidR="00DA35F7" w:rsidRPr="00E20618" w:rsidRDefault="0076425F" w:rsidP="004C567F">
            <w:pPr>
              <w:pStyle w:val="TableTextRight"/>
              <w:rPr>
                <w:rFonts w:cstheme="minorHAnsi"/>
              </w:rPr>
            </w:pPr>
            <w:r w:rsidRPr="006D0AA5">
              <w:rPr>
                <w:rFonts w:ascii="Calibri" w:hAnsi="Calibri"/>
              </w:rPr>
              <w:t>1.</w:t>
            </w:r>
            <w:r w:rsidR="007E179A">
              <w:rPr>
                <w:rFonts w:ascii="Calibri" w:hAnsi="Calibri" w:cs="Calibri"/>
              </w:rPr>
              <w:t>5</w:t>
            </w:r>
          </w:p>
        </w:tc>
        <w:tc>
          <w:tcPr>
            <w:tcW w:w="0" w:type="dxa"/>
            <w:tcBorders>
              <w:top w:val="nil"/>
              <w:left w:val="nil"/>
              <w:bottom w:val="nil"/>
              <w:right w:val="single" w:sz="4" w:space="0" w:color="auto"/>
            </w:tcBorders>
            <w:vAlign w:val="center"/>
          </w:tcPr>
          <w:p w14:paraId="2FBF357B" w14:textId="0F937E17" w:rsidR="00DA35F7" w:rsidRPr="00E20618" w:rsidRDefault="0076425F" w:rsidP="004C567F">
            <w:pPr>
              <w:pStyle w:val="TableTextRight"/>
              <w:rPr>
                <w:rFonts w:cstheme="minorHAnsi"/>
              </w:rPr>
            </w:pPr>
            <w:r w:rsidRPr="006D0AA5">
              <w:rPr>
                <w:rFonts w:ascii="Calibri" w:hAnsi="Calibri"/>
              </w:rPr>
              <w:t>1.</w:t>
            </w:r>
            <w:r w:rsidR="007E179A">
              <w:rPr>
                <w:rFonts w:ascii="Calibri" w:hAnsi="Calibri" w:cs="Calibri"/>
              </w:rPr>
              <w:t>5</w:t>
            </w:r>
          </w:p>
        </w:tc>
        <w:tc>
          <w:tcPr>
            <w:tcW w:w="0" w:type="dxa"/>
            <w:tcBorders>
              <w:top w:val="nil"/>
              <w:left w:val="single" w:sz="4" w:space="0" w:color="auto"/>
              <w:bottom w:val="nil"/>
              <w:right w:val="nil"/>
            </w:tcBorders>
            <w:vAlign w:val="center"/>
          </w:tcPr>
          <w:p w14:paraId="557375F7" w14:textId="5C008CBD" w:rsidR="00DA35F7" w:rsidRPr="00E20618" w:rsidRDefault="0076425F" w:rsidP="004C567F">
            <w:pPr>
              <w:pStyle w:val="TableTextRight"/>
              <w:rPr>
                <w:rFonts w:cstheme="minorHAnsi"/>
              </w:rPr>
            </w:pPr>
            <w:r w:rsidRPr="006D0AA5">
              <w:rPr>
                <w:rFonts w:ascii="Calibri" w:hAnsi="Calibri"/>
              </w:rPr>
              <w:t>1.2</w:t>
            </w:r>
          </w:p>
        </w:tc>
      </w:tr>
      <w:tr w:rsidR="00F67DB6" w:rsidRPr="00A1737D" w14:paraId="5713CF22" w14:textId="77777777" w:rsidTr="000D6011">
        <w:tc>
          <w:tcPr>
            <w:tcW w:w="0" w:type="dxa"/>
          </w:tcPr>
          <w:p w14:paraId="05437FA0" w14:textId="77777777" w:rsidR="00DA35F7" w:rsidRPr="006D0AA5" w:rsidRDefault="00DA35F7" w:rsidP="004C567F">
            <w:pPr>
              <w:pStyle w:val="Tabletextleftindent"/>
            </w:pPr>
            <w:r w:rsidRPr="006A6673">
              <w:t>Greater Perth</w:t>
            </w:r>
          </w:p>
        </w:tc>
        <w:tc>
          <w:tcPr>
            <w:tcW w:w="0" w:type="dxa"/>
            <w:tcBorders>
              <w:top w:val="nil"/>
              <w:left w:val="nil"/>
              <w:bottom w:val="nil"/>
              <w:right w:val="nil"/>
            </w:tcBorders>
            <w:vAlign w:val="center"/>
          </w:tcPr>
          <w:p w14:paraId="0983D64D" w14:textId="1C241BE8" w:rsidR="00DA35F7" w:rsidRPr="00E20618" w:rsidRDefault="0076425F" w:rsidP="004C567F">
            <w:pPr>
              <w:pStyle w:val="TableTextRight"/>
              <w:rPr>
                <w:rFonts w:cstheme="minorHAnsi"/>
              </w:rPr>
            </w:pPr>
            <w:r w:rsidRPr="006D0AA5">
              <w:rPr>
                <w:rFonts w:ascii="Calibri" w:hAnsi="Calibri"/>
              </w:rPr>
              <w:t>1.5</w:t>
            </w:r>
          </w:p>
        </w:tc>
        <w:tc>
          <w:tcPr>
            <w:tcW w:w="0" w:type="dxa"/>
            <w:tcBorders>
              <w:top w:val="nil"/>
              <w:left w:val="nil"/>
              <w:bottom w:val="nil"/>
              <w:right w:val="nil"/>
            </w:tcBorders>
            <w:shd w:val="clear" w:color="auto" w:fill="D2EDFF" w:themeFill="accent1" w:themeFillTint="1A"/>
            <w:vAlign w:val="center"/>
          </w:tcPr>
          <w:p w14:paraId="21C0EBCA" w14:textId="304F66AD" w:rsidR="00DA35F7" w:rsidRPr="00E20618" w:rsidRDefault="0076425F" w:rsidP="004C567F">
            <w:pPr>
              <w:pStyle w:val="TableTextRight"/>
              <w:rPr>
                <w:rFonts w:cstheme="minorHAnsi"/>
              </w:rPr>
            </w:pPr>
            <w:r w:rsidRPr="006D0AA5">
              <w:rPr>
                <w:rFonts w:ascii="Calibri" w:hAnsi="Calibri"/>
              </w:rPr>
              <w:t>3.4</w:t>
            </w:r>
          </w:p>
        </w:tc>
        <w:tc>
          <w:tcPr>
            <w:tcW w:w="0" w:type="dxa"/>
            <w:tcBorders>
              <w:top w:val="nil"/>
              <w:left w:val="nil"/>
              <w:bottom w:val="nil"/>
              <w:right w:val="nil"/>
            </w:tcBorders>
            <w:vAlign w:val="center"/>
          </w:tcPr>
          <w:p w14:paraId="0122777C" w14:textId="2858E9F6"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3</w:t>
            </w:r>
          </w:p>
        </w:tc>
        <w:tc>
          <w:tcPr>
            <w:tcW w:w="0" w:type="dxa"/>
            <w:tcBorders>
              <w:top w:val="nil"/>
              <w:left w:val="nil"/>
              <w:bottom w:val="nil"/>
              <w:right w:val="nil"/>
            </w:tcBorders>
            <w:vAlign w:val="center"/>
          </w:tcPr>
          <w:p w14:paraId="224E6E05" w14:textId="76143F48" w:rsidR="00DA35F7" w:rsidRPr="00E20618" w:rsidRDefault="0076425F" w:rsidP="004C567F">
            <w:pPr>
              <w:pStyle w:val="TableTextRight"/>
              <w:rPr>
                <w:rFonts w:cstheme="minorHAnsi"/>
              </w:rPr>
            </w:pPr>
            <w:r w:rsidRPr="006D0AA5">
              <w:rPr>
                <w:rFonts w:ascii="Calibri" w:hAnsi="Calibri"/>
              </w:rPr>
              <w:t>1.</w:t>
            </w:r>
            <w:r w:rsidR="007E179A">
              <w:rPr>
                <w:rFonts w:ascii="Calibri" w:hAnsi="Calibri" w:cs="Calibri"/>
              </w:rPr>
              <w:t>8</w:t>
            </w:r>
          </w:p>
        </w:tc>
        <w:tc>
          <w:tcPr>
            <w:tcW w:w="0" w:type="dxa"/>
            <w:tcBorders>
              <w:top w:val="nil"/>
              <w:left w:val="nil"/>
              <w:bottom w:val="nil"/>
              <w:right w:val="single" w:sz="4" w:space="0" w:color="auto"/>
            </w:tcBorders>
            <w:vAlign w:val="center"/>
          </w:tcPr>
          <w:p w14:paraId="35DF8278" w14:textId="01CCA0DA" w:rsidR="00DA35F7" w:rsidRPr="00E20618" w:rsidRDefault="0076425F" w:rsidP="004C567F">
            <w:pPr>
              <w:pStyle w:val="TableTextRight"/>
              <w:rPr>
                <w:rFonts w:cstheme="minorHAnsi"/>
              </w:rPr>
            </w:pPr>
            <w:r w:rsidRPr="006D0AA5">
              <w:rPr>
                <w:rFonts w:ascii="Calibri" w:hAnsi="Calibri"/>
              </w:rPr>
              <w:t>1.</w:t>
            </w:r>
            <w:r w:rsidR="007E179A">
              <w:rPr>
                <w:rFonts w:ascii="Calibri" w:hAnsi="Calibri" w:cs="Calibri"/>
              </w:rPr>
              <w:t>7</w:t>
            </w:r>
          </w:p>
        </w:tc>
        <w:tc>
          <w:tcPr>
            <w:tcW w:w="0" w:type="dxa"/>
            <w:tcBorders>
              <w:top w:val="nil"/>
              <w:left w:val="single" w:sz="4" w:space="0" w:color="auto"/>
              <w:bottom w:val="nil"/>
              <w:right w:val="nil"/>
            </w:tcBorders>
            <w:vAlign w:val="center"/>
          </w:tcPr>
          <w:p w14:paraId="5A9D13F7" w14:textId="676E6424" w:rsidR="00DA35F7" w:rsidRPr="00E20618" w:rsidRDefault="0076425F" w:rsidP="004C567F">
            <w:pPr>
              <w:pStyle w:val="TableTextRight"/>
              <w:rPr>
                <w:rFonts w:cstheme="minorHAnsi"/>
              </w:rPr>
            </w:pPr>
            <w:r w:rsidRPr="006D0AA5">
              <w:rPr>
                <w:rFonts w:ascii="Calibri" w:hAnsi="Calibri"/>
              </w:rPr>
              <w:t>1.4</w:t>
            </w:r>
          </w:p>
        </w:tc>
      </w:tr>
      <w:tr w:rsidR="00F67DB6" w:rsidRPr="00A1737D" w14:paraId="4F4125D0" w14:textId="77777777" w:rsidTr="000D6011">
        <w:tc>
          <w:tcPr>
            <w:tcW w:w="0" w:type="dxa"/>
          </w:tcPr>
          <w:p w14:paraId="2DFE347A" w14:textId="77777777" w:rsidR="00DA35F7" w:rsidRPr="006D0AA5" w:rsidRDefault="00DA35F7" w:rsidP="004C567F">
            <w:pPr>
              <w:pStyle w:val="Tabletextleftindent"/>
            </w:pPr>
            <w:r w:rsidRPr="006A6673">
              <w:t>Rest of Western Australia</w:t>
            </w:r>
          </w:p>
        </w:tc>
        <w:tc>
          <w:tcPr>
            <w:tcW w:w="0" w:type="dxa"/>
            <w:tcBorders>
              <w:top w:val="nil"/>
              <w:left w:val="nil"/>
              <w:bottom w:val="nil"/>
              <w:right w:val="nil"/>
            </w:tcBorders>
            <w:vAlign w:val="center"/>
          </w:tcPr>
          <w:p w14:paraId="0C300018" w14:textId="1104AEA5" w:rsidR="00DA35F7" w:rsidRPr="00E20618" w:rsidRDefault="0076425F" w:rsidP="004C567F">
            <w:pPr>
              <w:pStyle w:val="TableTextRight"/>
              <w:rPr>
                <w:rFonts w:cstheme="minorHAnsi"/>
              </w:rPr>
            </w:pPr>
            <w:r w:rsidRPr="006D0AA5">
              <w:rPr>
                <w:rFonts w:ascii="Calibri" w:hAnsi="Calibri"/>
              </w:rPr>
              <w:t>1.1</w:t>
            </w:r>
          </w:p>
        </w:tc>
        <w:tc>
          <w:tcPr>
            <w:tcW w:w="0" w:type="dxa"/>
            <w:tcBorders>
              <w:top w:val="nil"/>
              <w:left w:val="nil"/>
              <w:bottom w:val="nil"/>
              <w:right w:val="nil"/>
            </w:tcBorders>
            <w:shd w:val="clear" w:color="auto" w:fill="D2EDFF" w:themeFill="accent1" w:themeFillTint="1A"/>
            <w:vAlign w:val="center"/>
          </w:tcPr>
          <w:p w14:paraId="28804F0B" w14:textId="7BACA330" w:rsidR="00DA35F7" w:rsidRPr="00E20618" w:rsidRDefault="0076425F" w:rsidP="004C567F">
            <w:pPr>
              <w:pStyle w:val="TableTextRight"/>
              <w:rPr>
                <w:rFonts w:cstheme="minorHAnsi"/>
              </w:rPr>
            </w:pPr>
            <w:r w:rsidRPr="006D0AA5">
              <w:rPr>
                <w:rFonts w:ascii="Calibri" w:hAnsi="Calibri"/>
              </w:rPr>
              <w:t>1.5</w:t>
            </w:r>
          </w:p>
        </w:tc>
        <w:tc>
          <w:tcPr>
            <w:tcW w:w="0" w:type="dxa"/>
            <w:tcBorders>
              <w:top w:val="nil"/>
              <w:left w:val="nil"/>
              <w:bottom w:val="nil"/>
              <w:right w:val="nil"/>
            </w:tcBorders>
            <w:vAlign w:val="center"/>
          </w:tcPr>
          <w:p w14:paraId="5D6526EC" w14:textId="2718930C" w:rsidR="00DA35F7" w:rsidRPr="00E20618" w:rsidRDefault="0076425F" w:rsidP="004C567F">
            <w:pPr>
              <w:pStyle w:val="TableTextRight"/>
              <w:rPr>
                <w:rFonts w:cstheme="minorHAnsi"/>
              </w:rPr>
            </w:pPr>
            <w:r w:rsidRPr="006D0AA5">
              <w:rPr>
                <w:rFonts w:ascii="Calibri" w:hAnsi="Calibri"/>
              </w:rPr>
              <w:t>0</w:t>
            </w:r>
            <w:r w:rsidR="007E179A">
              <w:rPr>
                <w:rFonts w:ascii="Calibri" w:hAnsi="Calibri" w:cs="Calibri"/>
              </w:rPr>
              <w:t>.9</w:t>
            </w:r>
          </w:p>
        </w:tc>
        <w:tc>
          <w:tcPr>
            <w:tcW w:w="0" w:type="dxa"/>
            <w:tcBorders>
              <w:top w:val="nil"/>
              <w:left w:val="nil"/>
              <w:bottom w:val="nil"/>
              <w:right w:val="nil"/>
            </w:tcBorders>
            <w:vAlign w:val="center"/>
          </w:tcPr>
          <w:p w14:paraId="0C9301FB" w14:textId="224369B1" w:rsidR="00DA35F7" w:rsidRPr="00E20618" w:rsidRDefault="0076425F" w:rsidP="004C567F">
            <w:pPr>
              <w:pStyle w:val="TableTextRight"/>
              <w:rPr>
                <w:rFonts w:cstheme="minorHAnsi"/>
              </w:rPr>
            </w:pPr>
            <w:r w:rsidRPr="006D0AA5">
              <w:rPr>
                <w:rFonts w:ascii="Calibri" w:hAnsi="Calibri"/>
              </w:rPr>
              <w:t>0.</w:t>
            </w:r>
            <w:r w:rsidR="007E179A">
              <w:rPr>
                <w:rFonts w:ascii="Calibri" w:hAnsi="Calibri" w:cs="Calibri"/>
              </w:rPr>
              <w:t>6</w:t>
            </w:r>
          </w:p>
        </w:tc>
        <w:tc>
          <w:tcPr>
            <w:tcW w:w="0" w:type="dxa"/>
            <w:tcBorders>
              <w:top w:val="nil"/>
              <w:left w:val="nil"/>
              <w:bottom w:val="nil"/>
              <w:right w:val="single" w:sz="4" w:space="0" w:color="auto"/>
            </w:tcBorders>
            <w:vAlign w:val="center"/>
          </w:tcPr>
          <w:p w14:paraId="7EBFB047" w14:textId="0F3A8260" w:rsidR="00DA35F7" w:rsidRPr="00E20618" w:rsidRDefault="0076425F" w:rsidP="004C567F">
            <w:pPr>
              <w:pStyle w:val="TableTextRight"/>
              <w:rPr>
                <w:rFonts w:cstheme="minorHAnsi"/>
              </w:rPr>
            </w:pPr>
            <w:r w:rsidRPr="006D0AA5">
              <w:rPr>
                <w:rFonts w:ascii="Calibri" w:hAnsi="Calibri"/>
              </w:rPr>
              <w:t>0.</w:t>
            </w:r>
            <w:r w:rsidR="007E179A">
              <w:rPr>
                <w:rFonts w:ascii="Calibri" w:hAnsi="Calibri" w:cs="Calibri"/>
              </w:rPr>
              <w:t>5</w:t>
            </w:r>
          </w:p>
        </w:tc>
        <w:tc>
          <w:tcPr>
            <w:tcW w:w="0" w:type="dxa"/>
            <w:tcBorders>
              <w:top w:val="nil"/>
              <w:left w:val="single" w:sz="4" w:space="0" w:color="auto"/>
              <w:bottom w:val="nil"/>
              <w:right w:val="nil"/>
            </w:tcBorders>
            <w:vAlign w:val="center"/>
          </w:tcPr>
          <w:p w14:paraId="1ADA998B" w14:textId="1349A9D7" w:rsidR="00DA35F7" w:rsidRPr="00E20618" w:rsidRDefault="0076425F" w:rsidP="004C567F">
            <w:pPr>
              <w:pStyle w:val="TableTextRight"/>
              <w:rPr>
                <w:rFonts w:cstheme="minorHAnsi"/>
              </w:rPr>
            </w:pPr>
            <w:r w:rsidRPr="006D0AA5">
              <w:rPr>
                <w:rFonts w:ascii="Calibri" w:hAnsi="Calibri"/>
              </w:rPr>
              <w:t>0.6</w:t>
            </w:r>
          </w:p>
        </w:tc>
      </w:tr>
      <w:tr w:rsidR="00F67DB6" w:rsidRPr="00A1737D" w14:paraId="3814AFE8" w14:textId="77777777" w:rsidTr="000D6011">
        <w:tc>
          <w:tcPr>
            <w:tcW w:w="0" w:type="dxa"/>
          </w:tcPr>
          <w:p w14:paraId="11547EDF" w14:textId="5C221268" w:rsidR="00DA35F7" w:rsidRPr="006D0AA5" w:rsidRDefault="00DA35F7" w:rsidP="004C567F">
            <w:pPr>
              <w:pStyle w:val="TableColumnHeadingLeft"/>
            </w:pPr>
            <w:r w:rsidRPr="00485848">
              <w:t>Population growth (</w:t>
            </w:r>
            <w:r w:rsidR="004B14AB" w:rsidRPr="00485848">
              <w:t>‘</w:t>
            </w:r>
            <w:r w:rsidRPr="00485848">
              <w:t>000)</w:t>
            </w:r>
          </w:p>
        </w:tc>
        <w:tc>
          <w:tcPr>
            <w:tcW w:w="0" w:type="dxa"/>
            <w:tcBorders>
              <w:top w:val="nil"/>
              <w:left w:val="nil"/>
              <w:bottom w:val="nil"/>
              <w:right w:val="nil"/>
            </w:tcBorders>
            <w:vAlign w:val="center"/>
          </w:tcPr>
          <w:p w14:paraId="7193F079" w14:textId="77777777" w:rsidR="00DA35F7" w:rsidRPr="00E20618" w:rsidRDefault="00DA35F7"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537D4C64" w14:textId="0C055A8D"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nil"/>
              <w:bottom w:val="nil"/>
              <w:right w:val="nil"/>
            </w:tcBorders>
            <w:vAlign w:val="center"/>
          </w:tcPr>
          <w:p w14:paraId="08E86AAE" w14:textId="77777777" w:rsidR="00DA35F7" w:rsidRPr="00E20618" w:rsidRDefault="00DA35F7" w:rsidP="004C567F">
            <w:pPr>
              <w:pStyle w:val="TableTextRight"/>
              <w:rPr>
                <w:rFonts w:cstheme="minorHAnsi"/>
              </w:rPr>
            </w:pPr>
          </w:p>
        </w:tc>
        <w:tc>
          <w:tcPr>
            <w:tcW w:w="0" w:type="dxa"/>
            <w:tcBorders>
              <w:top w:val="nil"/>
              <w:left w:val="nil"/>
              <w:bottom w:val="nil"/>
              <w:right w:val="nil"/>
            </w:tcBorders>
            <w:vAlign w:val="center"/>
          </w:tcPr>
          <w:p w14:paraId="57513A39" w14:textId="77777777" w:rsidR="00DA35F7" w:rsidRPr="00E20618" w:rsidRDefault="00DA35F7" w:rsidP="004C567F">
            <w:pPr>
              <w:pStyle w:val="TableTextRight"/>
              <w:rPr>
                <w:rFonts w:cstheme="minorHAnsi"/>
              </w:rPr>
            </w:pPr>
          </w:p>
        </w:tc>
        <w:tc>
          <w:tcPr>
            <w:tcW w:w="0" w:type="dxa"/>
            <w:tcBorders>
              <w:top w:val="nil"/>
              <w:left w:val="nil"/>
              <w:bottom w:val="nil"/>
              <w:right w:val="single" w:sz="4" w:space="0" w:color="auto"/>
            </w:tcBorders>
            <w:vAlign w:val="center"/>
          </w:tcPr>
          <w:p w14:paraId="62339291" w14:textId="446F849A"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single" w:sz="4" w:space="0" w:color="auto"/>
              <w:bottom w:val="nil"/>
              <w:right w:val="nil"/>
            </w:tcBorders>
            <w:vAlign w:val="center"/>
          </w:tcPr>
          <w:p w14:paraId="6F8ABA29" w14:textId="77777777" w:rsidR="00DA35F7" w:rsidRPr="00E20618" w:rsidRDefault="00DA35F7" w:rsidP="004C567F">
            <w:pPr>
              <w:pStyle w:val="TableTextRight"/>
              <w:rPr>
                <w:rFonts w:cstheme="minorHAnsi"/>
              </w:rPr>
            </w:pPr>
          </w:p>
        </w:tc>
      </w:tr>
      <w:tr w:rsidR="00F67DB6" w:rsidRPr="00A1737D" w14:paraId="0479837C" w14:textId="77777777" w:rsidTr="000D6011">
        <w:tc>
          <w:tcPr>
            <w:tcW w:w="0" w:type="dxa"/>
          </w:tcPr>
          <w:p w14:paraId="0CAD183F" w14:textId="77777777" w:rsidR="00DA35F7" w:rsidRPr="006D0AA5" w:rsidRDefault="00DA35F7" w:rsidP="004C567F">
            <w:pPr>
              <w:pStyle w:val="TableTextLeft"/>
              <w:rPr>
                <w:b/>
              </w:rPr>
            </w:pPr>
            <w:r w:rsidRPr="006D0AA5">
              <w:t>Western Australia</w:t>
            </w:r>
          </w:p>
        </w:tc>
        <w:tc>
          <w:tcPr>
            <w:tcW w:w="0" w:type="dxa"/>
            <w:tcBorders>
              <w:top w:val="nil"/>
              <w:left w:val="nil"/>
              <w:bottom w:val="nil"/>
              <w:right w:val="nil"/>
            </w:tcBorders>
            <w:vAlign w:val="center"/>
          </w:tcPr>
          <w:p w14:paraId="6787EEDE" w14:textId="053ED653" w:rsidR="00DA35F7" w:rsidRPr="00E20618" w:rsidRDefault="0076425F" w:rsidP="004C567F">
            <w:pPr>
              <w:pStyle w:val="TableTextRight"/>
              <w:rPr>
                <w:rFonts w:cstheme="minorHAnsi"/>
              </w:rPr>
            </w:pPr>
            <w:r w:rsidRPr="006D0AA5">
              <w:rPr>
                <w:rFonts w:ascii="Calibri" w:hAnsi="Calibri"/>
              </w:rPr>
              <w:t>42.1</w:t>
            </w:r>
          </w:p>
        </w:tc>
        <w:tc>
          <w:tcPr>
            <w:tcW w:w="0" w:type="dxa"/>
            <w:tcBorders>
              <w:top w:val="nil"/>
              <w:left w:val="nil"/>
              <w:bottom w:val="nil"/>
              <w:right w:val="nil"/>
            </w:tcBorders>
            <w:shd w:val="clear" w:color="auto" w:fill="D2EDFF" w:themeFill="accent1" w:themeFillTint="1A"/>
            <w:vAlign w:val="center"/>
          </w:tcPr>
          <w:p w14:paraId="64E3AD83" w14:textId="56B0E17A" w:rsidR="00DA35F7" w:rsidRPr="00E20618" w:rsidRDefault="0076425F" w:rsidP="004C567F">
            <w:pPr>
              <w:pStyle w:val="TableTextRight"/>
              <w:rPr>
                <w:rFonts w:cstheme="minorHAnsi"/>
              </w:rPr>
            </w:pPr>
            <w:r w:rsidRPr="006D0AA5">
              <w:rPr>
                <w:rFonts w:ascii="Calibri" w:hAnsi="Calibri"/>
              </w:rPr>
              <w:t>84.1</w:t>
            </w:r>
          </w:p>
        </w:tc>
        <w:tc>
          <w:tcPr>
            <w:tcW w:w="0" w:type="dxa"/>
            <w:tcBorders>
              <w:top w:val="nil"/>
              <w:left w:val="nil"/>
              <w:bottom w:val="nil"/>
              <w:right w:val="nil"/>
            </w:tcBorders>
            <w:vAlign w:val="center"/>
          </w:tcPr>
          <w:p w14:paraId="0D8465E4" w14:textId="52A8438A" w:rsidR="00DA35F7" w:rsidRPr="00E20618" w:rsidRDefault="007E179A" w:rsidP="004C567F">
            <w:pPr>
              <w:pStyle w:val="TableTextRight"/>
              <w:rPr>
                <w:rFonts w:cstheme="minorHAnsi"/>
              </w:rPr>
            </w:pPr>
            <w:r>
              <w:rPr>
                <w:rFonts w:ascii="Calibri" w:hAnsi="Calibri" w:cs="Calibri"/>
              </w:rPr>
              <w:t>59</w:t>
            </w:r>
            <w:r w:rsidR="0076425F" w:rsidRPr="006D0AA5">
              <w:rPr>
                <w:rFonts w:ascii="Calibri" w:hAnsi="Calibri"/>
              </w:rPr>
              <w:t>.1</w:t>
            </w:r>
          </w:p>
        </w:tc>
        <w:tc>
          <w:tcPr>
            <w:tcW w:w="0" w:type="dxa"/>
            <w:tcBorders>
              <w:top w:val="nil"/>
              <w:left w:val="nil"/>
              <w:bottom w:val="nil"/>
              <w:right w:val="nil"/>
            </w:tcBorders>
            <w:vAlign w:val="center"/>
          </w:tcPr>
          <w:p w14:paraId="2B459380" w14:textId="1C33D47C" w:rsidR="00DA35F7" w:rsidRPr="00E20618" w:rsidRDefault="007E179A" w:rsidP="004C567F">
            <w:pPr>
              <w:pStyle w:val="TableTextRight"/>
              <w:rPr>
                <w:rFonts w:cstheme="minorHAnsi"/>
              </w:rPr>
            </w:pPr>
            <w:r>
              <w:rPr>
                <w:rFonts w:ascii="Calibri" w:hAnsi="Calibri" w:cs="Calibri"/>
              </w:rPr>
              <w:t>45.2</w:t>
            </w:r>
          </w:p>
        </w:tc>
        <w:tc>
          <w:tcPr>
            <w:tcW w:w="0" w:type="dxa"/>
            <w:tcBorders>
              <w:top w:val="nil"/>
              <w:left w:val="nil"/>
              <w:bottom w:val="nil"/>
              <w:right w:val="single" w:sz="4" w:space="0" w:color="auto"/>
            </w:tcBorders>
            <w:vAlign w:val="center"/>
          </w:tcPr>
          <w:p w14:paraId="27386DC4" w14:textId="0B6B5A3D" w:rsidR="00DA35F7" w:rsidRPr="00E20618" w:rsidRDefault="007E179A" w:rsidP="004C567F">
            <w:pPr>
              <w:pStyle w:val="TableTextRight"/>
              <w:rPr>
                <w:rFonts w:cstheme="minorHAnsi"/>
              </w:rPr>
            </w:pPr>
            <w:r>
              <w:rPr>
                <w:rFonts w:ascii="Calibri" w:hAnsi="Calibri" w:cs="Calibri"/>
              </w:rPr>
              <w:t>43</w:t>
            </w:r>
            <w:r w:rsidR="0076425F" w:rsidRPr="006D0AA5">
              <w:rPr>
                <w:rFonts w:ascii="Calibri" w:hAnsi="Calibri"/>
              </w:rPr>
              <w:t>.7</w:t>
            </w:r>
          </w:p>
        </w:tc>
        <w:tc>
          <w:tcPr>
            <w:tcW w:w="0" w:type="dxa"/>
            <w:tcBorders>
              <w:top w:val="nil"/>
              <w:left w:val="single" w:sz="4" w:space="0" w:color="auto"/>
              <w:bottom w:val="nil"/>
              <w:right w:val="nil"/>
            </w:tcBorders>
            <w:vAlign w:val="center"/>
          </w:tcPr>
          <w:p w14:paraId="3AD7D0FE" w14:textId="30718AB0" w:rsidR="00DA35F7" w:rsidRPr="00E20618" w:rsidRDefault="0076425F" w:rsidP="004C567F">
            <w:pPr>
              <w:pStyle w:val="TableTextRight"/>
              <w:rPr>
                <w:rFonts w:cstheme="minorHAnsi"/>
              </w:rPr>
            </w:pPr>
            <w:r w:rsidRPr="006D0AA5">
              <w:rPr>
                <w:rFonts w:ascii="Calibri" w:hAnsi="Calibri"/>
              </w:rPr>
              <w:t>41.</w:t>
            </w:r>
            <w:r w:rsidR="007E179A">
              <w:rPr>
                <w:rFonts w:ascii="Calibri" w:hAnsi="Calibri" w:cs="Calibri"/>
              </w:rPr>
              <w:t>3</w:t>
            </w:r>
          </w:p>
        </w:tc>
      </w:tr>
      <w:tr w:rsidR="00F67DB6" w:rsidRPr="00A1737D" w14:paraId="0833873B" w14:textId="77777777" w:rsidTr="000D6011">
        <w:tc>
          <w:tcPr>
            <w:tcW w:w="0" w:type="dxa"/>
          </w:tcPr>
          <w:p w14:paraId="44B5CC0B" w14:textId="77777777" w:rsidR="00DA35F7" w:rsidRPr="006A6673" w:rsidRDefault="00DA35F7" w:rsidP="004C567F">
            <w:pPr>
              <w:pStyle w:val="Tabletextleftindent"/>
              <w:rPr>
                <w:b/>
              </w:rPr>
            </w:pPr>
            <w:r w:rsidRPr="006A6673">
              <w:t>Greater Perth</w:t>
            </w:r>
          </w:p>
        </w:tc>
        <w:tc>
          <w:tcPr>
            <w:tcW w:w="0" w:type="dxa"/>
            <w:tcBorders>
              <w:top w:val="nil"/>
              <w:left w:val="nil"/>
              <w:bottom w:val="nil"/>
              <w:right w:val="nil"/>
            </w:tcBorders>
            <w:vAlign w:val="center"/>
          </w:tcPr>
          <w:p w14:paraId="0D618AFB" w14:textId="30708D3E" w:rsidR="00DA35F7" w:rsidRPr="00E20618" w:rsidRDefault="0076425F" w:rsidP="004C567F">
            <w:pPr>
              <w:pStyle w:val="TableTextRight"/>
              <w:rPr>
                <w:rFonts w:cstheme="minorHAnsi"/>
              </w:rPr>
            </w:pPr>
            <w:r w:rsidRPr="006D0AA5">
              <w:rPr>
                <w:rFonts w:ascii="Calibri" w:hAnsi="Calibri"/>
              </w:rPr>
              <w:t>33.9</w:t>
            </w:r>
          </w:p>
        </w:tc>
        <w:tc>
          <w:tcPr>
            <w:tcW w:w="0" w:type="dxa"/>
            <w:tcBorders>
              <w:top w:val="nil"/>
              <w:left w:val="nil"/>
              <w:bottom w:val="nil"/>
              <w:right w:val="nil"/>
            </w:tcBorders>
            <w:shd w:val="clear" w:color="auto" w:fill="D2EDFF" w:themeFill="accent1" w:themeFillTint="1A"/>
            <w:vAlign w:val="center"/>
          </w:tcPr>
          <w:p w14:paraId="721D6F82" w14:textId="68E760A8" w:rsidR="00DA35F7" w:rsidRPr="00E20618" w:rsidRDefault="0076425F" w:rsidP="004C567F">
            <w:pPr>
              <w:pStyle w:val="TableTextRight"/>
              <w:rPr>
                <w:rFonts w:cstheme="minorHAnsi"/>
              </w:rPr>
            </w:pPr>
            <w:r w:rsidRPr="006D0AA5">
              <w:rPr>
                <w:rFonts w:ascii="Calibri" w:hAnsi="Calibri"/>
              </w:rPr>
              <w:t>75.9</w:t>
            </w:r>
          </w:p>
        </w:tc>
        <w:tc>
          <w:tcPr>
            <w:tcW w:w="0" w:type="dxa"/>
            <w:tcBorders>
              <w:top w:val="nil"/>
              <w:left w:val="nil"/>
              <w:bottom w:val="nil"/>
              <w:right w:val="nil"/>
            </w:tcBorders>
            <w:vAlign w:val="center"/>
          </w:tcPr>
          <w:p w14:paraId="6E4BD47F" w14:textId="0EE24214" w:rsidR="00DA35F7" w:rsidRPr="00E20618" w:rsidRDefault="007E179A" w:rsidP="004C567F">
            <w:pPr>
              <w:pStyle w:val="TableTextRight"/>
              <w:rPr>
                <w:rFonts w:cstheme="minorHAnsi"/>
              </w:rPr>
            </w:pPr>
            <w:r>
              <w:rPr>
                <w:rFonts w:ascii="Calibri" w:hAnsi="Calibri" w:cs="Calibri"/>
              </w:rPr>
              <w:t>53.7</w:t>
            </w:r>
          </w:p>
        </w:tc>
        <w:tc>
          <w:tcPr>
            <w:tcW w:w="0" w:type="dxa"/>
            <w:tcBorders>
              <w:top w:val="nil"/>
              <w:left w:val="nil"/>
              <w:bottom w:val="nil"/>
              <w:right w:val="nil"/>
            </w:tcBorders>
            <w:vAlign w:val="center"/>
          </w:tcPr>
          <w:p w14:paraId="6E23F928" w14:textId="190DBF54" w:rsidR="00DA35F7" w:rsidRPr="00E20618" w:rsidRDefault="007E179A" w:rsidP="004C567F">
            <w:pPr>
              <w:pStyle w:val="TableTextRight"/>
              <w:rPr>
                <w:rFonts w:cstheme="minorHAnsi"/>
              </w:rPr>
            </w:pPr>
            <w:r>
              <w:rPr>
                <w:rFonts w:ascii="Calibri" w:hAnsi="Calibri" w:cs="Calibri"/>
              </w:rPr>
              <w:t>41.5</w:t>
            </w:r>
          </w:p>
        </w:tc>
        <w:tc>
          <w:tcPr>
            <w:tcW w:w="0" w:type="dxa"/>
            <w:tcBorders>
              <w:top w:val="nil"/>
              <w:left w:val="nil"/>
              <w:bottom w:val="nil"/>
              <w:right w:val="single" w:sz="4" w:space="0" w:color="auto"/>
            </w:tcBorders>
            <w:vAlign w:val="center"/>
          </w:tcPr>
          <w:p w14:paraId="751A5875" w14:textId="3F71A69F" w:rsidR="00DA35F7" w:rsidRPr="00E20618" w:rsidRDefault="007E179A" w:rsidP="004C567F">
            <w:pPr>
              <w:pStyle w:val="TableTextRight"/>
              <w:rPr>
                <w:rFonts w:cstheme="minorHAnsi"/>
              </w:rPr>
            </w:pPr>
            <w:r>
              <w:rPr>
                <w:rFonts w:ascii="Calibri" w:hAnsi="Calibri" w:cs="Calibri"/>
              </w:rPr>
              <w:t>40.5</w:t>
            </w:r>
          </w:p>
        </w:tc>
        <w:tc>
          <w:tcPr>
            <w:tcW w:w="0" w:type="dxa"/>
            <w:tcBorders>
              <w:top w:val="nil"/>
              <w:left w:val="single" w:sz="4" w:space="0" w:color="auto"/>
              <w:bottom w:val="nil"/>
              <w:right w:val="nil"/>
            </w:tcBorders>
            <w:vAlign w:val="center"/>
          </w:tcPr>
          <w:p w14:paraId="0EC0741F" w14:textId="061208F1" w:rsidR="00DA35F7" w:rsidRPr="00E20618" w:rsidRDefault="007E179A" w:rsidP="004C567F">
            <w:pPr>
              <w:pStyle w:val="TableTextRight"/>
              <w:rPr>
                <w:rFonts w:cstheme="minorHAnsi"/>
              </w:rPr>
            </w:pPr>
            <w:r>
              <w:rPr>
                <w:rFonts w:ascii="Calibri" w:hAnsi="Calibri" w:cs="Calibri"/>
              </w:rPr>
              <w:t>37.9</w:t>
            </w:r>
          </w:p>
        </w:tc>
      </w:tr>
      <w:tr w:rsidR="00F67DB6" w:rsidRPr="00A1737D" w14:paraId="1B2E5AFC" w14:textId="77777777">
        <w:tc>
          <w:tcPr>
            <w:tcW w:w="0" w:type="dxa"/>
            <w:tcBorders>
              <w:bottom w:val="single" w:sz="4" w:space="0" w:color="auto"/>
            </w:tcBorders>
          </w:tcPr>
          <w:p w14:paraId="3BD79E3A" w14:textId="77777777" w:rsidR="00DA35F7" w:rsidRPr="006A6673" w:rsidRDefault="00DA35F7" w:rsidP="004C567F">
            <w:pPr>
              <w:pStyle w:val="Tabletextleftindent"/>
              <w:rPr>
                <w:b/>
              </w:rPr>
            </w:pPr>
            <w:r w:rsidRPr="006A6673">
              <w:t>Rest of Western Australia</w:t>
            </w:r>
          </w:p>
        </w:tc>
        <w:tc>
          <w:tcPr>
            <w:tcW w:w="0" w:type="dxa"/>
            <w:tcBorders>
              <w:top w:val="nil"/>
              <w:left w:val="nil"/>
              <w:bottom w:val="single" w:sz="4" w:space="0" w:color="auto"/>
              <w:right w:val="nil"/>
            </w:tcBorders>
            <w:vAlign w:val="center"/>
          </w:tcPr>
          <w:p w14:paraId="59DDEEF6" w14:textId="67E72FFC" w:rsidR="00DA35F7" w:rsidRPr="00E20618" w:rsidRDefault="0076425F" w:rsidP="004C567F">
            <w:pPr>
              <w:pStyle w:val="TableTextRight"/>
              <w:rPr>
                <w:rFonts w:cstheme="minorHAnsi"/>
              </w:rPr>
            </w:pPr>
            <w:r w:rsidRPr="006D0AA5">
              <w:rPr>
                <w:rFonts w:ascii="Calibri" w:hAnsi="Calibri"/>
              </w:rPr>
              <w:t>5.9</w:t>
            </w:r>
          </w:p>
        </w:tc>
        <w:tc>
          <w:tcPr>
            <w:tcW w:w="0" w:type="dxa"/>
            <w:tcBorders>
              <w:top w:val="nil"/>
              <w:left w:val="nil"/>
              <w:bottom w:val="single" w:sz="4" w:space="0" w:color="auto"/>
              <w:right w:val="nil"/>
            </w:tcBorders>
            <w:shd w:val="clear" w:color="auto" w:fill="D2EDFF" w:themeFill="accent1" w:themeFillTint="1A"/>
            <w:vAlign w:val="center"/>
          </w:tcPr>
          <w:p w14:paraId="32252FAE" w14:textId="2B28BD20" w:rsidR="00DA35F7" w:rsidRPr="00E20618" w:rsidRDefault="0076425F" w:rsidP="004C567F">
            <w:pPr>
              <w:pStyle w:val="TableTextRight"/>
              <w:rPr>
                <w:rFonts w:cstheme="minorHAnsi"/>
              </w:rPr>
            </w:pPr>
            <w:r w:rsidRPr="006D0AA5">
              <w:rPr>
                <w:rFonts w:ascii="Calibri" w:hAnsi="Calibri"/>
              </w:rPr>
              <w:t>8.2</w:t>
            </w:r>
          </w:p>
        </w:tc>
        <w:tc>
          <w:tcPr>
            <w:tcW w:w="0" w:type="dxa"/>
            <w:tcBorders>
              <w:top w:val="nil"/>
              <w:left w:val="nil"/>
              <w:bottom w:val="single" w:sz="4" w:space="0" w:color="auto"/>
              <w:right w:val="nil"/>
            </w:tcBorders>
            <w:vAlign w:val="center"/>
          </w:tcPr>
          <w:p w14:paraId="57A2F7A8" w14:textId="7CEDBD98" w:rsidR="00DA35F7" w:rsidRPr="00E20618" w:rsidRDefault="0076425F" w:rsidP="004C567F">
            <w:pPr>
              <w:pStyle w:val="TableTextRight"/>
              <w:rPr>
                <w:rFonts w:cstheme="minorHAnsi"/>
              </w:rPr>
            </w:pPr>
            <w:r w:rsidRPr="006D0AA5">
              <w:rPr>
                <w:rFonts w:ascii="Calibri" w:hAnsi="Calibri"/>
              </w:rPr>
              <w:t>5.</w:t>
            </w:r>
            <w:r w:rsidR="007E179A">
              <w:rPr>
                <w:rFonts w:ascii="Calibri" w:hAnsi="Calibri" w:cs="Calibri"/>
              </w:rPr>
              <w:t>4</w:t>
            </w:r>
          </w:p>
        </w:tc>
        <w:tc>
          <w:tcPr>
            <w:tcW w:w="0" w:type="dxa"/>
            <w:tcBorders>
              <w:top w:val="nil"/>
              <w:left w:val="nil"/>
              <w:bottom w:val="single" w:sz="4" w:space="0" w:color="auto"/>
              <w:right w:val="nil"/>
            </w:tcBorders>
            <w:vAlign w:val="center"/>
          </w:tcPr>
          <w:p w14:paraId="2203D2E2" w14:textId="478F6B53" w:rsidR="00DA35F7" w:rsidRPr="00E20618" w:rsidRDefault="007E179A" w:rsidP="004C567F">
            <w:pPr>
              <w:pStyle w:val="TableTextRight"/>
              <w:rPr>
                <w:rFonts w:cstheme="minorHAnsi"/>
              </w:rPr>
            </w:pPr>
            <w:r>
              <w:rPr>
                <w:rFonts w:ascii="Calibri" w:hAnsi="Calibri" w:cs="Calibri"/>
              </w:rPr>
              <w:t>3.7</w:t>
            </w:r>
          </w:p>
        </w:tc>
        <w:tc>
          <w:tcPr>
            <w:tcW w:w="0" w:type="dxa"/>
            <w:tcBorders>
              <w:top w:val="nil"/>
              <w:left w:val="nil"/>
              <w:bottom w:val="single" w:sz="4" w:space="0" w:color="auto"/>
              <w:right w:val="single" w:sz="4" w:space="0" w:color="auto"/>
            </w:tcBorders>
            <w:vAlign w:val="center"/>
          </w:tcPr>
          <w:p w14:paraId="07BDDC55" w14:textId="641539C6" w:rsidR="00DA35F7" w:rsidRPr="00E20618" w:rsidRDefault="0076425F" w:rsidP="004C567F">
            <w:pPr>
              <w:pStyle w:val="TableTextRight"/>
              <w:rPr>
                <w:rFonts w:cstheme="minorHAnsi"/>
              </w:rPr>
            </w:pPr>
            <w:r w:rsidRPr="006D0AA5">
              <w:rPr>
                <w:rFonts w:ascii="Calibri" w:hAnsi="Calibri"/>
              </w:rPr>
              <w:t>3.</w:t>
            </w:r>
            <w:r w:rsidR="007E179A">
              <w:rPr>
                <w:rFonts w:ascii="Calibri" w:hAnsi="Calibri" w:cs="Calibri"/>
              </w:rPr>
              <w:t>2</w:t>
            </w:r>
          </w:p>
        </w:tc>
        <w:tc>
          <w:tcPr>
            <w:tcW w:w="0" w:type="dxa"/>
            <w:tcBorders>
              <w:top w:val="nil"/>
              <w:left w:val="single" w:sz="4" w:space="0" w:color="auto"/>
              <w:bottom w:val="single" w:sz="4" w:space="0" w:color="auto"/>
              <w:right w:val="nil"/>
            </w:tcBorders>
            <w:vAlign w:val="center"/>
          </w:tcPr>
          <w:p w14:paraId="19BA4D26" w14:textId="1D564CFB" w:rsidR="00DA35F7" w:rsidRPr="00E20618" w:rsidRDefault="0076425F" w:rsidP="004C567F">
            <w:pPr>
              <w:pStyle w:val="TableTextRight"/>
              <w:rPr>
                <w:rFonts w:cstheme="minorHAnsi"/>
              </w:rPr>
            </w:pPr>
            <w:r w:rsidRPr="006D0AA5">
              <w:rPr>
                <w:rFonts w:ascii="Calibri" w:hAnsi="Calibri"/>
              </w:rPr>
              <w:t>3.</w:t>
            </w:r>
            <w:r w:rsidR="007E179A">
              <w:rPr>
                <w:rFonts w:ascii="Calibri" w:hAnsi="Calibri" w:cs="Calibri"/>
              </w:rPr>
              <w:t>4</w:t>
            </w:r>
          </w:p>
        </w:tc>
      </w:tr>
      <w:tr w:rsidR="00F67DB6" w:rsidRPr="00A1737D" w14:paraId="7843C8E5" w14:textId="77777777">
        <w:tc>
          <w:tcPr>
            <w:tcW w:w="0" w:type="dxa"/>
            <w:tcBorders>
              <w:top w:val="single" w:sz="4" w:space="0" w:color="auto"/>
              <w:bottom w:val="nil"/>
            </w:tcBorders>
          </w:tcPr>
          <w:p w14:paraId="5C654784" w14:textId="19AC728C" w:rsidR="00DA35F7" w:rsidRPr="006D0AA5" w:rsidRDefault="00DA35F7" w:rsidP="004C567F">
            <w:pPr>
              <w:pStyle w:val="TableColumnHeadingLeft"/>
            </w:pPr>
            <w:r w:rsidRPr="00485848">
              <w:t>Natural increase (</w:t>
            </w:r>
            <w:r w:rsidR="004B14AB" w:rsidRPr="00485848">
              <w:t>‘</w:t>
            </w:r>
            <w:r w:rsidRPr="00485848">
              <w:t>000)</w:t>
            </w:r>
          </w:p>
        </w:tc>
        <w:tc>
          <w:tcPr>
            <w:tcW w:w="0" w:type="dxa"/>
            <w:tcBorders>
              <w:top w:val="single" w:sz="4" w:space="0" w:color="auto"/>
              <w:left w:val="nil"/>
              <w:bottom w:val="nil"/>
              <w:right w:val="nil"/>
            </w:tcBorders>
            <w:vAlign w:val="center"/>
          </w:tcPr>
          <w:p w14:paraId="34758838"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1BF78A16" w14:textId="4DC262C0" w:rsidR="00DA35F7" w:rsidRPr="00E20618" w:rsidRDefault="0076425F" w:rsidP="004C567F">
            <w:pPr>
              <w:pStyle w:val="TableTextRight"/>
              <w:rPr>
                <w:rFonts w:cstheme="minorHAnsi"/>
              </w:rPr>
            </w:pPr>
            <w:r w:rsidRPr="006D0AA5">
              <w:rPr>
                <w:rFonts w:ascii="Calibri" w:hAnsi="Calibri"/>
              </w:rPr>
              <w:t> </w:t>
            </w:r>
          </w:p>
        </w:tc>
        <w:tc>
          <w:tcPr>
            <w:tcW w:w="0" w:type="dxa"/>
            <w:tcBorders>
              <w:top w:val="single" w:sz="4" w:space="0" w:color="auto"/>
              <w:left w:val="nil"/>
              <w:bottom w:val="nil"/>
              <w:right w:val="nil"/>
            </w:tcBorders>
            <w:vAlign w:val="center"/>
          </w:tcPr>
          <w:p w14:paraId="02793B3F"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nil"/>
            </w:tcBorders>
            <w:vAlign w:val="center"/>
          </w:tcPr>
          <w:p w14:paraId="7FE29DC6"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33CBB67C" w14:textId="35534C2C" w:rsidR="00DA35F7" w:rsidRPr="00E20618" w:rsidRDefault="0076425F" w:rsidP="004C567F">
            <w:pPr>
              <w:pStyle w:val="TableTextRight"/>
              <w:rPr>
                <w:rFonts w:cstheme="minorHAnsi"/>
              </w:rPr>
            </w:pPr>
            <w:r w:rsidRPr="006D0AA5">
              <w:rPr>
                <w:rFonts w:ascii="Calibri" w:hAnsi="Calibri"/>
              </w:rPr>
              <w:t> </w:t>
            </w:r>
          </w:p>
        </w:tc>
        <w:tc>
          <w:tcPr>
            <w:tcW w:w="0" w:type="dxa"/>
            <w:tcBorders>
              <w:top w:val="single" w:sz="4" w:space="0" w:color="auto"/>
              <w:left w:val="single" w:sz="4" w:space="0" w:color="auto"/>
              <w:bottom w:val="nil"/>
              <w:right w:val="nil"/>
            </w:tcBorders>
            <w:vAlign w:val="center"/>
          </w:tcPr>
          <w:p w14:paraId="29247FB3" w14:textId="77777777" w:rsidR="00DA35F7" w:rsidRPr="00E20618" w:rsidRDefault="00DA35F7" w:rsidP="004C567F">
            <w:pPr>
              <w:pStyle w:val="TableTextRight"/>
              <w:rPr>
                <w:rFonts w:cstheme="minorHAnsi"/>
              </w:rPr>
            </w:pPr>
          </w:p>
        </w:tc>
      </w:tr>
      <w:tr w:rsidR="00F67DB6" w:rsidRPr="00A1737D" w14:paraId="0F971400" w14:textId="77777777">
        <w:tc>
          <w:tcPr>
            <w:tcW w:w="0" w:type="dxa"/>
            <w:tcBorders>
              <w:top w:val="nil"/>
            </w:tcBorders>
          </w:tcPr>
          <w:p w14:paraId="5B7EF559" w14:textId="77777777" w:rsidR="00DA35F7" w:rsidRPr="006D0AA5" w:rsidRDefault="00DA35F7" w:rsidP="004C567F">
            <w:pPr>
              <w:pStyle w:val="TableTextLeft"/>
              <w:rPr>
                <w:b/>
              </w:rPr>
            </w:pPr>
            <w:r w:rsidRPr="006D0AA5">
              <w:t>Western Australia</w:t>
            </w:r>
          </w:p>
        </w:tc>
        <w:tc>
          <w:tcPr>
            <w:tcW w:w="0" w:type="dxa"/>
            <w:tcBorders>
              <w:top w:val="nil"/>
              <w:left w:val="nil"/>
              <w:bottom w:val="nil"/>
              <w:right w:val="nil"/>
            </w:tcBorders>
            <w:vAlign w:val="center"/>
          </w:tcPr>
          <w:p w14:paraId="3097306C" w14:textId="579E0774" w:rsidR="00DA35F7" w:rsidRPr="00E20618" w:rsidRDefault="0076425F" w:rsidP="004C567F">
            <w:pPr>
              <w:pStyle w:val="TableTextRight"/>
              <w:rPr>
                <w:rFonts w:cstheme="minorHAnsi"/>
              </w:rPr>
            </w:pPr>
            <w:r w:rsidRPr="006D0AA5">
              <w:rPr>
                <w:rFonts w:ascii="Calibri" w:hAnsi="Calibri"/>
              </w:rPr>
              <w:t>16.8</w:t>
            </w:r>
          </w:p>
        </w:tc>
        <w:tc>
          <w:tcPr>
            <w:tcW w:w="0" w:type="dxa"/>
            <w:tcBorders>
              <w:top w:val="nil"/>
              <w:left w:val="nil"/>
              <w:bottom w:val="nil"/>
              <w:right w:val="nil"/>
            </w:tcBorders>
            <w:shd w:val="clear" w:color="auto" w:fill="D2EDFF" w:themeFill="accent1" w:themeFillTint="1A"/>
            <w:vAlign w:val="center"/>
          </w:tcPr>
          <w:p w14:paraId="332977F3" w14:textId="6490D451" w:rsidR="00DA35F7" w:rsidRPr="00E20618" w:rsidRDefault="0076425F" w:rsidP="004C567F">
            <w:pPr>
              <w:pStyle w:val="TableTextRight"/>
              <w:rPr>
                <w:rFonts w:cstheme="minorHAnsi"/>
              </w:rPr>
            </w:pPr>
            <w:r w:rsidRPr="006D0AA5">
              <w:rPr>
                <w:rFonts w:ascii="Calibri" w:hAnsi="Calibri"/>
              </w:rPr>
              <w:t>16.2</w:t>
            </w:r>
          </w:p>
        </w:tc>
        <w:tc>
          <w:tcPr>
            <w:tcW w:w="0" w:type="dxa"/>
            <w:tcBorders>
              <w:top w:val="nil"/>
              <w:left w:val="nil"/>
              <w:bottom w:val="nil"/>
              <w:right w:val="nil"/>
            </w:tcBorders>
            <w:vAlign w:val="center"/>
          </w:tcPr>
          <w:p w14:paraId="58EB8183" w14:textId="232E05D6" w:rsidR="00DA35F7" w:rsidRPr="00E20618" w:rsidRDefault="0076425F" w:rsidP="004C567F">
            <w:pPr>
              <w:pStyle w:val="TableTextRight"/>
              <w:rPr>
                <w:rFonts w:cstheme="minorHAnsi"/>
              </w:rPr>
            </w:pPr>
            <w:r w:rsidRPr="006D0AA5">
              <w:rPr>
                <w:rFonts w:ascii="Calibri" w:hAnsi="Calibri"/>
              </w:rPr>
              <w:t>17.5</w:t>
            </w:r>
          </w:p>
        </w:tc>
        <w:tc>
          <w:tcPr>
            <w:tcW w:w="0" w:type="dxa"/>
            <w:tcBorders>
              <w:top w:val="nil"/>
              <w:left w:val="nil"/>
              <w:bottom w:val="nil"/>
              <w:right w:val="nil"/>
            </w:tcBorders>
            <w:vAlign w:val="center"/>
          </w:tcPr>
          <w:p w14:paraId="5DD46F6E" w14:textId="12D3E9D1" w:rsidR="00DA35F7" w:rsidRPr="00E20618" w:rsidRDefault="0076425F" w:rsidP="004C567F">
            <w:pPr>
              <w:pStyle w:val="TableTextRight"/>
              <w:rPr>
                <w:rFonts w:cstheme="minorHAnsi"/>
              </w:rPr>
            </w:pPr>
            <w:r w:rsidRPr="006D0AA5">
              <w:rPr>
                <w:rFonts w:ascii="Calibri" w:hAnsi="Calibri"/>
              </w:rPr>
              <w:t>18.</w:t>
            </w:r>
            <w:r w:rsidR="007E179A">
              <w:rPr>
                <w:rFonts w:ascii="Calibri" w:hAnsi="Calibri" w:cs="Calibri"/>
              </w:rPr>
              <w:t>1</w:t>
            </w:r>
          </w:p>
        </w:tc>
        <w:tc>
          <w:tcPr>
            <w:tcW w:w="0" w:type="dxa"/>
            <w:tcBorders>
              <w:top w:val="nil"/>
              <w:left w:val="nil"/>
              <w:bottom w:val="nil"/>
              <w:right w:val="single" w:sz="4" w:space="0" w:color="auto"/>
            </w:tcBorders>
            <w:vAlign w:val="center"/>
          </w:tcPr>
          <w:p w14:paraId="39C3BDEE" w14:textId="66BDA5FB" w:rsidR="00DA35F7" w:rsidRPr="00E20618" w:rsidRDefault="0076425F" w:rsidP="004C567F">
            <w:pPr>
              <w:pStyle w:val="TableTextRight"/>
              <w:rPr>
                <w:rFonts w:cstheme="minorHAnsi"/>
              </w:rPr>
            </w:pPr>
            <w:r w:rsidRPr="006D0AA5">
              <w:rPr>
                <w:rFonts w:ascii="Calibri" w:hAnsi="Calibri"/>
              </w:rPr>
              <w:t>18.</w:t>
            </w:r>
            <w:r w:rsidR="007E179A">
              <w:rPr>
                <w:rFonts w:ascii="Calibri" w:hAnsi="Calibri" w:cs="Calibri"/>
              </w:rPr>
              <w:t>3</w:t>
            </w:r>
          </w:p>
        </w:tc>
        <w:tc>
          <w:tcPr>
            <w:tcW w:w="0" w:type="dxa"/>
            <w:tcBorders>
              <w:top w:val="nil"/>
              <w:left w:val="single" w:sz="4" w:space="0" w:color="auto"/>
              <w:bottom w:val="nil"/>
              <w:right w:val="nil"/>
            </w:tcBorders>
            <w:vAlign w:val="center"/>
          </w:tcPr>
          <w:p w14:paraId="255A2DAD" w14:textId="14956AB9" w:rsidR="00DA35F7" w:rsidRPr="00E20618" w:rsidRDefault="0076425F" w:rsidP="004C567F">
            <w:pPr>
              <w:pStyle w:val="TableTextRight"/>
              <w:rPr>
                <w:rFonts w:cstheme="minorHAnsi"/>
              </w:rPr>
            </w:pPr>
            <w:r w:rsidRPr="006D0AA5">
              <w:rPr>
                <w:rFonts w:ascii="Calibri" w:hAnsi="Calibri"/>
              </w:rPr>
              <w:t>17.</w:t>
            </w:r>
            <w:r w:rsidR="007E179A">
              <w:rPr>
                <w:rFonts w:ascii="Calibri" w:hAnsi="Calibri" w:cs="Calibri"/>
              </w:rPr>
              <w:t>2</w:t>
            </w:r>
          </w:p>
        </w:tc>
      </w:tr>
      <w:tr w:rsidR="00F67DB6" w:rsidRPr="00A1737D" w14:paraId="16F2FD6F" w14:textId="77777777" w:rsidTr="000D6011">
        <w:tc>
          <w:tcPr>
            <w:tcW w:w="0" w:type="dxa"/>
          </w:tcPr>
          <w:p w14:paraId="31E708C9" w14:textId="77777777" w:rsidR="00DA35F7" w:rsidRPr="006A6673" w:rsidRDefault="00DA35F7" w:rsidP="004C567F">
            <w:pPr>
              <w:pStyle w:val="Tabletextleftindent"/>
              <w:rPr>
                <w:b/>
              </w:rPr>
            </w:pPr>
            <w:r w:rsidRPr="006A6673">
              <w:t>Greater Perth</w:t>
            </w:r>
          </w:p>
        </w:tc>
        <w:tc>
          <w:tcPr>
            <w:tcW w:w="0" w:type="dxa"/>
            <w:tcBorders>
              <w:top w:val="nil"/>
              <w:left w:val="nil"/>
              <w:bottom w:val="nil"/>
              <w:right w:val="nil"/>
            </w:tcBorders>
            <w:vAlign w:val="center"/>
          </w:tcPr>
          <w:p w14:paraId="0748D71F" w14:textId="1A3904CD" w:rsidR="00DA35F7" w:rsidRPr="00E20618" w:rsidRDefault="0076425F" w:rsidP="004C567F">
            <w:pPr>
              <w:pStyle w:val="TableTextRight"/>
              <w:rPr>
                <w:rFonts w:cstheme="minorHAnsi"/>
              </w:rPr>
            </w:pPr>
            <w:r w:rsidRPr="006D0AA5">
              <w:rPr>
                <w:rFonts w:ascii="Calibri" w:hAnsi="Calibri"/>
              </w:rPr>
              <w:t>13.4</w:t>
            </w:r>
          </w:p>
        </w:tc>
        <w:tc>
          <w:tcPr>
            <w:tcW w:w="0" w:type="dxa"/>
            <w:tcBorders>
              <w:top w:val="nil"/>
              <w:left w:val="nil"/>
              <w:bottom w:val="nil"/>
              <w:right w:val="nil"/>
            </w:tcBorders>
            <w:shd w:val="clear" w:color="auto" w:fill="D2EDFF" w:themeFill="accent1" w:themeFillTint="1A"/>
            <w:vAlign w:val="center"/>
          </w:tcPr>
          <w:p w14:paraId="10717A69" w14:textId="1879E233" w:rsidR="00DA35F7" w:rsidRPr="00E20618" w:rsidRDefault="0076425F" w:rsidP="004C567F">
            <w:pPr>
              <w:pStyle w:val="TableTextRight"/>
              <w:rPr>
                <w:rFonts w:cstheme="minorHAnsi"/>
              </w:rPr>
            </w:pPr>
            <w:r w:rsidRPr="006D0AA5">
              <w:rPr>
                <w:rFonts w:ascii="Calibri" w:hAnsi="Calibri"/>
              </w:rPr>
              <w:t>13.9</w:t>
            </w:r>
          </w:p>
        </w:tc>
        <w:tc>
          <w:tcPr>
            <w:tcW w:w="0" w:type="dxa"/>
            <w:tcBorders>
              <w:top w:val="nil"/>
              <w:left w:val="nil"/>
              <w:bottom w:val="nil"/>
              <w:right w:val="nil"/>
            </w:tcBorders>
            <w:vAlign w:val="center"/>
          </w:tcPr>
          <w:p w14:paraId="6C71BFD2" w14:textId="432BFB32" w:rsidR="00DA35F7" w:rsidRPr="00E20618" w:rsidRDefault="0076425F" w:rsidP="004C567F">
            <w:pPr>
              <w:pStyle w:val="TableTextRight"/>
              <w:rPr>
                <w:rFonts w:cstheme="minorHAnsi"/>
              </w:rPr>
            </w:pPr>
            <w:r w:rsidRPr="006D0AA5">
              <w:rPr>
                <w:rFonts w:ascii="Calibri" w:hAnsi="Calibri"/>
              </w:rPr>
              <w:t>15.</w:t>
            </w:r>
            <w:r w:rsidR="007E179A">
              <w:rPr>
                <w:rFonts w:ascii="Calibri" w:hAnsi="Calibri" w:cs="Calibri"/>
              </w:rPr>
              <w:t>0</w:t>
            </w:r>
          </w:p>
        </w:tc>
        <w:tc>
          <w:tcPr>
            <w:tcW w:w="0" w:type="dxa"/>
            <w:tcBorders>
              <w:top w:val="nil"/>
              <w:left w:val="nil"/>
              <w:bottom w:val="nil"/>
              <w:right w:val="nil"/>
            </w:tcBorders>
            <w:vAlign w:val="center"/>
          </w:tcPr>
          <w:p w14:paraId="62D8C589" w14:textId="09508BA7" w:rsidR="00DA35F7" w:rsidRPr="00E20618" w:rsidRDefault="0076425F" w:rsidP="004C567F">
            <w:pPr>
              <w:pStyle w:val="TableTextRight"/>
              <w:rPr>
                <w:rFonts w:cstheme="minorHAnsi"/>
              </w:rPr>
            </w:pPr>
            <w:r w:rsidRPr="006D0AA5">
              <w:rPr>
                <w:rFonts w:ascii="Calibri" w:hAnsi="Calibri"/>
              </w:rPr>
              <w:t>15.</w:t>
            </w:r>
            <w:r w:rsidR="007E179A">
              <w:rPr>
                <w:rFonts w:ascii="Calibri" w:hAnsi="Calibri" w:cs="Calibri"/>
              </w:rPr>
              <w:t>6</w:t>
            </w:r>
          </w:p>
        </w:tc>
        <w:tc>
          <w:tcPr>
            <w:tcW w:w="0" w:type="dxa"/>
            <w:tcBorders>
              <w:top w:val="nil"/>
              <w:left w:val="nil"/>
              <w:bottom w:val="nil"/>
              <w:right w:val="single" w:sz="4" w:space="0" w:color="auto"/>
            </w:tcBorders>
            <w:vAlign w:val="center"/>
          </w:tcPr>
          <w:p w14:paraId="311F087D" w14:textId="720A3B04" w:rsidR="00DA35F7" w:rsidRPr="00E20618" w:rsidRDefault="007E179A" w:rsidP="004C567F">
            <w:pPr>
              <w:pStyle w:val="TableTextRight"/>
              <w:rPr>
                <w:rFonts w:cstheme="minorHAnsi"/>
              </w:rPr>
            </w:pPr>
            <w:r>
              <w:rPr>
                <w:rFonts w:ascii="Calibri" w:hAnsi="Calibri" w:cs="Calibri"/>
              </w:rPr>
              <w:t>15.8</w:t>
            </w:r>
          </w:p>
        </w:tc>
        <w:tc>
          <w:tcPr>
            <w:tcW w:w="0" w:type="dxa"/>
            <w:tcBorders>
              <w:top w:val="nil"/>
              <w:left w:val="single" w:sz="4" w:space="0" w:color="auto"/>
              <w:bottom w:val="nil"/>
              <w:right w:val="nil"/>
            </w:tcBorders>
            <w:vAlign w:val="center"/>
          </w:tcPr>
          <w:p w14:paraId="0E957695" w14:textId="0D86EEE2" w:rsidR="00DA35F7" w:rsidRPr="00E20618" w:rsidRDefault="0076425F" w:rsidP="004C567F">
            <w:pPr>
              <w:pStyle w:val="TableTextRight"/>
              <w:rPr>
                <w:rFonts w:cstheme="minorHAnsi"/>
              </w:rPr>
            </w:pPr>
            <w:r w:rsidRPr="006D0AA5">
              <w:rPr>
                <w:rFonts w:ascii="Calibri" w:hAnsi="Calibri"/>
              </w:rPr>
              <w:t>15.</w:t>
            </w:r>
            <w:r w:rsidR="007E179A">
              <w:rPr>
                <w:rFonts w:ascii="Calibri" w:hAnsi="Calibri" w:cs="Calibri"/>
              </w:rPr>
              <w:t>5</w:t>
            </w:r>
          </w:p>
        </w:tc>
      </w:tr>
      <w:tr w:rsidR="00F67DB6" w:rsidRPr="00A1737D" w14:paraId="23538444" w14:textId="77777777" w:rsidTr="000D6011">
        <w:tc>
          <w:tcPr>
            <w:tcW w:w="0" w:type="dxa"/>
          </w:tcPr>
          <w:p w14:paraId="02F153DC" w14:textId="77777777" w:rsidR="00DA35F7" w:rsidRPr="006A6673" w:rsidRDefault="00DA35F7" w:rsidP="004C567F">
            <w:pPr>
              <w:pStyle w:val="Tabletextleftindent"/>
              <w:rPr>
                <w:b/>
              </w:rPr>
            </w:pPr>
            <w:r w:rsidRPr="006A6673">
              <w:t>Rest of Western Australia</w:t>
            </w:r>
          </w:p>
        </w:tc>
        <w:tc>
          <w:tcPr>
            <w:tcW w:w="0" w:type="dxa"/>
            <w:tcBorders>
              <w:top w:val="nil"/>
              <w:left w:val="nil"/>
              <w:bottom w:val="nil"/>
              <w:right w:val="nil"/>
            </w:tcBorders>
            <w:vAlign w:val="center"/>
          </w:tcPr>
          <w:p w14:paraId="7F2ACBCD" w14:textId="6CCC9429" w:rsidR="00DA35F7" w:rsidRPr="00E20618" w:rsidRDefault="0076425F" w:rsidP="004C567F">
            <w:pPr>
              <w:pStyle w:val="TableTextRight"/>
              <w:rPr>
                <w:rFonts w:cstheme="minorHAnsi"/>
              </w:rPr>
            </w:pPr>
            <w:r w:rsidRPr="006D0AA5">
              <w:rPr>
                <w:rFonts w:ascii="Calibri" w:hAnsi="Calibri"/>
              </w:rPr>
              <w:t>2.8</w:t>
            </w:r>
          </w:p>
        </w:tc>
        <w:tc>
          <w:tcPr>
            <w:tcW w:w="0" w:type="dxa"/>
            <w:tcBorders>
              <w:top w:val="nil"/>
              <w:left w:val="nil"/>
              <w:bottom w:val="nil"/>
              <w:right w:val="nil"/>
            </w:tcBorders>
            <w:shd w:val="clear" w:color="auto" w:fill="D2EDFF" w:themeFill="accent1" w:themeFillTint="1A"/>
            <w:vAlign w:val="center"/>
          </w:tcPr>
          <w:p w14:paraId="27D9701D" w14:textId="7F5CDB9B" w:rsidR="00DA35F7" w:rsidRPr="00E20618" w:rsidRDefault="0076425F" w:rsidP="004C567F">
            <w:pPr>
              <w:pStyle w:val="TableTextRight"/>
              <w:rPr>
                <w:rFonts w:cstheme="minorHAnsi"/>
              </w:rPr>
            </w:pPr>
            <w:r w:rsidRPr="006D0AA5">
              <w:rPr>
                <w:rFonts w:ascii="Calibri" w:hAnsi="Calibri"/>
              </w:rPr>
              <w:t>2.3</w:t>
            </w:r>
          </w:p>
        </w:tc>
        <w:tc>
          <w:tcPr>
            <w:tcW w:w="0" w:type="dxa"/>
            <w:tcBorders>
              <w:top w:val="nil"/>
              <w:left w:val="nil"/>
              <w:bottom w:val="nil"/>
              <w:right w:val="nil"/>
            </w:tcBorders>
            <w:vAlign w:val="center"/>
          </w:tcPr>
          <w:p w14:paraId="5BAEBDA8" w14:textId="2861CD1C" w:rsidR="00DA35F7" w:rsidRPr="00E20618" w:rsidRDefault="0076425F" w:rsidP="004C567F">
            <w:pPr>
              <w:pStyle w:val="TableTextRight"/>
              <w:rPr>
                <w:rFonts w:cstheme="minorHAnsi"/>
              </w:rPr>
            </w:pPr>
            <w:r w:rsidRPr="006D0AA5">
              <w:rPr>
                <w:rFonts w:ascii="Calibri" w:hAnsi="Calibri"/>
              </w:rPr>
              <w:t>2.4</w:t>
            </w:r>
          </w:p>
        </w:tc>
        <w:tc>
          <w:tcPr>
            <w:tcW w:w="0" w:type="dxa"/>
            <w:tcBorders>
              <w:top w:val="nil"/>
              <w:left w:val="nil"/>
              <w:bottom w:val="nil"/>
              <w:right w:val="nil"/>
            </w:tcBorders>
            <w:vAlign w:val="center"/>
          </w:tcPr>
          <w:p w14:paraId="59AECDEA" w14:textId="4B067221" w:rsidR="00DA35F7" w:rsidRPr="00E20618" w:rsidRDefault="0076425F" w:rsidP="004C567F">
            <w:pPr>
              <w:pStyle w:val="TableTextRight"/>
              <w:rPr>
                <w:rFonts w:cstheme="minorHAnsi"/>
              </w:rPr>
            </w:pPr>
            <w:r w:rsidRPr="006D0AA5">
              <w:rPr>
                <w:rFonts w:ascii="Calibri" w:hAnsi="Calibri"/>
              </w:rPr>
              <w:t>2.5</w:t>
            </w:r>
          </w:p>
        </w:tc>
        <w:tc>
          <w:tcPr>
            <w:tcW w:w="0" w:type="dxa"/>
            <w:tcBorders>
              <w:top w:val="nil"/>
              <w:left w:val="nil"/>
              <w:bottom w:val="nil"/>
              <w:right w:val="single" w:sz="4" w:space="0" w:color="auto"/>
            </w:tcBorders>
            <w:vAlign w:val="center"/>
          </w:tcPr>
          <w:p w14:paraId="221E7BD3" w14:textId="0C871345"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4</w:t>
            </w:r>
          </w:p>
        </w:tc>
        <w:tc>
          <w:tcPr>
            <w:tcW w:w="0" w:type="dxa"/>
            <w:tcBorders>
              <w:top w:val="nil"/>
              <w:left w:val="single" w:sz="4" w:space="0" w:color="auto"/>
              <w:bottom w:val="nil"/>
              <w:right w:val="nil"/>
            </w:tcBorders>
            <w:vAlign w:val="center"/>
          </w:tcPr>
          <w:p w14:paraId="06812420" w14:textId="34FAF643" w:rsidR="00DA35F7" w:rsidRPr="00E20618" w:rsidRDefault="0076425F" w:rsidP="004C567F">
            <w:pPr>
              <w:pStyle w:val="TableTextRight"/>
              <w:rPr>
                <w:rFonts w:cstheme="minorHAnsi"/>
              </w:rPr>
            </w:pPr>
            <w:r w:rsidRPr="006D0AA5">
              <w:rPr>
                <w:rFonts w:ascii="Calibri" w:hAnsi="Calibri"/>
              </w:rPr>
              <w:t>1.</w:t>
            </w:r>
            <w:r w:rsidR="007E179A">
              <w:rPr>
                <w:rFonts w:ascii="Calibri" w:hAnsi="Calibri" w:cs="Calibri"/>
              </w:rPr>
              <w:t>7</w:t>
            </w:r>
          </w:p>
        </w:tc>
      </w:tr>
      <w:tr w:rsidR="00F67DB6" w:rsidRPr="00A1737D" w14:paraId="1BE87BF5" w14:textId="77777777" w:rsidTr="000D6011">
        <w:tc>
          <w:tcPr>
            <w:tcW w:w="0" w:type="dxa"/>
          </w:tcPr>
          <w:p w14:paraId="5605F7B9" w14:textId="7F3A7012" w:rsidR="00DA35F7" w:rsidRPr="006D0AA5" w:rsidRDefault="00DA35F7" w:rsidP="004C567F">
            <w:pPr>
              <w:pStyle w:val="TableColumnHeadingLeft"/>
            </w:pPr>
            <w:r w:rsidRPr="00485848">
              <w:t>Net overseas migration (</w:t>
            </w:r>
            <w:r w:rsidR="004B14AB" w:rsidRPr="00485848">
              <w:t>‘</w:t>
            </w:r>
            <w:r w:rsidRPr="00485848">
              <w:t>000)</w:t>
            </w:r>
          </w:p>
        </w:tc>
        <w:tc>
          <w:tcPr>
            <w:tcW w:w="0" w:type="dxa"/>
            <w:tcBorders>
              <w:top w:val="nil"/>
              <w:left w:val="nil"/>
              <w:bottom w:val="nil"/>
              <w:right w:val="nil"/>
            </w:tcBorders>
            <w:vAlign w:val="center"/>
          </w:tcPr>
          <w:p w14:paraId="3DFD57F0" w14:textId="77777777" w:rsidR="00DA35F7" w:rsidRPr="00E20618" w:rsidRDefault="00DA35F7"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3B2362F6" w14:textId="6B92398F"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nil"/>
              <w:bottom w:val="nil"/>
              <w:right w:val="nil"/>
            </w:tcBorders>
            <w:vAlign w:val="center"/>
          </w:tcPr>
          <w:p w14:paraId="579849DD" w14:textId="77777777" w:rsidR="00DA35F7" w:rsidRPr="00E20618" w:rsidRDefault="00DA35F7" w:rsidP="004C567F">
            <w:pPr>
              <w:pStyle w:val="TableTextRight"/>
              <w:rPr>
                <w:rFonts w:cstheme="minorHAnsi"/>
              </w:rPr>
            </w:pPr>
          </w:p>
        </w:tc>
        <w:tc>
          <w:tcPr>
            <w:tcW w:w="0" w:type="dxa"/>
            <w:tcBorders>
              <w:top w:val="nil"/>
              <w:left w:val="nil"/>
              <w:bottom w:val="nil"/>
              <w:right w:val="nil"/>
            </w:tcBorders>
            <w:vAlign w:val="center"/>
          </w:tcPr>
          <w:p w14:paraId="08567C9A" w14:textId="77777777" w:rsidR="00DA35F7" w:rsidRPr="00E20618" w:rsidRDefault="00DA35F7" w:rsidP="004C567F">
            <w:pPr>
              <w:pStyle w:val="TableTextRight"/>
              <w:rPr>
                <w:rFonts w:cstheme="minorHAnsi"/>
              </w:rPr>
            </w:pPr>
          </w:p>
        </w:tc>
        <w:tc>
          <w:tcPr>
            <w:tcW w:w="0" w:type="dxa"/>
            <w:tcBorders>
              <w:top w:val="nil"/>
              <w:left w:val="nil"/>
              <w:bottom w:val="nil"/>
              <w:right w:val="single" w:sz="4" w:space="0" w:color="auto"/>
            </w:tcBorders>
            <w:vAlign w:val="center"/>
          </w:tcPr>
          <w:p w14:paraId="78F6E733" w14:textId="63B71A29"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single" w:sz="4" w:space="0" w:color="auto"/>
              <w:bottom w:val="nil"/>
              <w:right w:val="nil"/>
            </w:tcBorders>
            <w:vAlign w:val="center"/>
          </w:tcPr>
          <w:p w14:paraId="331085C4" w14:textId="77777777" w:rsidR="00DA35F7" w:rsidRPr="00E20618" w:rsidRDefault="00DA35F7" w:rsidP="004C567F">
            <w:pPr>
              <w:pStyle w:val="TableTextRight"/>
              <w:rPr>
                <w:rFonts w:cstheme="minorHAnsi"/>
              </w:rPr>
            </w:pPr>
          </w:p>
        </w:tc>
      </w:tr>
      <w:tr w:rsidR="00F67DB6" w:rsidRPr="00A1737D" w14:paraId="21AF2B5F" w14:textId="77777777" w:rsidTr="000D6011">
        <w:tc>
          <w:tcPr>
            <w:tcW w:w="0" w:type="dxa"/>
          </w:tcPr>
          <w:p w14:paraId="40E831FB" w14:textId="77777777" w:rsidR="00DA35F7" w:rsidRPr="006D0AA5" w:rsidRDefault="00DA35F7" w:rsidP="004C567F">
            <w:pPr>
              <w:pStyle w:val="TableTextLeft"/>
              <w:rPr>
                <w:b/>
              </w:rPr>
            </w:pPr>
            <w:r w:rsidRPr="006D0AA5">
              <w:t>Western Australia</w:t>
            </w:r>
          </w:p>
        </w:tc>
        <w:tc>
          <w:tcPr>
            <w:tcW w:w="0" w:type="dxa"/>
            <w:tcBorders>
              <w:top w:val="nil"/>
              <w:left w:val="nil"/>
              <w:bottom w:val="nil"/>
              <w:right w:val="nil"/>
            </w:tcBorders>
            <w:vAlign w:val="center"/>
          </w:tcPr>
          <w:p w14:paraId="26D24B11" w14:textId="02737070" w:rsidR="00DA35F7" w:rsidRPr="00E20618" w:rsidRDefault="0076425F" w:rsidP="004C567F">
            <w:pPr>
              <w:pStyle w:val="TableTextRight"/>
              <w:rPr>
                <w:rFonts w:cstheme="minorHAnsi"/>
              </w:rPr>
            </w:pPr>
            <w:r w:rsidRPr="006D0AA5">
              <w:rPr>
                <w:rFonts w:ascii="Calibri" w:hAnsi="Calibri"/>
              </w:rPr>
              <w:t>15.0</w:t>
            </w:r>
          </w:p>
        </w:tc>
        <w:tc>
          <w:tcPr>
            <w:tcW w:w="0" w:type="dxa"/>
            <w:tcBorders>
              <w:top w:val="nil"/>
              <w:left w:val="nil"/>
              <w:bottom w:val="nil"/>
              <w:right w:val="nil"/>
            </w:tcBorders>
            <w:shd w:val="clear" w:color="auto" w:fill="D2EDFF" w:themeFill="accent1" w:themeFillTint="1A"/>
            <w:vAlign w:val="center"/>
          </w:tcPr>
          <w:p w14:paraId="6C969FB1" w14:textId="21AD2E7D" w:rsidR="00DA35F7" w:rsidRPr="00E20618" w:rsidRDefault="0076425F" w:rsidP="004C567F">
            <w:pPr>
              <w:pStyle w:val="TableTextRight"/>
              <w:rPr>
                <w:rFonts w:cstheme="minorHAnsi"/>
              </w:rPr>
            </w:pPr>
            <w:r w:rsidRPr="006D0AA5">
              <w:rPr>
                <w:rFonts w:ascii="Calibri" w:hAnsi="Calibri"/>
              </w:rPr>
              <w:t>56.3</w:t>
            </w:r>
          </w:p>
        </w:tc>
        <w:tc>
          <w:tcPr>
            <w:tcW w:w="0" w:type="dxa"/>
            <w:tcBorders>
              <w:top w:val="nil"/>
              <w:left w:val="nil"/>
              <w:bottom w:val="nil"/>
              <w:right w:val="nil"/>
            </w:tcBorders>
            <w:vAlign w:val="center"/>
          </w:tcPr>
          <w:p w14:paraId="6979454E" w14:textId="1AC64B06" w:rsidR="00DA35F7" w:rsidRPr="00E20618" w:rsidRDefault="007E179A" w:rsidP="004C567F">
            <w:pPr>
              <w:pStyle w:val="TableTextRight"/>
              <w:rPr>
                <w:rFonts w:cstheme="minorHAnsi"/>
              </w:rPr>
            </w:pPr>
            <w:r>
              <w:rPr>
                <w:rFonts w:ascii="Calibri" w:hAnsi="Calibri" w:cs="Calibri"/>
              </w:rPr>
              <w:t>34</w:t>
            </w:r>
            <w:r w:rsidR="0076425F" w:rsidRPr="006D0AA5">
              <w:rPr>
                <w:rFonts w:ascii="Calibri" w:hAnsi="Calibri"/>
              </w:rPr>
              <w:t>.0</w:t>
            </w:r>
          </w:p>
        </w:tc>
        <w:tc>
          <w:tcPr>
            <w:tcW w:w="0" w:type="dxa"/>
            <w:tcBorders>
              <w:top w:val="nil"/>
              <w:left w:val="nil"/>
              <w:bottom w:val="nil"/>
              <w:right w:val="nil"/>
            </w:tcBorders>
            <w:vAlign w:val="center"/>
          </w:tcPr>
          <w:p w14:paraId="6C64B2DA" w14:textId="4438E11F" w:rsidR="00DA35F7" w:rsidRPr="00E20618" w:rsidRDefault="007E179A" w:rsidP="004C567F">
            <w:pPr>
              <w:pStyle w:val="TableTextRight"/>
              <w:rPr>
                <w:rFonts w:cstheme="minorHAnsi"/>
              </w:rPr>
            </w:pPr>
            <w:r>
              <w:rPr>
                <w:rFonts w:ascii="Calibri" w:hAnsi="Calibri" w:cs="Calibri"/>
              </w:rPr>
              <w:t>23.2</w:t>
            </w:r>
          </w:p>
        </w:tc>
        <w:tc>
          <w:tcPr>
            <w:tcW w:w="0" w:type="dxa"/>
            <w:tcBorders>
              <w:top w:val="nil"/>
              <w:left w:val="nil"/>
              <w:bottom w:val="nil"/>
              <w:right w:val="single" w:sz="4" w:space="0" w:color="auto"/>
            </w:tcBorders>
            <w:vAlign w:val="center"/>
          </w:tcPr>
          <w:p w14:paraId="6E2E3626" w14:textId="55214817" w:rsidR="00DA35F7" w:rsidRPr="00E20618" w:rsidRDefault="007E179A" w:rsidP="004C567F">
            <w:pPr>
              <w:pStyle w:val="TableTextRight"/>
              <w:rPr>
                <w:rFonts w:cstheme="minorHAnsi"/>
              </w:rPr>
            </w:pPr>
            <w:r>
              <w:rPr>
                <w:rFonts w:ascii="Calibri" w:hAnsi="Calibri" w:cs="Calibri"/>
              </w:rPr>
              <w:t>25.4</w:t>
            </w:r>
          </w:p>
        </w:tc>
        <w:tc>
          <w:tcPr>
            <w:tcW w:w="0" w:type="dxa"/>
            <w:tcBorders>
              <w:top w:val="nil"/>
              <w:left w:val="single" w:sz="4" w:space="0" w:color="auto"/>
              <w:bottom w:val="nil"/>
              <w:right w:val="nil"/>
            </w:tcBorders>
            <w:vAlign w:val="center"/>
          </w:tcPr>
          <w:p w14:paraId="7DE051CD" w14:textId="78D76E6C" w:rsidR="00DA35F7" w:rsidRPr="00E20618" w:rsidRDefault="007E179A" w:rsidP="004C567F">
            <w:pPr>
              <w:pStyle w:val="TableTextRight"/>
              <w:rPr>
                <w:rFonts w:cstheme="minorHAnsi"/>
              </w:rPr>
            </w:pPr>
            <w:r>
              <w:rPr>
                <w:rFonts w:ascii="Calibri" w:hAnsi="Calibri" w:cs="Calibri"/>
              </w:rPr>
              <w:t>24.0</w:t>
            </w:r>
          </w:p>
        </w:tc>
      </w:tr>
      <w:tr w:rsidR="00F67DB6" w:rsidRPr="00A1737D" w14:paraId="77C453C8" w14:textId="77777777" w:rsidTr="000D6011">
        <w:tc>
          <w:tcPr>
            <w:tcW w:w="0" w:type="dxa"/>
          </w:tcPr>
          <w:p w14:paraId="581FA5C4" w14:textId="77777777" w:rsidR="00DA35F7" w:rsidRPr="006A6673" w:rsidRDefault="00DA35F7" w:rsidP="004C567F">
            <w:pPr>
              <w:pStyle w:val="Tabletextleftindent"/>
              <w:rPr>
                <w:b/>
              </w:rPr>
            </w:pPr>
            <w:r w:rsidRPr="006A6673">
              <w:t>Greater Perth</w:t>
            </w:r>
          </w:p>
        </w:tc>
        <w:tc>
          <w:tcPr>
            <w:tcW w:w="0" w:type="dxa"/>
            <w:tcBorders>
              <w:top w:val="nil"/>
              <w:left w:val="nil"/>
              <w:bottom w:val="nil"/>
              <w:right w:val="nil"/>
            </w:tcBorders>
            <w:vAlign w:val="center"/>
          </w:tcPr>
          <w:p w14:paraId="51272A44" w14:textId="1E8EF83D" w:rsidR="00DA35F7" w:rsidRPr="00E20618" w:rsidRDefault="0076425F" w:rsidP="004C567F">
            <w:pPr>
              <w:pStyle w:val="TableTextRight"/>
              <w:rPr>
                <w:rFonts w:cstheme="minorHAnsi"/>
              </w:rPr>
            </w:pPr>
            <w:r w:rsidRPr="006D0AA5">
              <w:rPr>
                <w:rFonts w:ascii="Calibri" w:hAnsi="Calibri"/>
              </w:rPr>
              <w:t>11.6</w:t>
            </w:r>
          </w:p>
        </w:tc>
        <w:tc>
          <w:tcPr>
            <w:tcW w:w="0" w:type="dxa"/>
            <w:tcBorders>
              <w:top w:val="nil"/>
              <w:left w:val="nil"/>
              <w:bottom w:val="nil"/>
              <w:right w:val="nil"/>
            </w:tcBorders>
            <w:shd w:val="clear" w:color="auto" w:fill="D2EDFF" w:themeFill="accent1" w:themeFillTint="1A"/>
            <w:vAlign w:val="center"/>
          </w:tcPr>
          <w:p w14:paraId="668D5947" w14:textId="6DD6036A" w:rsidR="00DA35F7" w:rsidRPr="00E20618" w:rsidRDefault="0076425F" w:rsidP="004C567F">
            <w:pPr>
              <w:pStyle w:val="TableTextRight"/>
              <w:rPr>
                <w:rFonts w:cstheme="minorHAnsi"/>
              </w:rPr>
            </w:pPr>
            <w:r w:rsidRPr="006D0AA5">
              <w:rPr>
                <w:rFonts w:ascii="Calibri" w:hAnsi="Calibri"/>
              </w:rPr>
              <w:t>50.6</w:t>
            </w:r>
          </w:p>
        </w:tc>
        <w:tc>
          <w:tcPr>
            <w:tcW w:w="0" w:type="dxa"/>
            <w:tcBorders>
              <w:top w:val="nil"/>
              <w:left w:val="nil"/>
              <w:bottom w:val="nil"/>
              <w:right w:val="nil"/>
            </w:tcBorders>
            <w:vAlign w:val="center"/>
          </w:tcPr>
          <w:p w14:paraId="57A6EC2E" w14:textId="7BB41DCA" w:rsidR="00DA35F7" w:rsidRPr="00E20618" w:rsidRDefault="007E179A" w:rsidP="004C567F">
            <w:pPr>
              <w:pStyle w:val="TableTextRight"/>
              <w:rPr>
                <w:rFonts w:cstheme="minorHAnsi"/>
              </w:rPr>
            </w:pPr>
            <w:r>
              <w:rPr>
                <w:rFonts w:ascii="Calibri" w:hAnsi="Calibri" w:cs="Calibri"/>
              </w:rPr>
              <w:t>30.5</w:t>
            </w:r>
          </w:p>
        </w:tc>
        <w:tc>
          <w:tcPr>
            <w:tcW w:w="0" w:type="dxa"/>
            <w:tcBorders>
              <w:top w:val="nil"/>
              <w:left w:val="nil"/>
              <w:bottom w:val="nil"/>
              <w:right w:val="nil"/>
            </w:tcBorders>
            <w:vAlign w:val="center"/>
          </w:tcPr>
          <w:p w14:paraId="39BF966D" w14:textId="47E7D8A0" w:rsidR="00DA35F7" w:rsidRPr="00E20618" w:rsidRDefault="007E179A" w:rsidP="004C567F">
            <w:pPr>
              <w:pStyle w:val="TableTextRight"/>
              <w:rPr>
                <w:rFonts w:cstheme="minorHAnsi"/>
              </w:rPr>
            </w:pPr>
            <w:r>
              <w:rPr>
                <w:rFonts w:ascii="Calibri" w:hAnsi="Calibri" w:cs="Calibri"/>
              </w:rPr>
              <w:t>20.8</w:t>
            </w:r>
          </w:p>
        </w:tc>
        <w:tc>
          <w:tcPr>
            <w:tcW w:w="0" w:type="dxa"/>
            <w:tcBorders>
              <w:top w:val="nil"/>
              <w:left w:val="nil"/>
              <w:bottom w:val="nil"/>
              <w:right w:val="single" w:sz="4" w:space="0" w:color="auto"/>
            </w:tcBorders>
            <w:vAlign w:val="center"/>
          </w:tcPr>
          <w:p w14:paraId="05FA94CA" w14:textId="246E50E9" w:rsidR="00DA35F7" w:rsidRPr="00E20618" w:rsidRDefault="007E179A" w:rsidP="004C567F">
            <w:pPr>
              <w:pStyle w:val="TableTextRight"/>
              <w:rPr>
                <w:rFonts w:cstheme="minorHAnsi"/>
              </w:rPr>
            </w:pPr>
            <w:r>
              <w:rPr>
                <w:rFonts w:ascii="Calibri" w:hAnsi="Calibri" w:cs="Calibri"/>
              </w:rPr>
              <w:t>22.8</w:t>
            </w:r>
          </w:p>
        </w:tc>
        <w:tc>
          <w:tcPr>
            <w:tcW w:w="0" w:type="dxa"/>
            <w:tcBorders>
              <w:top w:val="nil"/>
              <w:left w:val="single" w:sz="4" w:space="0" w:color="auto"/>
              <w:bottom w:val="nil"/>
              <w:right w:val="nil"/>
            </w:tcBorders>
            <w:vAlign w:val="center"/>
          </w:tcPr>
          <w:p w14:paraId="792ABDE8" w14:textId="3722CBDE" w:rsidR="00DA35F7" w:rsidRPr="00E20618" w:rsidRDefault="0076425F" w:rsidP="004C567F">
            <w:pPr>
              <w:pStyle w:val="TableTextRight"/>
              <w:rPr>
                <w:rFonts w:cstheme="minorHAnsi"/>
              </w:rPr>
            </w:pPr>
            <w:r w:rsidRPr="006D0AA5">
              <w:rPr>
                <w:rFonts w:ascii="Calibri" w:hAnsi="Calibri"/>
              </w:rPr>
              <w:t>21.</w:t>
            </w:r>
            <w:r w:rsidR="007E179A">
              <w:rPr>
                <w:rFonts w:ascii="Calibri" w:hAnsi="Calibri" w:cs="Calibri"/>
              </w:rPr>
              <w:t>6</w:t>
            </w:r>
          </w:p>
        </w:tc>
      </w:tr>
      <w:tr w:rsidR="00F67DB6" w:rsidRPr="00A1737D" w14:paraId="67AD1AE8" w14:textId="77777777" w:rsidTr="000D6011">
        <w:tc>
          <w:tcPr>
            <w:tcW w:w="0" w:type="dxa"/>
          </w:tcPr>
          <w:p w14:paraId="41CF0C14" w14:textId="77777777" w:rsidR="00DA35F7" w:rsidRPr="006A6673" w:rsidRDefault="00DA35F7" w:rsidP="004C567F">
            <w:pPr>
              <w:pStyle w:val="Tabletextleftindent"/>
              <w:rPr>
                <w:b/>
              </w:rPr>
            </w:pPr>
            <w:r w:rsidRPr="006A6673">
              <w:t>Rest of Western Australia</w:t>
            </w:r>
          </w:p>
        </w:tc>
        <w:tc>
          <w:tcPr>
            <w:tcW w:w="0" w:type="dxa"/>
            <w:tcBorders>
              <w:top w:val="nil"/>
              <w:left w:val="nil"/>
              <w:bottom w:val="nil"/>
              <w:right w:val="nil"/>
            </w:tcBorders>
            <w:vAlign w:val="center"/>
          </w:tcPr>
          <w:p w14:paraId="3F0F2ED0" w14:textId="1C3E229E" w:rsidR="00DA35F7" w:rsidRPr="00E20618" w:rsidRDefault="0076425F" w:rsidP="004C567F">
            <w:pPr>
              <w:pStyle w:val="TableTextRight"/>
              <w:rPr>
                <w:rFonts w:cstheme="minorHAnsi"/>
              </w:rPr>
            </w:pPr>
            <w:r w:rsidRPr="006D0AA5">
              <w:rPr>
                <w:rFonts w:ascii="Calibri" w:hAnsi="Calibri"/>
              </w:rPr>
              <w:t>1.6</w:t>
            </w:r>
          </w:p>
        </w:tc>
        <w:tc>
          <w:tcPr>
            <w:tcW w:w="0" w:type="dxa"/>
            <w:tcBorders>
              <w:top w:val="nil"/>
              <w:left w:val="nil"/>
              <w:bottom w:val="nil"/>
              <w:right w:val="nil"/>
            </w:tcBorders>
            <w:shd w:val="clear" w:color="auto" w:fill="D2EDFF" w:themeFill="accent1" w:themeFillTint="1A"/>
            <w:vAlign w:val="center"/>
          </w:tcPr>
          <w:p w14:paraId="4483A958" w14:textId="16C2B6AE" w:rsidR="00DA35F7" w:rsidRPr="00E20618" w:rsidRDefault="0076425F" w:rsidP="004C567F">
            <w:pPr>
              <w:pStyle w:val="TableTextRight"/>
              <w:rPr>
                <w:rFonts w:cstheme="minorHAnsi"/>
              </w:rPr>
            </w:pPr>
            <w:r w:rsidRPr="006D0AA5">
              <w:rPr>
                <w:rFonts w:ascii="Calibri" w:hAnsi="Calibri"/>
              </w:rPr>
              <w:t>5.7</w:t>
            </w:r>
          </w:p>
        </w:tc>
        <w:tc>
          <w:tcPr>
            <w:tcW w:w="0" w:type="dxa"/>
            <w:tcBorders>
              <w:top w:val="nil"/>
              <w:left w:val="nil"/>
              <w:bottom w:val="nil"/>
              <w:right w:val="nil"/>
            </w:tcBorders>
            <w:vAlign w:val="center"/>
          </w:tcPr>
          <w:p w14:paraId="0A046F43" w14:textId="4CF3D997" w:rsidR="00DA35F7" w:rsidRPr="00E20618" w:rsidRDefault="0076425F" w:rsidP="004C567F">
            <w:pPr>
              <w:pStyle w:val="TableTextRight"/>
              <w:rPr>
                <w:rFonts w:cstheme="minorHAnsi"/>
              </w:rPr>
            </w:pPr>
            <w:r w:rsidRPr="006D0AA5">
              <w:rPr>
                <w:rFonts w:ascii="Calibri" w:hAnsi="Calibri"/>
              </w:rPr>
              <w:t>3.</w:t>
            </w:r>
            <w:r w:rsidR="007E179A">
              <w:rPr>
                <w:rFonts w:ascii="Calibri" w:hAnsi="Calibri" w:cs="Calibri"/>
              </w:rPr>
              <w:t>5</w:t>
            </w:r>
          </w:p>
        </w:tc>
        <w:tc>
          <w:tcPr>
            <w:tcW w:w="0" w:type="dxa"/>
            <w:tcBorders>
              <w:top w:val="nil"/>
              <w:left w:val="nil"/>
              <w:bottom w:val="nil"/>
              <w:right w:val="nil"/>
            </w:tcBorders>
            <w:vAlign w:val="center"/>
          </w:tcPr>
          <w:p w14:paraId="672D0C18" w14:textId="41EF5CCF"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4</w:t>
            </w:r>
          </w:p>
        </w:tc>
        <w:tc>
          <w:tcPr>
            <w:tcW w:w="0" w:type="dxa"/>
            <w:tcBorders>
              <w:top w:val="nil"/>
              <w:left w:val="nil"/>
              <w:bottom w:val="nil"/>
              <w:right w:val="single" w:sz="4" w:space="0" w:color="auto"/>
            </w:tcBorders>
            <w:vAlign w:val="center"/>
          </w:tcPr>
          <w:p w14:paraId="4635DBBF" w14:textId="16C83AB5" w:rsidR="00DA35F7" w:rsidRPr="00E20618" w:rsidRDefault="0076425F" w:rsidP="004C567F">
            <w:pPr>
              <w:pStyle w:val="TableTextRight"/>
              <w:rPr>
                <w:rFonts w:cstheme="minorHAnsi"/>
              </w:rPr>
            </w:pPr>
            <w:r w:rsidRPr="006D0AA5">
              <w:rPr>
                <w:rFonts w:ascii="Calibri" w:hAnsi="Calibri"/>
              </w:rPr>
              <w:t>2.</w:t>
            </w:r>
            <w:r w:rsidR="007E179A">
              <w:rPr>
                <w:rFonts w:ascii="Calibri" w:hAnsi="Calibri" w:cs="Calibri"/>
              </w:rPr>
              <w:t>6</w:t>
            </w:r>
          </w:p>
        </w:tc>
        <w:tc>
          <w:tcPr>
            <w:tcW w:w="0" w:type="dxa"/>
            <w:tcBorders>
              <w:top w:val="nil"/>
              <w:left w:val="single" w:sz="4" w:space="0" w:color="auto"/>
              <w:bottom w:val="nil"/>
              <w:right w:val="nil"/>
            </w:tcBorders>
            <w:vAlign w:val="center"/>
          </w:tcPr>
          <w:p w14:paraId="1B3BFEDD" w14:textId="674FE2E8" w:rsidR="00DA35F7" w:rsidRPr="00E20618" w:rsidRDefault="0076425F" w:rsidP="004C567F">
            <w:pPr>
              <w:pStyle w:val="TableTextRight"/>
              <w:rPr>
                <w:rFonts w:cstheme="minorHAnsi"/>
              </w:rPr>
            </w:pPr>
            <w:r w:rsidRPr="006D0AA5">
              <w:rPr>
                <w:rFonts w:ascii="Calibri" w:hAnsi="Calibri"/>
              </w:rPr>
              <w:t>2.5</w:t>
            </w:r>
          </w:p>
        </w:tc>
      </w:tr>
      <w:tr w:rsidR="00F67DB6" w:rsidRPr="00A1737D" w14:paraId="5562347A" w14:textId="77777777" w:rsidTr="000D6011">
        <w:tc>
          <w:tcPr>
            <w:tcW w:w="0" w:type="dxa"/>
          </w:tcPr>
          <w:p w14:paraId="76EE2014" w14:textId="5E0BC27F" w:rsidR="00DA35F7" w:rsidRPr="006D0AA5" w:rsidRDefault="00DA35F7" w:rsidP="004C567F">
            <w:pPr>
              <w:pStyle w:val="TableColumnHeadingLeft"/>
            </w:pPr>
            <w:r w:rsidRPr="00860BB7">
              <w:t>Net internal migration (</w:t>
            </w:r>
            <w:r w:rsidR="004B14AB" w:rsidRPr="00860BB7">
              <w:t>‘</w:t>
            </w:r>
            <w:r w:rsidRPr="00860BB7">
              <w:t>000)</w:t>
            </w:r>
          </w:p>
        </w:tc>
        <w:tc>
          <w:tcPr>
            <w:tcW w:w="0" w:type="dxa"/>
            <w:tcBorders>
              <w:top w:val="nil"/>
              <w:left w:val="nil"/>
              <w:bottom w:val="nil"/>
              <w:right w:val="nil"/>
            </w:tcBorders>
            <w:vAlign w:val="center"/>
          </w:tcPr>
          <w:p w14:paraId="28518B64" w14:textId="77777777" w:rsidR="00DA35F7" w:rsidRPr="00E20618" w:rsidRDefault="00DA35F7"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5B5D3300" w14:textId="7EC0D39E"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nil"/>
              <w:bottom w:val="nil"/>
              <w:right w:val="nil"/>
            </w:tcBorders>
            <w:vAlign w:val="center"/>
          </w:tcPr>
          <w:p w14:paraId="217A5F45" w14:textId="77777777" w:rsidR="00DA35F7" w:rsidRPr="00E20618" w:rsidRDefault="00DA35F7" w:rsidP="004C567F">
            <w:pPr>
              <w:pStyle w:val="TableTextRight"/>
              <w:rPr>
                <w:rFonts w:cstheme="minorHAnsi"/>
              </w:rPr>
            </w:pPr>
          </w:p>
        </w:tc>
        <w:tc>
          <w:tcPr>
            <w:tcW w:w="0" w:type="dxa"/>
            <w:tcBorders>
              <w:top w:val="nil"/>
              <w:left w:val="nil"/>
              <w:bottom w:val="nil"/>
              <w:right w:val="nil"/>
            </w:tcBorders>
            <w:vAlign w:val="center"/>
          </w:tcPr>
          <w:p w14:paraId="6EA58C7E" w14:textId="77777777" w:rsidR="00DA35F7" w:rsidRPr="00E20618" w:rsidRDefault="00DA35F7" w:rsidP="004C567F">
            <w:pPr>
              <w:pStyle w:val="TableTextRight"/>
              <w:rPr>
                <w:rFonts w:cstheme="minorHAnsi"/>
              </w:rPr>
            </w:pPr>
          </w:p>
        </w:tc>
        <w:tc>
          <w:tcPr>
            <w:tcW w:w="0" w:type="dxa"/>
            <w:tcBorders>
              <w:top w:val="nil"/>
              <w:left w:val="nil"/>
              <w:bottom w:val="nil"/>
              <w:right w:val="single" w:sz="4" w:space="0" w:color="auto"/>
            </w:tcBorders>
            <w:vAlign w:val="center"/>
          </w:tcPr>
          <w:p w14:paraId="600BA0FA" w14:textId="46833F79" w:rsidR="00DA35F7" w:rsidRPr="00E20618" w:rsidRDefault="0076425F" w:rsidP="004C567F">
            <w:pPr>
              <w:pStyle w:val="TableTextRight"/>
              <w:rPr>
                <w:rFonts w:cstheme="minorHAnsi"/>
              </w:rPr>
            </w:pPr>
            <w:r w:rsidRPr="006D0AA5">
              <w:rPr>
                <w:rFonts w:ascii="Calibri" w:hAnsi="Calibri"/>
              </w:rPr>
              <w:t> </w:t>
            </w:r>
          </w:p>
        </w:tc>
        <w:tc>
          <w:tcPr>
            <w:tcW w:w="0" w:type="dxa"/>
            <w:tcBorders>
              <w:top w:val="nil"/>
              <w:left w:val="single" w:sz="4" w:space="0" w:color="auto"/>
              <w:bottom w:val="nil"/>
              <w:right w:val="nil"/>
            </w:tcBorders>
            <w:vAlign w:val="center"/>
          </w:tcPr>
          <w:p w14:paraId="392B838B" w14:textId="77777777" w:rsidR="00DA35F7" w:rsidRPr="00E20618" w:rsidRDefault="00DA35F7" w:rsidP="004C567F">
            <w:pPr>
              <w:pStyle w:val="TableTextRight"/>
              <w:rPr>
                <w:rFonts w:cstheme="minorHAnsi"/>
              </w:rPr>
            </w:pPr>
          </w:p>
        </w:tc>
      </w:tr>
      <w:tr w:rsidR="00F67DB6" w:rsidRPr="00A1737D" w14:paraId="14DF60E4" w14:textId="77777777" w:rsidTr="000D6011">
        <w:tc>
          <w:tcPr>
            <w:tcW w:w="0" w:type="dxa"/>
          </w:tcPr>
          <w:p w14:paraId="33840303" w14:textId="77777777" w:rsidR="00DA35F7" w:rsidRPr="006D0AA5" w:rsidRDefault="00DA35F7" w:rsidP="004C567F">
            <w:pPr>
              <w:pStyle w:val="TableTextLeft"/>
              <w:rPr>
                <w:b/>
              </w:rPr>
            </w:pPr>
            <w:r w:rsidRPr="006D0AA5">
              <w:t>Western Australia</w:t>
            </w:r>
          </w:p>
        </w:tc>
        <w:tc>
          <w:tcPr>
            <w:tcW w:w="0" w:type="dxa"/>
            <w:tcBorders>
              <w:top w:val="nil"/>
              <w:left w:val="nil"/>
              <w:bottom w:val="nil"/>
              <w:right w:val="nil"/>
            </w:tcBorders>
            <w:vAlign w:val="center"/>
          </w:tcPr>
          <w:p w14:paraId="6A7469FF" w14:textId="3426CE2A" w:rsidR="00DA35F7" w:rsidRPr="00E20618" w:rsidRDefault="0076425F" w:rsidP="004C567F">
            <w:pPr>
              <w:pStyle w:val="TableTextRight"/>
              <w:rPr>
                <w:rFonts w:cstheme="minorHAnsi"/>
              </w:rPr>
            </w:pPr>
            <w:r w:rsidRPr="006D0AA5">
              <w:rPr>
                <w:rFonts w:ascii="Calibri" w:hAnsi="Calibri"/>
              </w:rPr>
              <w:t>10.3</w:t>
            </w:r>
          </w:p>
        </w:tc>
        <w:tc>
          <w:tcPr>
            <w:tcW w:w="0" w:type="dxa"/>
            <w:tcBorders>
              <w:top w:val="nil"/>
              <w:left w:val="nil"/>
              <w:bottom w:val="nil"/>
              <w:right w:val="nil"/>
            </w:tcBorders>
            <w:shd w:val="clear" w:color="auto" w:fill="D2EDFF" w:themeFill="accent1" w:themeFillTint="1A"/>
            <w:vAlign w:val="center"/>
          </w:tcPr>
          <w:p w14:paraId="0F1348A9" w14:textId="4FBFE67E" w:rsidR="00DA35F7" w:rsidRPr="00E20618" w:rsidRDefault="0076425F" w:rsidP="004C567F">
            <w:pPr>
              <w:pStyle w:val="TableTextRight"/>
              <w:rPr>
                <w:rFonts w:cstheme="minorHAnsi"/>
              </w:rPr>
            </w:pPr>
            <w:r w:rsidRPr="006D0AA5">
              <w:rPr>
                <w:rFonts w:ascii="Calibri" w:hAnsi="Calibri"/>
              </w:rPr>
              <w:t>11.5</w:t>
            </w:r>
          </w:p>
        </w:tc>
        <w:tc>
          <w:tcPr>
            <w:tcW w:w="0" w:type="dxa"/>
            <w:tcBorders>
              <w:top w:val="nil"/>
              <w:left w:val="nil"/>
              <w:bottom w:val="nil"/>
              <w:right w:val="nil"/>
            </w:tcBorders>
            <w:vAlign w:val="center"/>
          </w:tcPr>
          <w:p w14:paraId="71D739E2" w14:textId="1A80EC80" w:rsidR="00DA35F7" w:rsidRPr="00E20618" w:rsidRDefault="0076425F" w:rsidP="004C567F">
            <w:pPr>
              <w:pStyle w:val="TableTextRight"/>
              <w:rPr>
                <w:rFonts w:cstheme="minorHAnsi"/>
              </w:rPr>
            </w:pPr>
            <w:r w:rsidRPr="006D0AA5">
              <w:rPr>
                <w:rFonts w:ascii="Calibri" w:hAnsi="Calibri"/>
              </w:rPr>
              <w:t>7.</w:t>
            </w:r>
            <w:r w:rsidR="007E179A">
              <w:rPr>
                <w:rFonts w:ascii="Calibri" w:hAnsi="Calibri" w:cs="Calibri"/>
              </w:rPr>
              <w:t>6</w:t>
            </w:r>
          </w:p>
        </w:tc>
        <w:tc>
          <w:tcPr>
            <w:tcW w:w="0" w:type="dxa"/>
            <w:tcBorders>
              <w:top w:val="nil"/>
              <w:left w:val="nil"/>
              <w:bottom w:val="nil"/>
              <w:right w:val="nil"/>
            </w:tcBorders>
            <w:vAlign w:val="center"/>
          </w:tcPr>
          <w:p w14:paraId="68D47FAC" w14:textId="0EF56893" w:rsidR="00DA35F7" w:rsidRPr="00E20618" w:rsidRDefault="0076425F" w:rsidP="004C567F">
            <w:pPr>
              <w:pStyle w:val="TableTextRight"/>
              <w:rPr>
                <w:rFonts w:cstheme="minorHAnsi"/>
              </w:rPr>
            </w:pPr>
            <w:r w:rsidRPr="006D0AA5">
              <w:rPr>
                <w:rFonts w:ascii="Calibri" w:hAnsi="Calibri"/>
              </w:rPr>
              <w:t>3.8</w:t>
            </w:r>
          </w:p>
        </w:tc>
        <w:tc>
          <w:tcPr>
            <w:tcW w:w="0" w:type="dxa"/>
            <w:tcBorders>
              <w:top w:val="nil"/>
              <w:left w:val="nil"/>
              <w:bottom w:val="nil"/>
              <w:right w:val="single" w:sz="4" w:space="0" w:color="auto"/>
            </w:tcBorders>
            <w:vAlign w:val="center"/>
          </w:tcPr>
          <w:p w14:paraId="3B32CAF7" w14:textId="77B98353" w:rsidR="00DA35F7" w:rsidRPr="00E20618" w:rsidRDefault="0076425F" w:rsidP="004C567F">
            <w:pPr>
              <w:pStyle w:val="TableTextRight"/>
              <w:rPr>
                <w:rFonts w:cstheme="minorHAnsi"/>
              </w:rPr>
            </w:pPr>
            <w:r w:rsidRPr="006D0AA5">
              <w:rPr>
                <w:rFonts w:ascii="Calibri" w:hAnsi="Calibri"/>
              </w:rPr>
              <w:t>0.0</w:t>
            </w:r>
          </w:p>
        </w:tc>
        <w:tc>
          <w:tcPr>
            <w:tcW w:w="0" w:type="dxa"/>
            <w:tcBorders>
              <w:top w:val="nil"/>
              <w:left w:val="single" w:sz="4" w:space="0" w:color="auto"/>
              <w:bottom w:val="nil"/>
              <w:right w:val="nil"/>
            </w:tcBorders>
            <w:vAlign w:val="center"/>
          </w:tcPr>
          <w:p w14:paraId="26A14BA3" w14:textId="5EFDAD8F" w:rsidR="00DA35F7" w:rsidRPr="00E20618" w:rsidRDefault="0076425F" w:rsidP="004C567F">
            <w:pPr>
              <w:pStyle w:val="TableTextRight"/>
              <w:rPr>
                <w:rFonts w:cstheme="minorHAnsi"/>
              </w:rPr>
            </w:pPr>
            <w:r w:rsidRPr="006D0AA5">
              <w:rPr>
                <w:rFonts w:ascii="Calibri" w:hAnsi="Calibri"/>
              </w:rPr>
              <w:t>0.</w:t>
            </w:r>
            <w:r w:rsidR="007E179A">
              <w:rPr>
                <w:rFonts w:ascii="Calibri" w:hAnsi="Calibri" w:cs="Calibri"/>
              </w:rPr>
              <w:t>0</w:t>
            </w:r>
          </w:p>
        </w:tc>
      </w:tr>
      <w:tr w:rsidR="00F67DB6" w:rsidRPr="00A1737D" w14:paraId="409AA782" w14:textId="77777777" w:rsidTr="000D6011">
        <w:tc>
          <w:tcPr>
            <w:tcW w:w="0" w:type="dxa"/>
          </w:tcPr>
          <w:p w14:paraId="5894D8E7" w14:textId="77777777" w:rsidR="00DA35F7" w:rsidRPr="006A6673" w:rsidRDefault="00DA35F7" w:rsidP="004C567F">
            <w:pPr>
              <w:pStyle w:val="Tabletextleftindent"/>
              <w:rPr>
                <w:b/>
              </w:rPr>
            </w:pPr>
            <w:r w:rsidRPr="006A6673">
              <w:t>Greater Perth</w:t>
            </w:r>
          </w:p>
        </w:tc>
        <w:tc>
          <w:tcPr>
            <w:tcW w:w="0" w:type="dxa"/>
            <w:tcBorders>
              <w:top w:val="nil"/>
              <w:left w:val="nil"/>
              <w:bottom w:val="nil"/>
              <w:right w:val="nil"/>
            </w:tcBorders>
            <w:vAlign w:val="center"/>
          </w:tcPr>
          <w:p w14:paraId="6151FA18" w14:textId="6CA1E7E0" w:rsidR="00DA35F7" w:rsidRPr="00E20618" w:rsidRDefault="0076425F" w:rsidP="004C567F">
            <w:pPr>
              <w:pStyle w:val="TableTextRight"/>
              <w:rPr>
                <w:rFonts w:cstheme="minorHAnsi"/>
              </w:rPr>
            </w:pPr>
            <w:r w:rsidRPr="006D0AA5">
              <w:rPr>
                <w:rFonts w:ascii="Calibri" w:hAnsi="Calibri"/>
              </w:rPr>
              <w:t>8.8</w:t>
            </w:r>
          </w:p>
        </w:tc>
        <w:tc>
          <w:tcPr>
            <w:tcW w:w="0" w:type="dxa"/>
            <w:tcBorders>
              <w:top w:val="nil"/>
              <w:left w:val="nil"/>
              <w:bottom w:val="nil"/>
              <w:right w:val="nil"/>
            </w:tcBorders>
            <w:shd w:val="clear" w:color="auto" w:fill="D2EDFF" w:themeFill="accent1" w:themeFillTint="1A"/>
            <w:vAlign w:val="center"/>
          </w:tcPr>
          <w:p w14:paraId="20F4654E" w14:textId="1A497337" w:rsidR="00DA35F7" w:rsidRPr="00E20618" w:rsidRDefault="0076425F" w:rsidP="004C567F">
            <w:pPr>
              <w:pStyle w:val="TableTextRight"/>
              <w:rPr>
                <w:rFonts w:cstheme="minorHAnsi"/>
              </w:rPr>
            </w:pPr>
            <w:r w:rsidRPr="006D0AA5">
              <w:rPr>
                <w:rFonts w:ascii="Calibri" w:hAnsi="Calibri"/>
              </w:rPr>
              <w:t>11.3</w:t>
            </w:r>
          </w:p>
        </w:tc>
        <w:tc>
          <w:tcPr>
            <w:tcW w:w="0" w:type="dxa"/>
            <w:tcBorders>
              <w:top w:val="nil"/>
              <w:left w:val="nil"/>
              <w:bottom w:val="nil"/>
              <w:right w:val="nil"/>
            </w:tcBorders>
            <w:vAlign w:val="center"/>
          </w:tcPr>
          <w:p w14:paraId="5ADF1B1B" w14:textId="0ED5BBC2" w:rsidR="00DA35F7" w:rsidRPr="00E20618" w:rsidRDefault="0076425F" w:rsidP="004C567F">
            <w:pPr>
              <w:pStyle w:val="TableTextRight"/>
              <w:rPr>
                <w:rFonts w:cstheme="minorHAnsi"/>
              </w:rPr>
            </w:pPr>
            <w:r w:rsidRPr="006D0AA5">
              <w:rPr>
                <w:rFonts w:ascii="Calibri" w:hAnsi="Calibri"/>
              </w:rPr>
              <w:t>8.1</w:t>
            </w:r>
          </w:p>
        </w:tc>
        <w:tc>
          <w:tcPr>
            <w:tcW w:w="0" w:type="dxa"/>
            <w:tcBorders>
              <w:top w:val="nil"/>
              <w:left w:val="nil"/>
              <w:bottom w:val="nil"/>
              <w:right w:val="nil"/>
            </w:tcBorders>
            <w:vAlign w:val="center"/>
          </w:tcPr>
          <w:p w14:paraId="3C1FB65F" w14:textId="3890AC7C" w:rsidR="00DA35F7" w:rsidRPr="00E20618" w:rsidRDefault="0076425F" w:rsidP="004C567F">
            <w:pPr>
              <w:pStyle w:val="TableTextRight"/>
              <w:rPr>
                <w:rFonts w:cstheme="minorHAnsi"/>
              </w:rPr>
            </w:pPr>
            <w:r w:rsidRPr="006D0AA5">
              <w:rPr>
                <w:rFonts w:ascii="Calibri" w:hAnsi="Calibri"/>
              </w:rPr>
              <w:t>5.0</w:t>
            </w:r>
          </w:p>
        </w:tc>
        <w:tc>
          <w:tcPr>
            <w:tcW w:w="0" w:type="dxa"/>
            <w:tcBorders>
              <w:top w:val="nil"/>
              <w:left w:val="nil"/>
              <w:bottom w:val="nil"/>
              <w:right w:val="single" w:sz="4" w:space="0" w:color="auto"/>
            </w:tcBorders>
            <w:vAlign w:val="center"/>
          </w:tcPr>
          <w:p w14:paraId="27A43301" w14:textId="2135F4EE" w:rsidR="00DA35F7" w:rsidRPr="00E20618" w:rsidRDefault="0076425F" w:rsidP="004C567F">
            <w:pPr>
              <w:pStyle w:val="TableTextRight"/>
              <w:rPr>
                <w:rFonts w:cstheme="minorHAnsi"/>
              </w:rPr>
            </w:pPr>
            <w:r w:rsidRPr="006D0AA5">
              <w:rPr>
                <w:rFonts w:ascii="Calibri" w:hAnsi="Calibri"/>
              </w:rPr>
              <w:t>1.9</w:t>
            </w:r>
          </w:p>
        </w:tc>
        <w:tc>
          <w:tcPr>
            <w:tcW w:w="0" w:type="dxa"/>
            <w:tcBorders>
              <w:top w:val="nil"/>
              <w:left w:val="single" w:sz="4" w:space="0" w:color="auto"/>
              <w:bottom w:val="nil"/>
              <w:right w:val="nil"/>
            </w:tcBorders>
            <w:vAlign w:val="center"/>
          </w:tcPr>
          <w:p w14:paraId="614574B1" w14:textId="2E0206CF" w:rsidR="00DA35F7" w:rsidRPr="00E20618" w:rsidRDefault="0076425F" w:rsidP="004C567F">
            <w:pPr>
              <w:pStyle w:val="TableTextRight"/>
              <w:rPr>
                <w:rFonts w:cstheme="minorHAnsi"/>
              </w:rPr>
            </w:pPr>
            <w:r w:rsidRPr="006D0AA5">
              <w:rPr>
                <w:rFonts w:ascii="Calibri" w:hAnsi="Calibri"/>
              </w:rPr>
              <w:t>0.9</w:t>
            </w:r>
          </w:p>
        </w:tc>
      </w:tr>
      <w:tr w:rsidR="00F67DB6" w:rsidRPr="00A1737D" w14:paraId="29CE3FD8" w14:textId="77777777">
        <w:tc>
          <w:tcPr>
            <w:tcW w:w="0" w:type="dxa"/>
            <w:tcBorders>
              <w:bottom w:val="single" w:sz="4" w:space="0" w:color="auto"/>
            </w:tcBorders>
          </w:tcPr>
          <w:p w14:paraId="0818EDB6" w14:textId="77777777" w:rsidR="00DA35F7" w:rsidRPr="006A6673" w:rsidRDefault="00DA35F7" w:rsidP="004C567F">
            <w:pPr>
              <w:pStyle w:val="Tabletextleftindent"/>
              <w:rPr>
                <w:b/>
              </w:rPr>
            </w:pPr>
            <w:r w:rsidRPr="006A6673">
              <w:t>Rest of Western Australia</w:t>
            </w:r>
          </w:p>
        </w:tc>
        <w:tc>
          <w:tcPr>
            <w:tcW w:w="0" w:type="dxa"/>
            <w:tcBorders>
              <w:top w:val="nil"/>
              <w:left w:val="nil"/>
              <w:bottom w:val="single" w:sz="4" w:space="0" w:color="auto"/>
              <w:right w:val="nil"/>
            </w:tcBorders>
            <w:vAlign w:val="center"/>
          </w:tcPr>
          <w:p w14:paraId="3F641D88" w14:textId="1ECBFD75" w:rsidR="00DA35F7" w:rsidRPr="00E20618" w:rsidRDefault="0076425F" w:rsidP="004C567F">
            <w:pPr>
              <w:pStyle w:val="TableTextRight"/>
              <w:rPr>
                <w:rFonts w:cstheme="minorHAnsi"/>
              </w:rPr>
            </w:pPr>
            <w:r w:rsidRPr="006D0AA5">
              <w:rPr>
                <w:rFonts w:ascii="Calibri" w:hAnsi="Calibri"/>
              </w:rPr>
              <w:t>1.5</w:t>
            </w:r>
          </w:p>
        </w:tc>
        <w:tc>
          <w:tcPr>
            <w:tcW w:w="0" w:type="dxa"/>
            <w:tcBorders>
              <w:top w:val="nil"/>
              <w:left w:val="nil"/>
              <w:bottom w:val="single" w:sz="4" w:space="0" w:color="auto"/>
              <w:right w:val="nil"/>
            </w:tcBorders>
            <w:shd w:val="clear" w:color="auto" w:fill="D2EDFF" w:themeFill="accent1" w:themeFillTint="1A"/>
            <w:vAlign w:val="center"/>
          </w:tcPr>
          <w:p w14:paraId="7ECDD001" w14:textId="12C72535" w:rsidR="00DA35F7" w:rsidRPr="00E20618" w:rsidRDefault="0076425F" w:rsidP="004C567F">
            <w:pPr>
              <w:pStyle w:val="TableTextRight"/>
              <w:rPr>
                <w:rFonts w:cstheme="minorHAnsi"/>
              </w:rPr>
            </w:pPr>
            <w:r w:rsidRPr="006D0AA5">
              <w:rPr>
                <w:rFonts w:ascii="Calibri" w:hAnsi="Calibri"/>
              </w:rPr>
              <w:t>0.2</w:t>
            </w:r>
          </w:p>
        </w:tc>
        <w:tc>
          <w:tcPr>
            <w:tcW w:w="0" w:type="dxa"/>
            <w:tcBorders>
              <w:top w:val="nil"/>
              <w:left w:val="nil"/>
              <w:bottom w:val="single" w:sz="4" w:space="0" w:color="auto"/>
              <w:right w:val="nil"/>
            </w:tcBorders>
            <w:vAlign w:val="center"/>
          </w:tcPr>
          <w:p w14:paraId="38B1C241" w14:textId="44F83698" w:rsidR="00DA35F7" w:rsidRPr="00E20618" w:rsidRDefault="007E179A" w:rsidP="004C567F">
            <w:pPr>
              <w:pStyle w:val="TableTextRight"/>
              <w:rPr>
                <w:rFonts w:cstheme="minorHAnsi"/>
              </w:rPr>
            </w:pPr>
            <w:r>
              <w:rPr>
                <w:rFonts w:ascii="Calibri" w:hAnsi="Calibri" w:cs="Calibri"/>
              </w:rPr>
              <w:t>-</w:t>
            </w:r>
            <w:r w:rsidR="0076425F" w:rsidRPr="006D0AA5">
              <w:rPr>
                <w:rFonts w:ascii="Calibri" w:hAnsi="Calibri"/>
              </w:rPr>
              <w:t>0.5</w:t>
            </w:r>
          </w:p>
        </w:tc>
        <w:tc>
          <w:tcPr>
            <w:tcW w:w="0" w:type="dxa"/>
            <w:tcBorders>
              <w:top w:val="nil"/>
              <w:left w:val="nil"/>
              <w:bottom w:val="single" w:sz="4" w:space="0" w:color="auto"/>
              <w:right w:val="nil"/>
            </w:tcBorders>
            <w:vAlign w:val="center"/>
          </w:tcPr>
          <w:p w14:paraId="16761640" w14:textId="0153316D" w:rsidR="00DA35F7" w:rsidRPr="00E20618" w:rsidRDefault="007E179A" w:rsidP="004C567F">
            <w:pPr>
              <w:pStyle w:val="TableTextRight"/>
              <w:rPr>
                <w:rFonts w:cstheme="minorHAnsi"/>
              </w:rPr>
            </w:pPr>
            <w:r>
              <w:rPr>
                <w:rFonts w:ascii="Calibri" w:hAnsi="Calibri" w:cs="Calibri"/>
              </w:rPr>
              <w:t>-</w:t>
            </w:r>
            <w:r w:rsidR="0076425F" w:rsidRPr="006D0AA5">
              <w:rPr>
                <w:rFonts w:ascii="Calibri" w:hAnsi="Calibri"/>
              </w:rPr>
              <w:t>1.2</w:t>
            </w:r>
          </w:p>
        </w:tc>
        <w:tc>
          <w:tcPr>
            <w:tcW w:w="0" w:type="dxa"/>
            <w:tcBorders>
              <w:top w:val="nil"/>
              <w:left w:val="nil"/>
              <w:bottom w:val="single" w:sz="4" w:space="0" w:color="auto"/>
              <w:right w:val="single" w:sz="4" w:space="0" w:color="auto"/>
            </w:tcBorders>
            <w:vAlign w:val="center"/>
          </w:tcPr>
          <w:p w14:paraId="4B405889" w14:textId="6F9BCBA8" w:rsidR="00DA35F7" w:rsidRPr="00E20618" w:rsidRDefault="007E179A" w:rsidP="004C567F">
            <w:pPr>
              <w:pStyle w:val="TableTextRight"/>
              <w:rPr>
                <w:rFonts w:cstheme="minorHAnsi"/>
              </w:rPr>
            </w:pPr>
            <w:r>
              <w:rPr>
                <w:rFonts w:ascii="Calibri" w:hAnsi="Calibri" w:cs="Calibri"/>
              </w:rPr>
              <w:t>-</w:t>
            </w:r>
            <w:r w:rsidR="0076425F" w:rsidRPr="006D0AA5">
              <w:rPr>
                <w:rFonts w:ascii="Calibri" w:hAnsi="Calibri"/>
              </w:rPr>
              <w:t>1.9</w:t>
            </w:r>
          </w:p>
        </w:tc>
        <w:tc>
          <w:tcPr>
            <w:tcW w:w="0" w:type="dxa"/>
            <w:tcBorders>
              <w:top w:val="nil"/>
              <w:left w:val="single" w:sz="4" w:space="0" w:color="auto"/>
              <w:bottom w:val="single" w:sz="4" w:space="0" w:color="auto"/>
              <w:right w:val="nil"/>
            </w:tcBorders>
            <w:vAlign w:val="center"/>
          </w:tcPr>
          <w:p w14:paraId="7E915DF3" w14:textId="46E0DA8D" w:rsidR="00DA35F7" w:rsidRPr="00E20618" w:rsidRDefault="007E179A" w:rsidP="004C567F">
            <w:pPr>
              <w:pStyle w:val="TableTextRight"/>
              <w:rPr>
                <w:rFonts w:cstheme="minorHAnsi"/>
              </w:rPr>
            </w:pPr>
            <w:r>
              <w:rPr>
                <w:rFonts w:ascii="Calibri" w:hAnsi="Calibri" w:cs="Calibri"/>
              </w:rPr>
              <w:t>-</w:t>
            </w:r>
            <w:r w:rsidR="0076425F" w:rsidRPr="006D0AA5">
              <w:rPr>
                <w:rFonts w:ascii="Calibri" w:hAnsi="Calibri"/>
              </w:rPr>
              <w:t>0.8</w:t>
            </w:r>
          </w:p>
        </w:tc>
      </w:tr>
      <w:tr w:rsidR="00F67DB6" w:rsidRPr="00A1737D" w14:paraId="32CC096C" w14:textId="77777777">
        <w:tc>
          <w:tcPr>
            <w:tcW w:w="0" w:type="dxa"/>
            <w:tcBorders>
              <w:top w:val="single" w:sz="4" w:space="0" w:color="auto"/>
              <w:bottom w:val="nil"/>
            </w:tcBorders>
          </w:tcPr>
          <w:p w14:paraId="68741204" w14:textId="77777777" w:rsidR="00DA35F7" w:rsidRPr="006D0AA5" w:rsidRDefault="00DA35F7" w:rsidP="004C567F">
            <w:pPr>
              <w:pStyle w:val="TableColumnHeadingLeft"/>
            </w:pPr>
            <w:r w:rsidRPr="00860BB7">
              <w:t>Median age (years)</w:t>
            </w:r>
          </w:p>
        </w:tc>
        <w:tc>
          <w:tcPr>
            <w:tcW w:w="0" w:type="dxa"/>
            <w:tcBorders>
              <w:top w:val="single" w:sz="4" w:space="0" w:color="auto"/>
              <w:left w:val="nil"/>
              <w:bottom w:val="nil"/>
              <w:right w:val="nil"/>
            </w:tcBorders>
            <w:vAlign w:val="center"/>
          </w:tcPr>
          <w:p w14:paraId="47E40768"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11FD0676" w14:textId="35AE4E19" w:rsidR="00DA35F7" w:rsidRPr="00E20618" w:rsidRDefault="0076425F" w:rsidP="004C567F">
            <w:pPr>
              <w:pStyle w:val="TableTextRight"/>
              <w:rPr>
                <w:rFonts w:cstheme="minorHAnsi"/>
              </w:rPr>
            </w:pPr>
            <w:r w:rsidRPr="006D0AA5">
              <w:rPr>
                <w:rFonts w:ascii="Calibri" w:hAnsi="Calibri"/>
              </w:rPr>
              <w:t> </w:t>
            </w:r>
          </w:p>
        </w:tc>
        <w:tc>
          <w:tcPr>
            <w:tcW w:w="0" w:type="dxa"/>
            <w:tcBorders>
              <w:top w:val="single" w:sz="4" w:space="0" w:color="auto"/>
              <w:left w:val="nil"/>
              <w:bottom w:val="nil"/>
              <w:right w:val="nil"/>
            </w:tcBorders>
            <w:vAlign w:val="center"/>
          </w:tcPr>
          <w:p w14:paraId="32EDA300"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nil"/>
            </w:tcBorders>
            <w:vAlign w:val="center"/>
          </w:tcPr>
          <w:p w14:paraId="61931170" w14:textId="77777777" w:rsidR="00DA35F7" w:rsidRPr="00E20618" w:rsidRDefault="00DA35F7" w:rsidP="004C567F">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6210D8BE" w14:textId="7AF6D538" w:rsidR="00DA35F7" w:rsidRPr="00E20618" w:rsidRDefault="0076425F" w:rsidP="004C567F">
            <w:pPr>
              <w:pStyle w:val="TableTextRight"/>
              <w:rPr>
                <w:rFonts w:cstheme="minorHAnsi"/>
              </w:rPr>
            </w:pPr>
            <w:r w:rsidRPr="006D0AA5">
              <w:rPr>
                <w:rFonts w:ascii="Calibri" w:hAnsi="Calibri"/>
              </w:rPr>
              <w:t> </w:t>
            </w:r>
          </w:p>
        </w:tc>
        <w:tc>
          <w:tcPr>
            <w:tcW w:w="0" w:type="dxa"/>
            <w:tcBorders>
              <w:top w:val="single" w:sz="4" w:space="0" w:color="auto"/>
              <w:left w:val="single" w:sz="4" w:space="0" w:color="auto"/>
              <w:bottom w:val="nil"/>
              <w:right w:val="nil"/>
            </w:tcBorders>
            <w:vAlign w:val="center"/>
          </w:tcPr>
          <w:p w14:paraId="3B57CFCF" w14:textId="77777777" w:rsidR="00DA35F7" w:rsidRPr="00E20618" w:rsidRDefault="00DA35F7" w:rsidP="004C567F">
            <w:pPr>
              <w:pStyle w:val="TableTextRight"/>
              <w:rPr>
                <w:rFonts w:cstheme="minorHAnsi"/>
              </w:rPr>
            </w:pPr>
          </w:p>
        </w:tc>
      </w:tr>
      <w:tr w:rsidR="00F67DB6" w:rsidRPr="00A1737D" w14:paraId="1FFA297C" w14:textId="77777777">
        <w:tc>
          <w:tcPr>
            <w:tcW w:w="0" w:type="dxa"/>
            <w:tcBorders>
              <w:bottom w:val="nil"/>
            </w:tcBorders>
          </w:tcPr>
          <w:p w14:paraId="58924A2D" w14:textId="77777777" w:rsidR="00DA35F7" w:rsidRPr="006D0AA5" w:rsidRDefault="00DA35F7" w:rsidP="004C567F">
            <w:pPr>
              <w:pStyle w:val="TableTextLeft"/>
              <w:rPr>
                <w:i/>
              </w:rPr>
            </w:pPr>
            <w:r w:rsidRPr="006D0AA5">
              <w:t>Western Australia</w:t>
            </w:r>
          </w:p>
        </w:tc>
        <w:tc>
          <w:tcPr>
            <w:tcW w:w="0" w:type="dxa"/>
            <w:tcBorders>
              <w:top w:val="nil"/>
              <w:left w:val="nil"/>
              <w:bottom w:val="nil"/>
              <w:right w:val="nil"/>
            </w:tcBorders>
            <w:vAlign w:val="center"/>
          </w:tcPr>
          <w:p w14:paraId="7F34874C" w14:textId="6A5EB1C3" w:rsidR="00DA35F7" w:rsidRPr="00E20618" w:rsidRDefault="0076425F" w:rsidP="004C567F">
            <w:pPr>
              <w:pStyle w:val="TableTextRight"/>
              <w:rPr>
                <w:rFonts w:cstheme="minorHAnsi"/>
              </w:rPr>
            </w:pPr>
            <w:r w:rsidRPr="006D0AA5">
              <w:rPr>
                <w:rFonts w:ascii="Calibri" w:hAnsi="Calibri"/>
              </w:rPr>
              <w:t>37.3</w:t>
            </w:r>
          </w:p>
        </w:tc>
        <w:tc>
          <w:tcPr>
            <w:tcW w:w="0" w:type="dxa"/>
            <w:tcBorders>
              <w:top w:val="nil"/>
              <w:left w:val="nil"/>
              <w:bottom w:val="nil"/>
              <w:right w:val="nil"/>
            </w:tcBorders>
            <w:shd w:val="clear" w:color="auto" w:fill="D2EDFF" w:themeFill="accent1" w:themeFillTint="1A"/>
            <w:vAlign w:val="center"/>
          </w:tcPr>
          <w:p w14:paraId="1D375E7B" w14:textId="4DD67FBF" w:rsidR="00DA35F7" w:rsidRPr="00E20618" w:rsidRDefault="0076425F" w:rsidP="004C567F">
            <w:pPr>
              <w:pStyle w:val="TableTextRight"/>
              <w:rPr>
                <w:rFonts w:cstheme="minorHAnsi"/>
              </w:rPr>
            </w:pPr>
            <w:r w:rsidRPr="006D0AA5">
              <w:rPr>
                <w:rFonts w:ascii="Calibri" w:hAnsi="Calibri"/>
              </w:rPr>
              <w:t>37.2</w:t>
            </w:r>
          </w:p>
        </w:tc>
        <w:tc>
          <w:tcPr>
            <w:tcW w:w="0" w:type="dxa"/>
            <w:tcBorders>
              <w:top w:val="nil"/>
              <w:left w:val="nil"/>
              <w:bottom w:val="nil"/>
              <w:right w:val="nil"/>
            </w:tcBorders>
            <w:vAlign w:val="center"/>
          </w:tcPr>
          <w:p w14:paraId="70304F80" w14:textId="38EFB088" w:rsidR="00DA35F7" w:rsidRPr="00E20618" w:rsidRDefault="0076425F" w:rsidP="004C567F">
            <w:pPr>
              <w:pStyle w:val="TableTextRight"/>
              <w:rPr>
                <w:rFonts w:cstheme="minorHAnsi"/>
              </w:rPr>
            </w:pPr>
            <w:r w:rsidRPr="006D0AA5">
              <w:rPr>
                <w:rFonts w:ascii="Calibri" w:hAnsi="Calibri"/>
              </w:rPr>
              <w:t>37.2</w:t>
            </w:r>
          </w:p>
        </w:tc>
        <w:tc>
          <w:tcPr>
            <w:tcW w:w="0" w:type="dxa"/>
            <w:tcBorders>
              <w:top w:val="nil"/>
              <w:left w:val="nil"/>
              <w:bottom w:val="nil"/>
              <w:right w:val="nil"/>
            </w:tcBorders>
            <w:vAlign w:val="center"/>
          </w:tcPr>
          <w:p w14:paraId="0866D1E5" w14:textId="5E542BB1" w:rsidR="00DA35F7" w:rsidRPr="00E20618" w:rsidRDefault="0076425F" w:rsidP="004C567F">
            <w:pPr>
              <w:pStyle w:val="TableTextRight"/>
              <w:rPr>
                <w:rFonts w:cstheme="minorHAnsi"/>
              </w:rPr>
            </w:pPr>
            <w:r w:rsidRPr="006D0AA5">
              <w:rPr>
                <w:rFonts w:ascii="Calibri" w:hAnsi="Calibri"/>
              </w:rPr>
              <w:t>37.4</w:t>
            </w:r>
          </w:p>
        </w:tc>
        <w:tc>
          <w:tcPr>
            <w:tcW w:w="0" w:type="dxa"/>
            <w:tcBorders>
              <w:top w:val="nil"/>
              <w:left w:val="nil"/>
              <w:bottom w:val="nil"/>
              <w:right w:val="single" w:sz="4" w:space="0" w:color="auto"/>
            </w:tcBorders>
            <w:vAlign w:val="center"/>
          </w:tcPr>
          <w:p w14:paraId="6B8F0359" w14:textId="3B2D359B" w:rsidR="00DA35F7" w:rsidRPr="00E20618" w:rsidRDefault="0076425F" w:rsidP="004C567F">
            <w:pPr>
              <w:pStyle w:val="TableTextRight"/>
              <w:rPr>
                <w:rFonts w:cstheme="minorHAnsi"/>
              </w:rPr>
            </w:pPr>
            <w:r w:rsidRPr="006D0AA5">
              <w:rPr>
                <w:rFonts w:ascii="Calibri" w:hAnsi="Calibri"/>
              </w:rPr>
              <w:t>37.</w:t>
            </w:r>
            <w:r w:rsidR="007E179A">
              <w:rPr>
                <w:rFonts w:ascii="Calibri" w:hAnsi="Calibri" w:cs="Calibri"/>
              </w:rPr>
              <w:t>6</w:t>
            </w:r>
          </w:p>
        </w:tc>
        <w:tc>
          <w:tcPr>
            <w:tcW w:w="0" w:type="dxa"/>
            <w:tcBorders>
              <w:top w:val="nil"/>
              <w:left w:val="single" w:sz="4" w:space="0" w:color="auto"/>
              <w:bottom w:val="nil"/>
              <w:right w:val="nil"/>
            </w:tcBorders>
            <w:vAlign w:val="center"/>
          </w:tcPr>
          <w:p w14:paraId="68806045" w14:textId="506E41BE" w:rsidR="00DA35F7" w:rsidRPr="00E20618" w:rsidRDefault="0076425F" w:rsidP="004C567F">
            <w:pPr>
              <w:pStyle w:val="TableTextRight"/>
              <w:rPr>
                <w:rFonts w:cstheme="minorHAnsi"/>
              </w:rPr>
            </w:pPr>
            <w:r w:rsidRPr="006D0AA5">
              <w:rPr>
                <w:rFonts w:ascii="Calibri" w:hAnsi="Calibri"/>
              </w:rPr>
              <w:t>38.</w:t>
            </w:r>
            <w:r w:rsidR="007E179A">
              <w:rPr>
                <w:rFonts w:ascii="Calibri" w:hAnsi="Calibri" w:cs="Calibri"/>
              </w:rPr>
              <w:t>8</w:t>
            </w:r>
          </w:p>
        </w:tc>
      </w:tr>
      <w:tr w:rsidR="00F67DB6" w:rsidRPr="00A1737D" w14:paraId="38419405" w14:textId="77777777">
        <w:tc>
          <w:tcPr>
            <w:tcW w:w="0" w:type="dxa"/>
            <w:tcBorders>
              <w:bottom w:val="nil"/>
            </w:tcBorders>
          </w:tcPr>
          <w:p w14:paraId="5B163B88" w14:textId="77777777" w:rsidR="00DA35F7" w:rsidRPr="006D0AA5" w:rsidRDefault="00DA35F7" w:rsidP="004C567F">
            <w:pPr>
              <w:pStyle w:val="Tabletextleftindent"/>
            </w:pPr>
            <w:r w:rsidRPr="006A6673">
              <w:t>Greater Perth</w:t>
            </w:r>
          </w:p>
        </w:tc>
        <w:tc>
          <w:tcPr>
            <w:tcW w:w="0" w:type="dxa"/>
            <w:tcBorders>
              <w:top w:val="nil"/>
              <w:left w:val="nil"/>
              <w:bottom w:val="nil"/>
              <w:right w:val="nil"/>
            </w:tcBorders>
            <w:vAlign w:val="center"/>
          </w:tcPr>
          <w:p w14:paraId="7EF6C72A" w14:textId="1C522D0D" w:rsidR="00DA35F7" w:rsidRPr="00E20618" w:rsidRDefault="0076425F" w:rsidP="004C567F">
            <w:pPr>
              <w:pStyle w:val="TableTextRight"/>
              <w:rPr>
                <w:rFonts w:cstheme="minorHAnsi"/>
              </w:rPr>
            </w:pPr>
            <w:r w:rsidRPr="006D0AA5">
              <w:rPr>
                <w:rFonts w:ascii="Calibri" w:hAnsi="Calibri"/>
              </w:rPr>
              <w:t>36.8</w:t>
            </w:r>
          </w:p>
        </w:tc>
        <w:tc>
          <w:tcPr>
            <w:tcW w:w="0" w:type="dxa"/>
            <w:tcBorders>
              <w:top w:val="nil"/>
              <w:left w:val="nil"/>
              <w:bottom w:val="nil"/>
              <w:right w:val="nil"/>
            </w:tcBorders>
            <w:shd w:val="clear" w:color="auto" w:fill="D2EDFF" w:themeFill="accent1" w:themeFillTint="1A"/>
            <w:vAlign w:val="center"/>
          </w:tcPr>
          <w:p w14:paraId="5C4392A3" w14:textId="17970259" w:rsidR="00DA35F7" w:rsidRPr="00E20618" w:rsidRDefault="0076425F" w:rsidP="004C567F">
            <w:pPr>
              <w:pStyle w:val="TableTextRight"/>
              <w:rPr>
                <w:rFonts w:cstheme="minorHAnsi"/>
              </w:rPr>
            </w:pPr>
            <w:r w:rsidRPr="006D0AA5">
              <w:rPr>
                <w:rFonts w:ascii="Calibri" w:hAnsi="Calibri"/>
              </w:rPr>
              <w:t>36.7</w:t>
            </w:r>
          </w:p>
        </w:tc>
        <w:tc>
          <w:tcPr>
            <w:tcW w:w="0" w:type="dxa"/>
            <w:tcBorders>
              <w:top w:val="nil"/>
              <w:left w:val="nil"/>
              <w:bottom w:val="nil"/>
              <w:right w:val="nil"/>
            </w:tcBorders>
            <w:vAlign w:val="center"/>
          </w:tcPr>
          <w:p w14:paraId="275D6523" w14:textId="1741D3C5" w:rsidR="00DA35F7" w:rsidRPr="00E20618" w:rsidRDefault="0076425F" w:rsidP="004C567F">
            <w:pPr>
              <w:pStyle w:val="TableTextRight"/>
              <w:rPr>
                <w:rFonts w:cstheme="minorHAnsi"/>
              </w:rPr>
            </w:pPr>
            <w:r w:rsidRPr="006D0AA5">
              <w:rPr>
                <w:rFonts w:ascii="Calibri" w:hAnsi="Calibri"/>
              </w:rPr>
              <w:t>36.7</w:t>
            </w:r>
          </w:p>
        </w:tc>
        <w:tc>
          <w:tcPr>
            <w:tcW w:w="0" w:type="dxa"/>
            <w:tcBorders>
              <w:top w:val="nil"/>
              <w:left w:val="nil"/>
              <w:bottom w:val="nil"/>
              <w:right w:val="nil"/>
            </w:tcBorders>
            <w:vAlign w:val="center"/>
          </w:tcPr>
          <w:p w14:paraId="44FDB519" w14:textId="5365F253" w:rsidR="00DA35F7" w:rsidRPr="00E20618" w:rsidRDefault="0076425F" w:rsidP="004C567F">
            <w:pPr>
              <w:pStyle w:val="TableTextRight"/>
              <w:rPr>
                <w:rFonts w:cstheme="minorHAnsi"/>
              </w:rPr>
            </w:pPr>
            <w:r w:rsidRPr="006D0AA5">
              <w:rPr>
                <w:rFonts w:ascii="Calibri" w:hAnsi="Calibri"/>
              </w:rPr>
              <w:t>36.8</w:t>
            </w:r>
          </w:p>
        </w:tc>
        <w:tc>
          <w:tcPr>
            <w:tcW w:w="0" w:type="dxa"/>
            <w:tcBorders>
              <w:top w:val="nil"/>
              <w:left w:val="nil"/>
              <w:bottom w:val="nil"/>
              <w:right w:val="single" w:sz="4" w:space="0" w:color="auto"/>
            </w:tcBorders>
            <w:vAlign w:val="center"/>
          </w:tcPr>
          <w:p w14:paraId="54196190" w14:textId="30DCE5F9" w:rsidR="00DA35F7" w:rsidRPr="00E20618" w:rsidRDefault="007E179A" w:rsidP="004C567F">
            <w:pPr>
              <w:pStyle w:val="TableTextRight"/>
              <w:rPr>
                <w:rFonts w:cstheme="minorHAnsi"/>
              </w:rPr>
            </w:pPr>
            <w:r>
              <w:rPr>
                <w:rFonts w:ascii="Calibri" w:hAnsi="Calibri" w:cs="Calibri"/>
              </w:rPr>
              <w:t>37.0</w:t>
            </w:r>
          </w:p>
        </w:tc>
        <w:tc>
          <w:tcPr>
            <w:tcW w:w="0" w:type="dxa"/>
            <w:tcBorders>
              <w:top w:val="nil"/>
              <w:left w:val="single" w:sz="4" w:space="0" w:color="auto"/>
              <w:bottom w:val="nil"/>
              <w:right w:val="nil"/>
            </w:tcBorders>
            <w:vAlign w:val="center"/>
          </w:tcPr>
          <w:p w14:paraId="6CC0B736" w14:textId="256F5408" w:rsidR="00DA35F7" w:rsidRPr="00E20618" w:rsidRDefault="007E179A" w:rsidP="004C567F">
            <w:pPr>
              <w:pStyle w:val="TableTextRight"/>
              <w:rPr>
                <w:rFonts w:cstheme="minorHAnsi"/>
              </w:rPr>
            </w:pPr>
            <w:r>
              <w:rPr>
                <w:rFonts w:ascii="Calibri" w:hAnsi="Calibri" w:cs="Calibri"/>
              </w:rPr>
              <w:t>38.0</w:t>
            </w:r>
          </w:p>
        </w:tc>
      </w:tr>
      <w:tr w:rsidR="00F67DB6" w:rsidRPr="00A1737D" w14:paraId="73AA2BB3" w14:textId="77777777">
        <w:tc>
          <w:tcPr>
            <w:tcW w:w="0" w:type="dxa"/>
            <w:tcBorders>
              <w:bottom w:val="single" w:sz="4" w:space="0" w:color="auto"/>
            </w:tcBorders>
          </w:tcPr>
          <w:p w14:paraId="46D851F7" w14:textId="77777777" w:rsidR="00DA35F7" w:rsidRPr="006D0AA5" w:rsidRDefault="00DA35F7" w:rsidP="004C567F">
            <w:pPr>
              <w:pStyle w:val="Tabletextleftindent"/>
            </w:pPr>
            <w:r w:rsidRPr="006A6673">
              <w:t>Rest of Western Australia</w:t>
            </w:r>
          </w:p>
        </w:tc>
        <w:tc>
          <w:tcPr>
            <w:tcW w:w="0" w:type="dxa"/>
            <w:tcBorders>
              <w:top w:val="nil"/>
              <w:left w:val="nil"/>
              <w:bottom w:val="single" w:sz="4" w:space="0" w:color="auto"/>
              <w:right w:val="nil"/>
            </w:tcBorders>
            <w:vAlign w:val="center"/>
          </w:tcPr>
          <w:p w14:paraId="73CD5BE0" w14:textId="6000A54A" w:rsidR="00DA35F7" w:rsidRPr="00E20618" w:rsidRDefault="0076425F" w:rsidP="004C567F">
            <w:pPr>
              <w:pStyle w:val="TableTextRight"/>
              <w:rPr>
                <w:rFonts w:cstheme="minorHAnsi"/>
              </w:rPr>
            </w:pPr>
            <w:r w:rsidRPr="006D0AA5">
              <w:rPr>
                <w:rFonts w:ascii="Calibri" w:hAnsi="Calibri"/>
              </w:rPr>
              <w:t>39.3</w:t>
            </w:r>
          </w:p>
        </w:tc>
        <w:tc>
          <w:tcPr>
            <w:tcW w:w="0" w:type="dxa"/>
            <w:tcBorders>
              <w:top w:val="nil"/>
              <w:left w:val="nil"/>
              <w:bottom w:val="single" w:sz="4" w:space="0" w:color="auto"/>
              <w:right w:val="nil"/>
            </w:tcBorders>
            <w:shd w:val="clear" w:color="auto" w:fill="D2EDFF" w:themeFill="accent1" w:themeFillTint="1A"/>
            <w:vAlign w:val="center"/>
          </w:tcPr>
          <w:p w14:paraId="284A96D7" w14:textId="13D1EAB8" w:rsidR="00DA35F7" w:rsidRPr="00E20618" w:rsidRDefault="0076425F" w:rsidP="004C567F">
            <w:pPr>
              <w:pStyle w:val="TableTextRight"/>
              <w:rPr>
                <w:rFonts w:cstheme="minorHAnsi"/>
              </w:rPr>
            </w:pPr>
            <w:r w:rsidRPr="006D0AA5">
              <w:rPr>
                <w:rFonts w:ascii="Calibri" w:hAnsi="Calibri"/>
              </w:rPr>
              <w:t>39.5</w:t>
            </w:r>
          </w:p>
        </w:tc>
        <w:tc>
          <w:tcPr>
            <w:tcW w:w="0" w:type="dxa"/>
            <w:tcBorders>
              <w:top w:val="nil"/>
              <w:left w:val="nil"/>
              <w:bottom w:val="single" w:sz="4" w:space="0" w:color="auto"/>
              <w:right w:val="nil"/>
            </w:tcBorders>
            <w:vAlign w:val="center"/>
          </w:tcPr>
          <w:p w14:paraId="50897053" w14:textId="772643D2" w:rsidR="00DA35F7" w:rsidRPr="00E20618" w:rsidRDefault="0076425F" w:rsidP="004C567F">
            <w:pPr>
              <w:pStyle w:val="TableTextRight"/>
              <w:rPr>
                <w:rFonts w:cstheme="minorHAnsi"/>
              </w:rPr>
            </w:pPr>
            <w:r w:rsidRPr="006D0AA5">
              <w:rPr>
                <w:rFonts w:ascii="Calibri" w:hAnsi="Calibri"/>
              </w:rPr>
              <w:t>39.7</w:t>
            </w:r>
          </w:p>
        </w:tc>
        <w:tc>
          <w:tcPr>
            <w:tcW w:w="0" w:type="dxa"/>
            <w:tcBorders>
              <w:top w:val="nil"/>
              <w:left w:val="nil"/>
              <w:bottom w:val="single" w:sz="4" w:space="0" w:color="auto"/>
              <w:right w:val="nil"/>
            </w:tcBorders>
            <w:vAlign w:val="center"/>
          </w:tcPr>
          <w:p w14:paraId="43A6FF29" w14:textId="3AF770D4" w:rsidR="00DA35F7" w:rsidRPr="00E20618" w:rsidRDefault="0076425F" w:rsidP="004C567F">
            <w:pPr>
              <w:pStyle w:val="TableTextRight"/>
              <w:rPr>
                <w:rFonts w:cstheme="minorHAnsi"/>
              </w:rPr>
            </w:pPr>
            <w:r w:rsidRPr="006D0AA5">
              <w:rPr>
                <w:rFonts w:ascii="Calibri" w:hAnsi="Calibri"/>
              </w:rPr>
              <w:t>40.</w:t>
            </w:r>
            <w:r w:rsidR="007E179A">
              <w:rPr>
                <w:rFonts w:ascii="Calibri" w:hAnsi="Calibri" w:cs="Calibri"/>
              </w:rPr>
              <w:t>1</w:t>
            </w:r>
          </w:p>
        </w:tc>
        <w:tc>
          <w:tcPr>
            <w:tcW w:w="0" w:type="dxa"/>
            <w:tcBorders>
              <w:top w:val="nil"/>
              <w:left w:val="nil"/>
              <w:bottom w:val="single" w:sz="4" w:space="0" w:color="auto"/>
              <w:right w:val="single" w:sz="4" w:space="0" w:color="auto"/>
            </w:tcBorders>
            <w:vAlign w:val="center"/>
          </w:tcPr>
          <w:p w14:paraId="7897AE05" w14:textId="5CF50DF7" w:rsidR="00DA35F7" w:rsidRPr="00E20618" w:rsidRDefault="0076425F" w:rsidP="004C567F">
            <w:pPr>
              <w:pStyle w:val="TableTextRight"/>
              <w:rPr>
                <w:rFonts w:cstheme="minorHAnsi"/>
              </w:rPr>
            </w:pPr>
            <w:r w:rsidRPr="006D0AA5">
              <w:rPr>
                <w:rFonts w:ascii="Calibri" w:hAnsi="Calibri"/>
              </w:rPr>
              <w:t>40.4</w:t>
            </w:r>
          </w:p>
        </w:tc>
        <w:tc>
          <w:tcPr>
            <w:tcW w:w="0" w:type="dxa"/>
            <w:tcBorders>
              <w:top w:val="nil"/>
              <w:left w:val="single" w:sz="4" w:space="0" w:color="auto"/>
              <w:bottom w:val="single" w:sz="4" w:space="0" w:color="auto"/>
              <w:right w:val="nil"/>
            </w:tcBorders>
            <w:vAlign w:val="center"/>
          </w:tcPr>
          <w:p w14:paraId="6DFBE5C2" w14:textId="41B03827" w:rsidR="00DA35F7" w:rsidRPr="00E20618" w:rsidRDefault="0076425F" w:rsidP="004C567F">
            <w:pPr>
              <w:pStyle w:val="TableTextRight"/>
              <w:rPr>
                <w:rFonts w:cstheme="minorHAnsi"/>
              </w:rPr>
            </w:pPr>
            <w:r w:rsidRPr="006D0AA5">
              <w:rPr>
                <w:rFonts w:ascii="Calibri" w:hAnsi="Calibri"/>
              </w:rPr>
              <w:t>42.</w:t>
            </w:r>
            <w:r w:rsidR="007E179A">
              <w:rPr>
                <w:rFonts w:ascii="Calibri" w:hAnsi="Calibri" w:cs="Calibri"/>
              </w:rPr>
              <w:t>7</w:t>
            </w:r>
          </w:p>
        </w:tc>
      </w:tr>
    </w:tbl>
    <w:p w14:paraId="625B6557" w14:textId="4E2E8640" w:rsidR="00DA35F7" w:rsidRPr="00A653DE" w:rsidRDefault="00DA35F7" w:rsidP="00C14BAE">
      <w:pPr>
        <w:pStyle w:val="Source"/>
      </w:pPr>
      <w:r w:rsidRPr="00A653DE">
        <w:t>Source:</w:t>
      </w:r>
      <w:r w:rsidR="00A653DE" w:rsidRPr="00A653DE">
        <w:tab/>
      </w:r>
      <w:r w:rsidR="00DD1DCF" w:rsidRPr="00A653DE">
        <w:t>ABS</w:t>
      </w:r>
      <w:r w:rsidRPr="00A653DE">
        <w:t>, National, state and territory population, March 2023</w:t>
      </w:r>
      <w:r w:rsidR="00D47042">
        <w:t>,</w:t>
      </w:r>
      <w:r w:rsidRPr="00A653DE">
        <w:t xml:space="preserve"> </w:t>
      </w:r>
      <w:r w:rsidR="00DD1DCF" w:rsidRPr="00A653DE">
        <w:t>ABS</w:t>
      </w:r>
      <w:r w:rsidRPr="00A653DE">
        <w:t>, Regional population 2021–22</w:t>
      </w:r>
      <w:r w:rsidR="00BB2A90">
        <w:t>,</w:t>
      </w:r>
      <w:r w:rsidR="00E81F0C">
        <w:t xml:space="preserve"> </w:t>
      </w:r>
      <w:r w:rsidRPr="00A653DE">
        <w:t>and Centre for Population projections.</w:t>
      </w:r>
    </w:p>
    <w:p w14:paraId="65487F60" w14:textId="1934D664" w:rsidR="00B05FF7" w:rsidRDefault="00B05FF7" w:rsidP="006D0AA5">
      <w:pPr>
        <w:pStyle w:val="SingleParagraph"/>
      </w:pPr>
    </w:p>
    <w:p w14:paraId="12E2BCD2" w14:textId="2A681432" w:rsidR="00472C9A" w:rsidRPr="00926A5E" w:rsidRDefault="00472C9A" w:rsidP="006D0AA5">
      <w:pPr>
        <w:pStyle w:val="Heading2Numbered"/>
      </w:pPr>
      <w:bookmarkStart w:id="156" w:name="_Toc149846513"/>
      <w:bookmarkStart w:id="157" w:name="_Toc149846554"/>
      <w:bookmarkStart w:id="158" w:name="_Toc149846652"/>
      <w:bookmarkStart w:id="159" w:name="_Toc149847595"/>
      <w:bookmarkStart w:id="160" w:name="_Toc151994728"/>
      <w:bookmarkStart w:id="161" w:name="_Toc154050217"/>
      <w:r w:rsidRPr="00926A5E">
        <w:lastRenderedPageBreak/>
        <w:t>Tasmania</w:t>
      </w:r>
      <w:bookmarkEnd w:id="156"/>
      <w:bookmarkEnd w:id="157"/>
      <w:bookmarkEnd w:id="158"/>
      <w:bookmarkEnd w:id="159"/>
      <w:bookmarkEnd w:id="160"/>
      <w:bookmarkEnd w:id="161"/>
    </w:p>
    <w:p w14:paraId="0AE2773D" w14:textId="5670C042" w:rsidR="00823CF2" w:rsidRDefault="00823CF2" w:rsidP="006D0AA5">
      <w:pPr>
        <w:keepLines/>
      </w:pPr>
      <w:r>
        <w:t>Tasmania</w:t>
      </w:r>
      <w:r w:rsidR="004B14AB">
        <w:t>’</w:t>
      </w:r>
      <w:r>
        <w:t xml:space="preserve">s population was </w:t>
      </w:r>
      <w:r w:rsidR="00676670">
        <w:t>571,000</w:t>
      </w:r>
      <w:r>
        <w:t xml:space="preserve"> on 30 June 2022 and is projected to reach </w:t>
      </w:r>
      <w:r w:rsidR="00F12017">
        <w:t>63</w:t>
      </w:r>
      <w:r w:rsidR="00626165">
        <w:t>3</w:t>
      </w:r>
      <w:r w:rsidR="00F12017">
        <w:t xml:space="preserve">,000 </w:t>
      </w:r>
      <w:r>
        <w:t xml:space="preserve">by 2033–34. </w:t>
      </w:r>
      <w:r w:rsidR="00F12017">
        <w:t>Tasmania</w:t>
      </w:r>
      <w:r>
        <w:t xml:space="preserve"> is forecast to be the </w:t>
      </w:r>
      <w:r w:rsidR="00093D96">
        <w:t>slowest</w:t>
      </w:r>
      <w:r>
        <w:t xml:space="preserve"> growing state or territory in 2022</w:t>
      </w:r>
      <w:r w:rsidR="00E54F9C" w:rsidDel="00EA63CC">
        <w:t>–</w:t>
      </w:r>
      <w:r>
        <w:t>23 with growth of 0</w:t>
      </w:r>
      <w:r w:rsidR="00F810B8">
        <w:t>.5</w:t>
      </w:r>
      <w:r w:rsidR="001F3B6F">
        <w:t> per cent</w:t>
      </w:r>
      <w:r w:rsidR="00E27452">
        <w:t>. It has</w:t>
      </w:r>
      <w:r>
        <w:t xml:space="preserve"> </w:t>
      </w:r>
      <w:r w:rsidR="00E22D0E">
        <w:t xml:space="preserve">the lowest contribution of any state or territory from both natural increase and </w:t>
      </w:r>
      <w:r>
        <w:t xml:space="preserve">net overseas migration. </w:t>
      </w:r>
      <w:r w:rsidR="00A50380">
        <w:t xml:space="preserve">Tasmania is </w:t>
      </w:r>
      <w:r>
        <w:t xml:space="preserve">also </w:t>
      </w:r>
      <w:r w:rsidR="00A50380">
        <w:t>expected to have</w:t>
      </w:r>
      <w:r>
        <w:t xml:space="preserve"> net interstate outflows </w:t>
      </w:r>
      <w:r w:rsidR="00A50380">
        <w:t>in 2022</w:t>
      </w:r>
      <w:r w:rsidR="00E54F9C" w:rsidDel="00EA63CC">
        <w:t>–</w:t>
      </w:r>
      <w:r w:rsidR="00A50380">
        <w:t>23</w:t>
      </w:r>
      <w:r w:rsidR="00F028CC">
        <w:t xml:space="preserve">, </w:t>
      </w:r>
      <w:r w:rsidR="009264E3">
        <w:t xml:space="preserve">a reversal of the </w:t>
      </w:r>
      <w:r w:rsidR="004C3B3D">
        <w:t xml:space="preserve">positive interstate migration </w:t>
      </w:r>
      <w:r w:rsidR="009264E3">
        <w:t xml:space="preserve">recorded </w:t>
      </w:r>
      <w:r w:rsidR="004C3B3D">
        <w:t xml:space="preserve">in </w:t>
      </w:r>
      <w:r w:rsidR="00D71450">
        <w:t xml:space="preserve">each of </w:t>
      </w:r>
      <w:r w:rsidR="004C3B3D">
        <w:t xml:space="preserve">the </w:t>
      </w:r>
      <w:r w:rsidR="004B7CAE">
        <w:t>7</w:t>
      </w:r>
      <w:r w:rsidR="00377429">
        <w:t> year</w:t>
      </w:r>
      <w:r w:rsidR="00D71450">
        <w:t>s to 2020</w:t>
      </w:r>
      <w:r w:rsidR="00E54F9C" w:rsidDel="00EA63CC">
        <w:t>–</w:t>
      </w:r>
      <w:r w:rsidR="00D71450">
        <w:t>21</w:t>
      </w:r>
      <w:r>
        <w:t xml:space="preserve">. </w:t>
      </w:r>
      <w:r w:rsidR="00590C39">
        <w:t>Tasmania will remain the slowest growing state in 2023</w:t>
      </w:r>
      <w:r w:rsidR="00DD02E9">
        <w:t>–</w:t>
      </w:r>
      <w:r w:rsidR="00590C39">
        <w:t xml:space="preserve">24, </w:t>
      </w:r>
      <w:r w:rsidR="00481EBC">
        <w:t>then is projected to be</w:t>
      </w:r>
      <w:r w:rsidR="00481EBC" w:rsidDel="00EA63CC">
        <w:t xml:space="preserve"> </w:t>
      </w:r>
      <w:r w:rsidR="00481EBC">
        <w:t>the second slowest growing state or territory from 2025</w:t>
      </w:r>
      <w:r w:rsidR="00131276">
        <w:t>–</w:t>
      </w:r>
      <w:r w:rsidR="00481EBC">
        <w:softHyphen/>
        <w:t xml:space="preserve">26, as </w:t>
      </w:r>
      <w:r w:rsidR="006B682F">
        <w:t>interstate</w:t>
      </w:r>
      <w:r>
        <w:t xml:space="preserve"> migration returns </w:t>
      </w:r>
      <w:r w:rsidR="00970F8C">
        <w:t xml:space="preserve">to net </w:t>
      </w:r>
      <w:r w:rsidR="008202AC">
        <w:t>arrivals.</w:t>
      </w:r>
    </w:p>
    <w:p w14:paraId="2D0513E9" w14:textId="52169610" w:rsidR="00823CF2" w:rsidRDefault="00823CF2" w:rsidP="005434E2">
      <w:r>
        <w:t xml:space="preserve">Over the projection period, net overseas migration is forecast to be the </w:t>
      </w:r>
      <w:r w:rsidR="00F50BB8">
        <w:t xml:space="preserve">primary </w:t>
      </w:r>
      <w:r>
        <w:t xml:space="preserve">driver of population growth in </w:t>
      </w:r>
      <w:r w:rsidR="007B3FA0">
        <w:t>Tasmania</w:t>
      </w:r>
      <w:r>
        <w:t xml:space="preserve">, contributing </w:t>
      </w:r>
      <w:r w:rsidR="007B3FA0">
        <w:t>almost 9</w:t>
      </w:r>
      <w:r>
        <w:t>0</w:t>
      </w:r>
      <w:r w:rsidR="001F3B6F">
        <w:t> per cent</w:t>
      </w:r>
      <w:r>
        <w:t xml:space="preserve"> of the growth between 2022–23 and 2033–34. </w:t>
      </w:r>
      <w:r w:rsidR="00420DED">
        <w:t>T</w:t>
      </w:r>
      <w:r w:rsidR="000A1266">
        <w:t>asmania</w:t>
      </w:r>
      <w:r w:rsidR="004B14AB">
        <w:t>’</w:t>
      </w:r>
      <w:r w:rsidR="000A1266">
        <w:t>s slow growth in the projection years</w:t>
      </w:r>
      <w:r w:rsidR="00420DED">
        <w:t xml:space="preserve"> is largely because of </w:t>
      </w:r>
      <w:r w:rsidR="00362F69">
        <w:t>the state</w:t>
      </w:r>
      <w:r w:rsidR="004B14AB">
        <w:t>’</w:t>
      </w:r>
      <w:r w:rsidR="00420DED">
        <w:t xml:space="preserve">s ageing population leading to low </w:t>
      </w:r>
      <w:r w:rsidR="004F20B3">
        <w:t xml:space="preserve">and declining </w:t>
      </w:r>
      <w:r w:rsidR="00420DED">
        <w:t>natural increase. Tasmania</w:t>
      </w:r>
      <w:r w:rsidR="00F21753">
        <w:t xml:space="preserve"> </w:t>
      </w:r>
      <w:r w:rsidR="00420DED">
        <w:t xml:space="preserve">is projected to </w:t>
      </w:r>
      <w:r w:rsidR="00F21753">
        <w:t xml:space="preserve">experience natural decrease </w:t>
      </w:r>
      <w:r w:rsidR="00420DED">
        <w:t>in 2033</w:t>
      </w:r>
      <w:r w:rsidR="00463934">
        <w:t>–</w:t>
      </w:r>
      <w:r w:rsidR="00420DED">
        <w:t>34, which would be the first time this had happened in any state or territory since the 1930s.</w:t>
      </w:r>
    </w:p>
    <w:p w14:paraId="286C1D52" w14:textId="77777777" w:rsidR="00D87047" w:rsidRPr="00485E58" w:rsidRDefault="00D87047" w:rsidP="00815679">
      <w:pPr>
        <w:pStyle w:val="ChartMainHeading"/>
      </w:pPr>
      <w:r w:rsidRPr="00485E58">
        <w:t>Population growth and components, Tasmania</w:t>
      </w:r>
    </w:p>
    <w:p w14:paraId="597C0FE9" w14:textId="1D10C14D" w:rsidR="00141189" w:rsidRDefault="00720A5F" w:rsidP="00815679">
      <w:pPr>
        <w:pStyle w:val="ChartGraphic"/>
      </w:pPr>
      <w:r w:rsidRPr="00720A5F">
        <w:t xml:space="preserve"> </w:t>
      </w:r>
      <w:r w:rsidR="00321B09" w:rsidRPr="00321B09">
        <w:rPr>
          <w:noProof/>
        </w:rPr>
        <w:drawing>
          <wp:inline distT="0" distB="0" distL="0" distR="0" wp14:anchorId="4D9F08FD" wp14:editId="2B1B2B85">
            <wp:extent cx="5581650" cy="2520315"/>
            <wp:effectExtent l="0" t="0" r="0" b="0"/>
            <wp:docPr id="64" name="Picture 64" descr="This chart shows population growth by component for Tasmania, disaggregated into its components: natural increase, net overseas migration and net interstate migration. Intercensal difference is also shown. Net overseas migration will be the main driver of population growth, with limited natural increase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chart shows population growth by component for Tasmania, disaggregated into its components: natural increase, net overseas migration and net interstate migration. Intercensal difference is also shown. Net overseas migration will be the main driver of population growth, with limited natural increase over the projection perio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5EDB98A2" w14:textId="5BD1FB9B" w:rsidR="00D87047" w:rsidRDefault="00D87047" w:rsidP="00C14BAE">
      <w:pPr>
        <w:pStyle w:val="Source"/>
      </w:pPr>
      <w:r w:rsidRPr="00926A5E">
        <w:t xml:space="preserve">Source: </w:t>
      </w:r>
      <w:r w:rsidR="00926A5E">
        <w:tab/>
      </w:r>
      <w:r w:rsidR="00DD1DCF" w:rsidRPr="00926A5E">
        <w:t>ABS</w:t>
      </w:r>
      <w:r w:rsidRPr="00926A5E">
        <w:t>, National, state and territory population, March 2023</w:t>
      </w:r>
      <w:r w:rsidR="00321B09" w:rsidRPr="00926A5E">
        <w:t xml:space="preserve"> </w:t>
      </w:r>
      <w:r w:rsidRPr="00926A5E">
        <w:t>and Centre for Population projections.</w:t>
      </w:r>
    </w:p>
    <w:p w14:paraId="3D412377" w14:textId="2B39F0DC" w:rsidR="00823CF2" w:rsidRDefault="00823CF2" w:rsidP="00926A5E">
      <w:r w:rsidRPr="00F704FC">
        <w:rPr>
          <w:b/>
        </w:rPr>
        <w:t xml:space="preserve">Greater </w:t>
      </w:r>
      <w:r w:rsidR="00AB4F74" w:rsidRPr="00F704FC">
        <w:rPr>
          <w:b/>
        </w:rPr>
        <w:t>Hobart</w:t>
      </w:r>
      <w:r w:rsidR="004B14AB">
        <w:rPr>
          <w:b/>
        </w:rPr>
        <w:t>’</w:t>
      </w:r>
      <w:r w:rsidRPr="00F704FC">
        <w:rPr>
          <w:b/>
        </w:rPr>
        <w:t>s</w:t>
      </w:r>
      <w:r>
        <w:t xml:space="preserve"> population on 30 June 2022 was 2</w:t>
      </w:r>
      <w:r w:rsidR="00E03E81">
        <w:t>52,000</w:t>
      </w:r>
      <w:r>
        <w:t xml:space="preserve">, representing </w:t>
      </w:r>
      <w:r w:rsidR="00950C94">
        <w:t>44</w:t>
      </w:r>
      <w:r w:rsidR="001F3B6F">
        <w:t> per cent</w:t>
      </w:r>
      <w:r>
        <w:t xml:space="preserve"> of </w:t>
      </w:r>
      <w:r w:rsidR="0089378A" w:rsidDel="00EA63CC">
        <w:t>Tasmania</w:t>
      </w:r>
      <w:r w:rsidR="004B14AB">
        <w:t>’</w:t>
      </w:r>
      <w:r w:rsidR="0089378A" w:rsidDel="00EA63CC">
        <w:t>s</w:t>
      </w:r>
      <w:r>
        <w:t xml:space="preserve"> population. Population growth in </w:t>
      </w:r>
      <w:r w:rsidR="00B7509E">
        <w:t>Hobart</w:t>
      </w:r>
      <w:r>
        <w:t xml:space="preserve"> was </w:t>
      </w:r>
      <w:r w:rsidR="00B7509E">
        <w:t>0.7</w:t>
      </w:r>
      <w:r w:rsidR="001F3B6F">
        <w:t> per cent</w:t>
      </w:r>
      <w:r>
        <w:t xml:space="preserve"> in 2021</w:t>
      </w:r>
      <w:r w:rsidR="00E54F9C" w:rsidDel="00EA63CC">
        <w:t>–</w:t>
      </w:r>
      <w:r>
        <w:t xml:space="preserve">22 and is forecast to </w:t>
      </w:r>
      <w:r w:rsidR="007A3549">
        <w:t>de</w:t>
      </w:r>
      <w:r>
        <w:t xml:space="preserve">crease to </w:t>
      </w:r>
      <w:r w:rsidR="007A3549">
        <w:t>0</w:t>
      </w:r>
      <w:r>
        <w:t>.4</w:t>
      </w:r>
      <w:r w:rsidR="001F3B6F">
        <w:t> per cent</w:t>
      </w:r>
      <w:r>
        <w:t xml:space="preserve"> in 2022–</w:t>
      </w:r>
      <w:r w:rsidR="00FA5FB5">
        <w:t>‍</w:t>
      </w:r>
      <w:r>
        <w:t xml:space="preserve">23, the </w:t>
      </w:r>
      <w:r w:rsidR="00C84011">
        <w:t>low</w:t>
      </w:r>
      <w:r>
        <w:t xml:space="preserve">est of any capital city. Growth is projected to </w:t>
      </w:r>
      <w:r w:rsidR="009042E9">
        <w:t>pick up as net internal migration recovers</w:t>
      </w:r>
      <w:r w:rsidR="006B5B92">
        <w:t>, rea</w:t>
      </w:r>
      <w:r w:rsidR="00E472B5">
        <w:t>ching 1.</w:t>
      </w:r>
      <w:r w:rsidR="006231D9">
        <w:t>5</w:t>
      </w:r>
      <w:r w:rsidR="001F3B6F">
        <w:t> per cent</w:t>
      </w:r>
      <w:r w:rsidR="00E472B5">
        <w:t xml:space="preserve"> in 2025</w:t>
      </w:r>
      <w:r w:rsidR="00E54F9C" w:rsidDel="00EA63CC">
        <w:t>–</w:t>
      </w:r>
      <w:r w:rsidR="00E472B5">
        <w:t xml:space="preserve">26. </w:t>
      </w:r>
      <w:r w:rsidR="006A1CC0">
        <w:t xml:space="preserve">Growth </w:t>
      </w:r>
      <w:r w:rsidR="001620E0">
        <w:t xml:space="preserve">then </w:t>
      </w:r>
      <w:r w:rsidR="006A1CC0">
        <w:t>slows</w:t>
      </w:r>
      <w:r>
        <w:t xml:space="preserve"> to 1.</w:t>
      </w:r>
      <w:r w:rsidR="000B490C">
        <w:t>2</w:t>
      </w:r>
      <w:r w:rsidR="001F3B6F">
        <w:t> per cent</w:t>
      </w:r>
      <w:r>
        <w:t xml:space="preserve"> by 2033–34. The majority of growth is expected to come from net overseas migration, with </w:t>
      </w:r>
      <w:r w:rsidR="00743FBE">
        <w:t xml:space="preserve">natural increase and </w:t>
      </w:r>
      <w:r>
        <w:t xml:space="preserve">net internal migration expected to be positive. </w:t>
      </w:r>
      <w:r w:rsidR="00E916B3">
        <w:t>Hobart</w:t>
      </w:r>
      <w:r w:rsidR="004B14AB">
        <w:t>’</w:t>
      </w:r>
      <w:r>
        <w:t xml:space="preserve">s population is projected to be </w:t>
      </w:r>
      <w:r w:rsidR="00F60165">
        <w:t>292,000</w:t>
      </w:r>
      <w:r>
        <w:t xml:space="preserve"> in 2033–34. </w:t>
      </w:r>
    </w:p>
    <w:p w14:paraId="76D75A66" w14:textId="15F0FE95" w:rsidR="00D87047" w:rsidRDefault="00823CF2" w:rsidP="00926A5E">
      <w:r>
        <w:t xml:space="preserve">The population of the </w:t>
      </w:r>
      <w:r w:rsidRPr="00F704FC">
        <w:rPr>
          <w:b/>
        </w:rPr>
        <w:t xml:space="preserve">rest of </w:t>
      </w:r>
      <w:r w:rsidR="00957002" w:rsidRPr="00F704FC">
        <w:rPr>
          <w:b/>
        </w:rPr>
        <w:t>Tasmania</w:t>
      </w:r>
      <w:r>
        <w:t xml:space="preserve"> on 30 June 2022 was </w:t>
      </w:r>
      <w:r w:rsidR="004D5B51">
        <w:t>319</w:t>
      </w:r>
      <w:r>
        <w:t>,000</w:t>
      </w:r>
      <w:r w:rsidR="0037037C">
        <w:t>, the largest rest</w:t>
      </w:r>
      <w:r w:rsidR="004B14AB">
        <w:noBreakHyphen/>
      </w:r>
      <w:r w:rsidR="0037037C">
        <w:t>of</w:t>
      </w:r>
      <w:r w:rsidR="004B14AB">
        <w:noBreakHyphen/>
      </w:r>
      <w:r w:rsidR="0037037C">
        <w:t>state population share of any state or territory</w:t>
      </w:r>
      <w:r w:rsidR="00705416">
        <w:t xml:space="preserve"> at 56</w:t>
      </w:r>
      <w:r w:rsidR="001F3B6F">
        <w:t> per cent</w:t>
      </w:r>
      <w:r>
        <w:t xml:space="preserve">. Population growth is forecast to be </w:t>
      </w:r>
      <w:r w:rsidR="00541AD6">
        <w:t>0.</w:t>
      </w:r>
      <w:r w:rsidR="001A72B2">
        <w:t>6</w:t>
      </w:r>
      <w:r w:rsidR="001F3B6F">
        <w:t> per cent</w:t>
      </w:r>
      <w:r>
        <w:t xml:space="preserve"> </w:t>
      </w:r>
      <w:r w:rsidR="00271C21">
        <w:t>in</w:t>
      </w:r>
      <w:r>
        <w:t xml:space="preserve"> 2022</w:t>
      </w:r>
      <w:r w:rsidR="00E54F9C" w:rsidDel="00EA63CC">
        <w:t>–</w:t>
      </w:r>
      <w:r>
        <w:t xml:space="preserve">23, </w:t>
      </w:r>
      <w:r w:rsidR="0079330E">
        <w:t xml:space="preserve">as </w:t>
      </w:r>
      <w:r w:rsidR="00FD2246">
        <w:t>the increase in</w:t>
      </w:r>
      <w:r>
        <w:t xml:space="preserve"> net overseas migration</w:t>
      </w:r>
      <w:r w:rsidR="003F4415">
        <w:t xml:space="preserve"> from 2021</w:t>
      </w:r>
      <w:r w:rsidR="00E54F9C" w:rsidDel="00EA63CC">
        <w:t>–</w:t>
      </w:r>
      <w:r w:rsidR="003F4415">
        <w:t xml:space="preserve">22 is offset by weaker internal migration </w:t>
      </w:r>
      <w:r w:rsidR="00D77E34">
        <w:t>inflows and more natural decrease</w:t>
      </w:r>
      <w:r>
        <w:t xml:space="preserve">. Net overseas migration is projected to contribute the </w:t>
      </w:r>
      <w:r w:rsidR="00D67B14">
        <w:t>overwhelming majority</w:t>
      </w:r>
      <w:r>
        <w:t xml:space="preserve"> to population growth over the projection period. Net internal migration is expected </w:t>
      </w:r>
      <w:r w:rsidR="00B436E9">
        <w:t xml:space="preserve">to </w:t>
      </w:r>
      <w:r w:rsidR="006610BE">
        <w:t>contribute</w:t>
      </w:r>
      <w:r>
        <w:t xml:space="preserve"> an average of 0.</w:t>
      </w:r>
      <w:r w:rsidR="00727AAA">
        <w:t>1</w:t>
      </w:r>
      <w:r w:rsidR="00FA5FB5">
        <w:t> </w:t>
      </w:r>
      <w:r>
        <w:t xml:space="preserve">percentage points </w:t>
      </w:r>
      <w:r w:rsidR="006D6ECC">
        <w:t xml:space="preserve">to </w:t>
      </w:r>
      <w:r>
        <w:t xml:space="preserve">growth </w:t>
      </w:r>
      <w:r w:rsidR="00970641">
        <w:t>from 2025</w:t>
      </w:r>
      <w:r w:rsidR="006127AF" w:rsidDel="00EA63CC">
        <w:t>–</w:t>
      </w:r>
      <w:r w:rsidR="00970641">
        <w:t>26</w:t>
      </w:r>
      <w:r w:rsidR="001B00EC">
        <w:t>, but this is largely offset by n</w:t>
      </w:r>
      <w:r w:rsidR="007C7447">
        <w:t>atural decrease</w:t>
      </w:r>
      <w:r w:rsidR="005C5B64">
        <w:t>.</w:t>
      </w:r>
      <w:r w:rsidR="00755694">
        <w:t xml:space="preserve"> </w:t>
      </w:r>
      <w:r w:rsidR="006C4209">
        <w:t>The r</w:t>
      </w:r>
      <w:r>
        <w:t xml:space="preserve">est of </w:t>
      </w:r>
      <w:r w:rsidR="00755694">
        <w:t>Tasmania</w:t>
      </w:r>
      <w:r w:rsidR="004B14AB">
        <w:t>’</w:t>
      </w:r>
      <w:r>
        <w:t xml:space="preserve">s population is projected to be </w:t>
      </w:r>
      <w:r w:rsidR="006A74BC">
        <w:t>341</w:t>
      </w:r>
      <w:r>
        <w:t>,000 in 2033</w:t>
      </w:r>
      <w:r w:rsidR="00E54F9C" w:rsidDel="00EA63CC">
        <w:t>–</w:t>
      </w:r>
      <w:r>
        <w:t xml:space="preserve">34. </w:t>
      </w:r>
    </w:p>
    <w:p w14:paraId="277C999B" w14:textId="61623D3A" w:rsidR="006042B0" w:rsidRPr="00926A5E" w:rsidRDefault="006042B0" w:rsidP="00217CC0">
      <w:pPr>
        <w:pStyle w:val="ChartMainHeading"/>
      </w:pPr>
      <w:r w:rsidRPr="00926A5E">
        <w:lastRenderedPageBreak/>
        <w:t>Population growth in Tasmania, Greater Hobart and the Rest of Tasmania</w:t>
      </w:r>
    </w:p>
    <w:p w14:paraId="6C826ED2" w14:textId="3C4A2A3F" w:rsidR="006042B0" w:rsidRPr="00485E58" w:rsidRDefault="00E134E7" w:rsidP="009F117D">
      <w:pPr>
        <w:pStyle w:val="ChartGraphic"/>
      </w:pPr>
      <w:r w:rsidRPr="00E134E7">
        <w:rPr>
          <w:noProof/>
        </w:rPr>
        <w:drawing>
          <wp:inline distT="0" distB="0" distL="0" distR="0" wp14:anchorId="5102A17A" wp14:editId="70CDAB8D">
            <wp:extent cx="5581650" cy="2885440"/>
            <wp:effectExtent l="0" t="0" r="0" b="0"/>
            <wp:docPr id="36" name="Picture 36" descr="This chart shows population growth for Hobart, Tasmania and the rest of Tasmania. Population growth had been relatively strong in all three areas until 2021-22, when it fell sharply. Population growth is projected to recover in Hobart to a peak of 1.5 per cent in 2025-26 and slowly decline thereafter. Tasmania's growth will recover to 1.0 in 2025-26, before slowly declining towards 0.8 per cent in 2033-34. Growth in the rest of Tasmania also recovers to 0.7 per cent in 2023-24, before declining to 0.5 per cent in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chart shows population growth for Hobart, Tasmania and the rest of Tasmania. Population growth had been relatively strong in all three areas until 2021-22, when it fell sharply. Population growth is projected to recover in Hobart to a peak of 1.5 per cent in 2025-26 and slowly decline thereafter. Tasmania's growth will recover to 1.0 in 2025-26, before slowly declining towards 0.8 per cent in 2033-34. Growth in the rest of Tasmania also recovers to 0.7 per cent in 2023-24, before declining to 0.5 per cent in 2033-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650" cy="2885440"/>
                    </a:xfrm>
                    <a:prstGeom prst="rect">
                      <a:avLst/>
                    </a:prstGeom>
                    <a:noFill/>
                    <a:ln>
                      <a:noFill/>
                    </a:ln>
                  </pic:spPr>
                </pic:pic>
              </a:graphicData>
            </a:graphic>
          </wp:inline>
        </w:drawing>
      </w:r>
    </w:p>
    <w:p w14:paraId="75FA9377" w14:textId="5766B5C1" w:rsidR="006042B0" w:rsidRPr="00926A5E" w:rsidRDefault="006042B0" w:rsidP="00C14BAE">
      <w:pPr>
        <w:pStyle w:val="Source"/>
      </w:pPr>
      <w:r w:rsidRPr="00926A5E">
        <w:t xml:space="preserve">Source: </w:t>
      </w:r>
      <w:r w:rsidR="00926A5E">
        <w:tab/>
      </w:r>
      <w:r w:rsidR="00DD1DCF" w:rsidRPr="00926A5E">
        <w:t>ABS</w:t>
      </w:r>
      <w:r w:rsidRPr="00926A5E">
        <w:t>, Regional population</w:t>
      </w:r>
      <w:r w:rsidR="005205A2" w:rsidRPr="00926A5E">
        <w:t xml:space="preserve"> 2021–22</w:t>
      </w:r>
      <w:r w:rsidR="006E5C60">
        <w:t>,</w:t>
      </w:r>
      <w:r w:rsidRPr="00926A5E">
        <w:t xml:space="preserve"> </w:t>
      </w:r>
      <w:r w:rsidR="00DD1DCF" w:rsidRPr="00926A5E">
        <w:t>ABS</w:t>
      </w:r>
      <w:r w:rsidRPr="00926A5E">
        <w:t>, National, state and territory population, March 202</w:t>
      </w:r>
      <w:r w:rsidR="005205A2" w:rsidRPr="00926A5E">
        <w:t>3</w:t>
      </w:r>
      <w:r w:rsidR="006873E6">
        <w:t>,</w:t>
      </w:r>
      <w:r w:rsidR="00EC37A1" w:rsidRPr="00926A5E">
        <w:t xml:space="preserve"> </w:t>
      </w:r>
      <w:r w:rsidRPr="00926A5E">
        <w:t>and Centre for Population projections.</w:t>
      </w:r>
    </w:p>
    <w:p w14:paraId="7790BF36" w14:textId="435A4DF6" w:rsidR="00DD4AAA" w:rsidRDefault="00DD4AAA">
      <w:pPr>
        <w:spacing w:before="0" w:after="160" w:line="259" w:lineRule="auto"/>
      </w:pPr>
      <w:r>
        <w:br w:type="page"/>
      </w:r>
    </w:p>
    <w:p w14:paraId="762A0987" w14:textId="77777777" w:rsidR="00B203CD" w:rsidRPr="00485E58" w:rsidRDefault="00B203CD" w:rsidP="001A5782">
      <w:pPr>
        <w:pStyle w:val="TableMainHeading"/>
      </w:pPr>
      <w:r w:rsidRPr="00485E58">
        <w:lastRenderedPageBreak/>
        <w:t>Population projections, Tasmania</w:t>
      </w:r>
    </w:p>
    <w:tbl>
      <w:tblPr>
        <w:tblStyle w:val="CPOPTable"/>
        <w:tblW w:w="0" w:type="auto"/>
        <w:tblLook w:val="04A0" w:firstRow="1" w:lastRow="0" w:firstColumn="1" w:lastColumn="0" w:noHBand="0" w:noVBand="1"/>
      </w:tblPr>
      <w:tblGrid>
        <w:gridCol w:w="3096"/>
        <w:gridCol w:w="996"/>
        <w:gridCol w:w="996"/>
        <w:gridCol w:w="996"/>
        <w:gridCol w:w="996"/>
        <w:gridCol w:w="996"/>
        <w:gridCol w:w="996"/>
      </w:tblGrid>
      <w:tr w:rsidR="00B203CD" w:rsidRPr="00485E58" w14:paraId="554DF9DA" w14:textId="77777777" w:rsidTr="001A5782">
        <w:trPr>
          <w:cnfStyle w:val="100000000000" w:firstRow="1" w:lastRow="0" w:firstColumn="0" w:lastColumn="0" w:oddVBand="0" w:evenVBand="0" w:oddHBand="0" w:evenHBand="0" w:firstRowFirstColumn="0" w:firstRowLastColumn="0" w:lastRowFirstColumn="0" w:lastRowLastColumn="0"/>
        </w:trPr>
        <w:tc>
          <w:tcPr>
            <w:tcW w:w="3096" w:type="dxa"/>
          </w:tcPr>
          <w:p w14:paraId="45BC80D8" w14:textId="77777777" w:rsidR="00B203CD" w:rsidRPr="00485E58" w:rsidRDefault="00B203CD" w:rsidP="00B203CD">
            <w:pPr>
              <w:spacing w:after="0"/>
            </w:pPr>
          </w:p>
        </w:tc>
        <w:tc>
          <w:tcPr>
            <w:tcW w:w="996" w:type="dxa"/>
          </w:tcPr>
          <w:p w14:paraId="6BA7C199" w14:textId="315933D1" w:rsidR="00B203CD" w:rsidRPr="00485E58" w:rsidRDefault="00B203CD" w:rsidP="004C567F">
            <w:pPr>
              <w:pStyle w:val="TableColumnHeadingRight"/>
            </w:pPr>
            <w:r w:rsidRPr="0080495D">
              <w:t>202</w:t>
            </w:r>
            <w:r>
              <w:t>1–</w:t>
            </w:r>
            <w:r w:rsidRPr="0080495D">
              <w:t>2</w:t>
            </w:r>
            <w:r>
              <w:t>2</w:t>
            </w:r>
          </w:p>
        </w:tc>
        <w:tc>
          <w:tcPr>
            <w:tcW w:w="996" w:type="dxa"/>
            <w:shd w:val="clear" w:color="auto" w:fill="D2EDFF" w:themeFill="accent1" w:themeFillTint="1A"/>
          </w:tcPr>
          <w:p w14:paraId="1DBAF056" w14:textId="6E7F06B2" w:rsidR="00B203CD" w:rsidRPr="00485E58" w:rsidRDefault="00B203CD" w:rsidP="004C567F">
            <w:pPr>
              <w:pStyle w:val="TableColumnHeadingRight"/>
            </w:pPr>
            <w:r w:rsidRPr="0080495D">
              <w:t>202</w:t>
            </w:r>
            <w:r>
              <w:t>2–</w:t>
            </w:r>
            <w:r w:rsidRPr="0080495D">
              <w:t>2</w:t>
            </w:r>
            <w:r>
              <w:t>3</w:t>
            </w:r>
          </w:p>
        </w:tc>
        <w:tc>
          <w:tcPr>
            <w:tcW w:w="996" w:type="dxa"/>
          </w:tcPr>
          <w:p w14:paraId="27A2E07F" w14:textId="507D24BF" w:rsidR="00B203CD" w:rsidRPr="00485E58" w:rsidRDefault="00B203CD" w:rsidP="004C567F">
            <w:pPr>
              <w:pStyle w:val="TableColumnHeadingRight"/>
            </w:pPr>
            <w:r w:rsidRPr="0080495D">
              <w:t>202</w:t>
            </w:r>
            <w:r>
              <w:t>3–</w:t>
            </w:r>
            <w:r w:rsidRPr="0080495D">
              <w:t>2</w:t>
            </w:r>
            <w:r>
              <w:t>4</w:t>
            </w:r>
          </w:p>
        </w:tc>
        <w:tc>
          <w:tcPr>
            <w:tcW w:w="996" w:type="dxa"/>
          </w:tcPr>
          <w:p w14:paraId="2E8B2607" w14:textId="7245FC41" w:rsidR="00B203CD" w:rsidRPr="00485E58" w:rsidRDefault="00B203CD" w:rsidP="004C567F">
            <w:pPr>
              <w:pStyle w:val="TableColumnHeadingRight"/>
            </w:pPr>
            <w:r w:rsidRPr="0080495D">
              <w:t>202</w:t>
            </w:r>
            <w:r>
              <w:t>4–</w:t>
            </w:r>
            <w:r w:rsidRPr="0080495D">
              <w:t>2</w:t>
            </w:r>
            <w:r>
              <w:t>5</w:t>
            </w:r>
          </w:p>
        </w:tc>
        <w:tc>
          <w:tcPr>
            <w:tcW w:w="996" w:type="dxa"/>
          </w:tcPr>
          <w:p w14:paraId="2B3EB5BB" w14:textId="5804C69B" w:rsidR="00B203CD" w:rsidRPr="00485E58" w:rsidRDefault="00B203CD" w:rsidP="004C567F">
            <w:pPr>
              <w:pStyle w:val="TableColumnHeadingRight"/>
            </w:pPr>
            <w:r w:rsidRPr="0080495D">
              <w:t>202</w:t>
            </w:r>
            <w:r>
              <w:t>5–</w:t>
            </w:r>
            <w:r w:rsidRPr="0080495D">
              <w:t>2</w:t>
            </w:r>
            <w:r>
              <w:t>6</w:t>
            </w:r>
          </w:p>
        </w:tc>
        <w:tc>
          <w:tcPr>
            <w:tcW w:w="996" w:type="dxa"/>
          </w:tcPr>
          <w:p w14:paraId="1FCEA2F3" w14:textId="0EA07E88" w:rsidR="00B203CD" w:rsidRPr="00485E58" w:rsidRDefault="00B203CD" w:rsidP="004C567F">
            <w:pPr>
              <w:pStyle w:val="TableColumnHeadingRight"/>
            </w:pPr>
            <w:r w:rsidRPr="0080495D">
              <w:t>203</w:t>
            </w:r>
            <w:r>
              <w:t>3–</w:t>
            </w:r>
            <w:r w:rsidRPr="0080495D">
              <w:t>3</w:t>
            </w:r>
            <w:r>
              <w:t>4</w:t>
            </w:r>
          </w:p>
        </w:tc>
      </w:tr>
      <w:tr w:rsidR="00A85CD9" w:rsidRPr="00485E58" w14:paraId="08608F25" w14:textId="77777777" w:rsidTr="00A85CD9">
        <w:tc>
          <w:tcPr>
            <w:tcW w:w="0" w:type="dxa"/>
          </w:tcPr>
          <w:p w14:paraId="2B76F52A" w14:textId="6716519E" w:rsidR="00B203CD" w:rsidRPr="00A85CD9" w:rsidRDefault="00B203CD" w:rsidP="004C567F">
            <w:pPr>
              <w:pStyle w:val="TableColumnHeadingLeft"/>
            </w:pPr>
            <w:r w:rsidRPr="00B561C3">
              <w:t>Population (</w:t>
            </w:r>
            <w:r w:rsidR="004B14AB" w:rsidRPr="00B561C3">
              <w:t>‘</w:t>
            </w:r>
            <w:r w:rsidRPr="00B561C3">
              <w:t>000)</w:t>
            </w:r>
          </w:p>
        </w:tc>
        <w:tc>
          <w:tcPr>
            <w:tcW w:w="0" w:type="dxa"/>
            <w:vAlign w:val="center"/>
          </w:tcPr>
          <w:p w14:paraId="0DA8255A" w14:textId="77777777" w:rsidR="00B203CD" w:rsidRPr="00E20618" w:rsidRDefault="00B203CD" w:rsidP="00B203CD">
            <w:pPr>
              <w:spacing w:after="0"/>
              <w:jc w:val="right"/>
            </w:pPr>
          </w:p>
        </w:tc>
        <w:tc>
          <w:tcPr>
            <w:tcW w:w="0" w:type="dxa"/>
            <w:shd w:val="clear" w:color="auto" w:fill="D2EDFF" w:themeFill="accent1" w:themeFillTint="1A"/>
            <w:vAlign w:val="center"/>
          </w:tcPr>
          <w:p w14:paraId="06ADA00D" w14:textId="465B5272" w:rsidR="00B203CD" w:rsidRPr="00E20618" w:rsidRDefault="00D67BC4" w:rsidP="00B203CD">
            <w:pPr>
              <w:spacing w:after="0"/>
              <w:jc w:val="right"/>
            </w:pPr>
            <w:r>
              <w:rPr>
                <w:rFonts w:ascii="Calibri" w:hAnsi="Calibri" w:cs="Calibri"/>
                <w:color w:val="000000"/>
              </w:rPr>
              <w:t> </w:t>
            </w:r>
          </w:p>
        </w:tc>
        <w:tc>
          <w:tcPr>
            <w:tcW w:w="0" w:type="dxa"/>
            <w:vAlign w:val="center"/>
          </w:tcPr>
          <w:p w14:paraId="4DE1C898" w14:textId="77777777" w:rsidR="00B203CD" w:rsidRPr="00E20618" w:rsidRDefault="00B203CD" w:rsidP="00B203CD">
            <w:pPr>
              <w:spacing w:after="0"/>
              <w:jc w:val="right"/>
            </w:pPr>
          </w:p>
        </w:tc>
        <w:tc>
          <w:tcPr>
            <w:tcW w:w="0" w:type="dxa"/>
            <w:vAlign w:val="center"/>
          </w:tcPr>
          <w:p w14:paraId="69D9600F" w14:textId="77777777" w:rsidR="00B203CD" w:rsidRPr="00E20618" w:rsidRDefault="00B203CD" w:rsidP="00B203CD">
            <w:pPr>
              <w:spacing w:after="0"/>
              <w:jc w:val="right"/>
            </w:pPr>
          </w:p>
        </w:tc>
        <w:tc>
          <w:tcPr>
            <w:tcW w:w="0" w:type="dxa"/>
            <w:tcBorders>
              <w:right w:val="single" w:sz="4" w:space="0" w:color="auto"/>
            </w:tcBorders>
            <w:vAlign w:val="center"/>
          </w:tcPr>
          <w:p w14:paraId="53470E6B" w14:textId="3876AF10" w:rsidR="00B203CD" w:rsidRPr="00E20618" w:rsidRDefault="00D67BC4" w:rsidP="00B203CD">
            <w:pPr>
              <w:spacing w:after="0"/>
              <w:jc w:val="right"/>
            </w:pPr>
            <w:r>
              <w:rPr>
                <w:rFonts w:ascii="Calibri" w:hAnsi="Calibri" w:cs="Calibri"/>
                <w:color w:val="000000"/>
              </w:rPr>
              <w:t> </w:t>
            </w:r>
          </w:p>
        </w:tc>
        <w:tc>
          <w:tcPr>
            <w:tcW w:w="0" w:type="dxa"/>
            <w:tcBorders>
              <w:top w:val="single" w:sz="4" w:space="0" w:color="000000" w:themeColor="text1"/>
              <w:left w:val="single" w:sz="4" w:space="0" w:color="auto"/>
              <w:bottom w:val="nil"/>
            </w:tcBorders>
            <w:vAlign w:val="center"/>
          </w:tcPr>
          <w:p w14:paraId="6800F915" w14:textId="77777777" w:rsidR="00B203CD" w:rsidRPr="00E20618" w:rsidRDefault="00B203CD" w:rsidP="00B203CD">
            <w:pPr>
              <w:spacing w:after="0"/>
              <w:jc w:val="right"/>
            </w:pPr>
          </w:p>
        </w:tc>
      </w:tr>
      <w:tr w:rsidR="001A002F" w:rsidRPr="00485E58" w14:paraId="444716D4" w14:textId="77777777" w:rsidTr="00A5125A">
        <w:tc>
          <w:tcPr>
            <w:tcW w:w="0" w:type="dxa"/>
          </w:tcPr>
          <w:p w14:paraId="7B604339" w14:textId="77777777" w:rsidR="00B203CD" w:rsidRPr="00A85CD9" w:rsidRDefault="00B203CD" w:rsidP="004C567F">
            <w:pPr>
              <w:pStyle w:val="TableTextLeft"/>
            </w:pPr>
            <w:r w:rsidRPr="00A85CD9">
              <w:t>Tasmania</w:t>
            </w:r>
          </w:p>
        </w:tc>
        <w:tc>
          <w:tcPr>
            <w:tcW w:w="0" w:type="dxa"/>
            <w:tcBorders>
              <w:top w:val="nil"/>
              <w:left w:val="nil"/>
              <w:bottom w:val="nil"/>
              <w:right w:val="nil"/>
            </w:tcBorders>
            <w:vAlign w:val="center"/>
          </w:tcPr>
          <w:p w14:paraId="36FFD82B" w14:textId="3C26D5E0" w:rsidR="00B203CD" w:rsidRPr="00E20618" w:rsidRDefault="00D67BC4" w:rsidP="004C567F">
            <w:pPr>
              <w:pStyle w:val="TableTextRight"/>
              <w:rPr>
                <w:rFonts w:cstheme="minorHAnsi"/>
              </w:rPr>
            </w:pPr>
            <w:r w:rsidRPr="00A85CD9">
              <w:t>571</w:t>
            </w:r>
          </w:p>
        </w:tc>
        <w:tc>
          <w:tcPr>
            <w:tcW w:w="0" w:type="dxa"/>
            <w:tcBorders>
              <w:top w:val="nil"/>
              <w:left w:val="nil"/>
              <w:bottom w:val="nil"/>
              <w:right w:val="nil"/>
            </w:tcBorders>
            <w:shd w:val="clear" w:color="auto" w:fill="D2EDFF" w:themeFill="accent1" w:themeFillTint="1A"/>
            <w:vAlign w:val="center"/>
          </w:tcPr>
          <w:p w14:paraId="1014CA35" w14:textId="38E7BCC8" w:rsidR="00B203CD" w:rsidRPr="00E20618" w:rsidRDefault="00D67BC4" w:rsidP="004C567F">
            <w:pPr>
              <w:pStyle w:val="TableTextRight"/>
              <w:rPr>
                <w:rFonts w:cstheme="minorHAnsi"/>
              </w:rPr>
            </w:pPr>
            <w:r w:rsidRPr="00A85CD9">
              <w:t>574</w:t>
            </w:r>
          </w:p>
        </w:tc>
        <w:tc>
          <w:tcPr>
            <w:tcW w:w="0" w:type="dxa"/>
            <w:tcBorders>
              <w:top w:val="nil"/>
              <w:left w:val="nil"/>
              <w:bottom w:val="nil"/>
              <w:right w:val="nil"/>
            </w:tcBorders>
            <w:vAlign w:val="center"/>
          </w:tcPr>
          <w:p w14:paraId="089E0BE7" w14:textId="2D42064B" w:rsidR="00B203CD" w:rsidRPr="00E20618" w:rsidRDefault="00D67BC4" w:rsidP="004C567F">
            <w:pPr>
              <w:pStyle w:val="TableTextRight"/>
              <w:rPr>
                <w:rFonts w:cstheme="minorHAnsi"/>
              </w:rPr>
            </w:pPr>
            <w:r w:rsidRPr="00A85CD9">
              <w:t>579</w:t>
            </w:r>
          </w:p>
        </w:tc>
        <w:tc>
          <w:tcPr>
            <w:tcW w:w="0" w:type="dxa"/>
            <w:tcBorders>
              <w:top w:val="nil"/>
              <w:left w:val="nil"/>
              <w:bottom w:val="nil"/>
              <w:right w:val="nil"/>
            </w:tcBorders>
            <w:vAlign w:val="center"/>
          </w:tcPr>
          <w:p w14:paraId="323B5CAF" w14:textId="58F84994" w:rsidR="00B203CD" w:rsidRPr="00E20618" w:rsidRDefault="00D67BC4" w:rsidP="004C567F">
            <w:pPr>
              <w:pStyle w:val="TableTextRight"/>
              <w:rPr>
                <w:rFonts w:cstheme="minorHAnsi"/>
              </w:rPr>
            </w:pPr>
            <w:r w:rsidRPr="00A85CD9">
              <w:t>584</w:t>
            </w:r>
          </w:p>
        </w:tc>
        <w:tc>
          <w:tcPr>
            <w:tcW w:w="0" w:type="dxa"/>
            <w:tcBorders>
              <w:top w:val="nil"/>
              <w:left w:val="nil"/>
              <w:bottom w:val="nil"/>
              <w:right w:val="single" w:sz="4" w:space="0" w:color="auto"/>
            </w:tcBorders>
            <w:vAlign w:val="center"/>
          </w:tcPr>
          <w:p w14:paraId="2A5F6F28" w14:textId="2BAB3FC6" w:rsidR="00B203CD" w:rsidRPr="00E20618" w:rsidRDefault="009E44DB" w:rsidP="004C567F">
            <w:pPr>
              <w:pStyle w:val="TableTextRight"/>
              <w:rPr>
                <w:rFonts w:cstheme="minorHAnsi"/>
              </w:rPr>
            </w:pPr>
            <w:r>
              <w:rPr>
                <w:rFonts w:cs="Calibri"/>
              </w:rPr>
              <w:t>589</w:t>
            </w:r>
          </w:p>
        </w:tc>
        <w:tc>
          <w:tcPr>
            <w:tcW w:w="0" w:type="dxa"/>
            <w:tcBorders>
              <w:top w:val="nil"/>
              <w:left w:val="single" w:sz="4" w:space="0" w:color="auto"/>
              <w:bottom w:val="nil"/>
              <w:right w:val="nil"/>
            </w:tcBorders>
            <w:vAlign w:val="center"/>
          </w:tcPr>
          <w:p w14:paraId="2A38133F" w14:textId="6B093443" w:rsidR="00B203CD" w:rsidRPr="00E20618" w:rsidRDefault="009E44DB" w:rsidP="004C567F">
            <w:pPr>
              <w:pStyle w:val="TableTextRight"/>
              <w:rPr>
                <w:rFonts w:cstheme="minorHAnsi"/>
              </w:rPr>
            </w:pPr>
            <w:r>
              <w:rPr>
                <w:rFonts w:cs="Calibri"/>
              </w:rPr>
              <w:t>633</w:t>
            </w:r>
          </w:p>
        </w:tc>
      </w:tr>
      <w:tr w:rsidR="001A002F" w:rsidRPr="00485E58" w14:paraId="26F63ECC" w14:textId="77777777" w:rsidTr="00A5125A">
        <w:tc>
          <w:tcPr>
            <w:tcW w:w="0" w:type="dxa"/>
          </w:tcPr>
          <w:p w14:paraId="76438CAB" w14:textId="77777777" w:rsidR="00B203CD" w:rsidRPr="00A85CD9" w:rsidRDefault="00B203CD" w:rsidP="004C567F">
            <w:pPr>
              <w:pStyle w:val="Tabletextleftindent"/>
            </w:pPr>
            <w:r w:rsidRPr="00B561C3">
              <w:t>Greater Hobart</w:t>
            </w:r>
          </w:p>
        </w:tc>
        <w:tc>
          <w:tcPr>
            <w:tcW w:w="0" w:type="dxa"/>
            <w:tcBorders>
              <w:top w:val="nil"/>
              <w:left w:val="nil"/>
              <w:bottom w:val="nil"/>
              <w:right w:val="nil"/>
            </w:tcBorders>
            <w:vAlign w:val="center"/>
          </w:tcPr>
          <w:p w14:paraId="18786B2B" w14:textId="48049132" w:rsidR="00B203CD" w:rsidRPr="00E20618" w:rsidRDefault="00D67BC4" w:rsidP="004C567F">
            <w:pPr>
              <w:pStyle w:val="TableTextRight"/>
              <w:rPr>
                <w:rFonts w:cstheme="minorHAnsi"/>
              </w:rPr>
            </w:pPr>
            <w:r w:rsidRPr="00A85CD9">
              <w:t>252</w:t>
            </w:r>
          </w:p>
        </w:tc>
        <w:tc>
          <w:tcPr>
            <w:tcW w:w="0" w:type="dxa"/>
            <w:tcBorders>
              <w:top w:val="nil"/>
              <w:left w:val="nil"/>
              <w:bottom w:val="nil"/>
              <w:right w:val="nil"/>
            </w:tcBorders>
            <w:shd w:val="clear" w:color="auto" w:fill="D2EDFF" w:themeFill="accent1" w:themeFillTint="1A"/>
            <w:vAlign w:val="center"/>
          </w:tcPr>
          <w:p w14:paraId="5EB40B97" w14:textId="724309CC" w:rsidR="00B203CD" w:rsidRPr="00E20618" w:rsidRDefault="00D67BC4" w:rsidP="004C567F">
            <w:pPr>
              <w:pStyle w:val="TableTextRight"/>
              <w:rPr>
                <w:rFonts w:cstheme="minorHAnsi"/>
              </w:rPr>
            </w:pPr>
            <w:r w:rsidRPr="00A85CD9">
              <w:t>253</w:t>
            </w:r>
          </w:p>
        </w:tc>
        <w:tc>
          <w:tcPr>
            <w:tcW w:w="0" w:type="dxa"/>
            <w:tcBorders>
              <w:top w:val="nil"/>
              <w:left w:val="nil"/>
              <w:bottom w:val="nil"/>
              <w:right w:val="nil"/>
            </w:tcBorders>
            <w:vAlign w:val="center"/>
          </w:tcPr>
          <w:p w14:paraId="3C2D77D2" w14:textId="10DBC0C3" w:rsidR="00B203CD" w:rsidRPr="00E20618" w:rsidRDefault="00D67BC4" w:rsidP="004C567F">
            <w:pPr>
              <w:pStyle w:val="TableTextRight"/>
              <w:rPr>
                <w:rFonts w:cstheme="minorHAnsi"/>
              </w:rPr>
            </w:pPr>
            <w:r w:rsidRPr="00A85CD9">
              <w:t>256</w:t>
            </w:r>
          </w:p>
        </w:tc>
        <w:tc>
          <w:tcPr>
            <w:tcW w:w="0" w:type="dxa"/>
            <w:tcBorders>
              <w:top w:val="nil"/>
              <w:left w:val="nil"/>
              <w:bottom w:val="nil"/>
              <w:right w:val="nil"/>
            </w:tcBorders>
            <w:vAlign w:val="center"/>
          </w:tcPr>
          <w:p w14:paraId="375A9692" w14:textId="597EB0CF" w:rsidR="00B203CD" w:rsidRPr="00E20618" w:rsidRDefault="00D67BC4" w:rsidP="004C567F">
            <w:pPr>
              <w:pStyle w:val="TableTextRight"/>
              <w:rPr>
                <w:rFonts w:cstheme="minorHAnsi"/>
              </w:rPr>
            </w:pPr>
            <w:r w:rsidRPr="00A85CD9">
              <w:t>259</w:t>
            </w:r>
          </w:p>
        </w:tc>
        <w:tc>
          <w:tcPr>
            <w:tcW w:w="0" w:type="dxa"/>
            <w:tcBorders>
              <w:top w:val="nil"/>
              <w:left w:val="nil"/>
              <w:bottom w:val="nil"/>
              <w:right w:val="single" w:sz="4" w:space="0" w:color="auto"/>
            </w:tcBorders>
            <w:vAlign w:val="center"/>
          </w:tcPr>
          <w:p w14:paraId="294F2C5E" w14:textId="4EFBC46C" w:rsidR="00B203CD" w:rsidRPr="00E20618" w:rsidRDefault="009E44DB" w:rsidP="004C567F">
            <w:pPr>
              <w:pStyle w:val="TableTextRight"/>
              <w:rPr>
                <w:rFonts w:cstheme="minorHAnsi"/>
              </w:rPr>
            </w:pPr>
            <w:r>
              <w:rPr>
                <w:rFonts w:cs="Calibri"/>
              </w:rPr>
              <w:t>263</w:t>
            </w:r>
          </w:p>
        </w:tc>
        <w:tc>
          <w:tcPr>
            <w:tcW w:w="0" w:type="dxa"/>
            <w:tcBorders>
              <w:top w:val="nil"/>
              <w:left w:val="single" w:sz="4" w:space="0" w:color="auto"/>
              <w:bottom w:val="nil"/>
              <w:right w:val="nil"/>
            </w:tcBorders>
            <w:vAlign w:val="center"/>
          </w:tcPr>
          <w:p w14:paraId="5D65D702" w14:textId="1D7176EA" w:rsidR="00B203CD" w:rsidRPr="00E20618" w:rsidRDefault="00D67BC4" w:rsidP="004C567F">
            <w:pPr>
              <w:pStyle w:val="TableTextRight"/>
              <w:rPr>
                <w:rFonts w:cstheme="minorHAnsi"/>
              </w:rPr>
            </w:pPr>
            <w:r w:rsidRPr="00A85CD9">
              <w:t>292</w:t>
            </w:r>
          </w:p>
        </w:tc>
      </w:tr>
      <w:tr w:rsidR="001A002F" w:rsidRPr="00485E58" w14:paraId="0B382219" w14:textId="77777777" w:rsidTr="00A5125A">
        <w:tc>
          <w:tcPr>
            <w:tcW w:w="0" w:type="dxa"/>
          </w:tcPr>
          <w:p w14:paraId="4FD3CE22" w14:textId="77777777" w:rsidR="00B203CD" w:rsidRPr="00A85CD9" w:rsidRDefault="00B203CD" w:rsidP="004C567F">
            <w:pPr>
              <w:pStyle w:val="Tabletextleftindent"/>
            </w:pPr>
            <w:r w:rsidRPr="00B561C3">
              <w:t>Rest of Tasmania</w:t>
            </w:r>
          </w:p>
        </w:tc>
        <w:tc>
          <w:tcPr>
            <w:tcW w:w="0" w:type="dxa"/>
            <w:tcBorders>
              <w:top w:val="nil"/>
              <w:left w:val="nil"/>
              <w:bottom w:val="nil"/>
              <w:right w:val="nil"/>
            </w:tcBorders>
            <w:vAlign w:val="center"/>
          </w:tcPr>
          <w:p w14:paraId="0B97C6C5" w14:textId="24EBAD6D" w:rsidR="00B203CD" w:rsidRPr="00E20618" w:rsidRDefault="00D67BC4" w:rsidP="004C567F">
            <w:pPr>
              <w:pStyle w:val="TableTextRight"/>
              <w:rPr>
                <w:rFonts w:cstheme="minorHAnsi"/>
              </w:rPr>
            </w:pPr>
            <w:r w:rsidRPr="00A85CD9">
              <w:t>319</w:t>
            </w:r>
          </w:p>
        </w:tc>
        <w:tc>
          <w:tcPr>
            <w:tcW w:w="0" w:type="dxa"/>
            <w:tcBorders>
              <w:top w:val="nil"/>
              <w:left w:val="nil"/>
              <w:bottom w:val="nil"/>
              <w:right w:val="nil"/>
            </w:tcBorders>
            <w:shd w:val="clear" w:color="auto" w:fill="D2EDFF" w:themeFill="accent1" w:themeFillTint="1A"/>
            <w:vAlign w:val="center"/>
          </w:tcPr>
          <w:p w14:paraId="58B133EE" w14:textId="0068EDD7" w:rsidR="00B203CD" w:rsidRPr="00E20618" w:rsidRDefault="00D67BC4" w:rsidP="004C567F">
            <w:pPr>
              <w:pStyle w:val="TableTextRight"/>
              <w:rPr>
                <w:rFonts w:cstheme="minorHAnsi"/>
              </w:rPr>
            </w:pPr>
            <w:r w:rsidRPr="00A85CD9">
              <w:t>320</w:t>
            </w:r>
          </w:p>
        </w:tc>
        <w:tc>
          <w:tcPr>
            <w:tcW w:w="0" w:type="dxa"/>
            <w:tcBorders>
              <w:top w:val="nil"/>
              <w:left w:val="nil"/>
              <w:bottom w:val="nil"/>
              <w:right w:val="nil"/>
            </w:tcBorders>
            <w:vAlign w:val="center"/>
          </w:tcPr>
          <w:p w14:paraId="21220C6D" w14:textId="54791045" w:rsidR="00B203CD" w:rsidRPr="00E20618" w:rsidRDefault="00D67BC4" w:rsidP="004C567F">
            <w:pPr>
              <w:pStyle w:val="TableTextRight"/>
              <w:rPr>
                <w:rFonts w:cstheme="minorHAnsi"/>
              </w:rPr>
            </w:pPr>
            <w:r w:rsidRPr="00A85CD9">
              <w:t>323</w:t>
            </w:r>
          </w:p>
        </w:tc>
        <w:tc>
          <w:tcPr>
            <w:tcW w:w="0" w:type="dxa"/>
            <w:tcBorders>
              <w:top w:val="nil"/>
              <w:left w:val="nil"/>
              <w:bottom w:val="nil"/>
              <w:right w:val="nil"/>
            </w:tcBorders>
            <w:vAlign w:val="center"/>
          </w:tcPr>
          <w:p w14:paraId="324378B5" w14:textId="437205A1" w:rsidR="00B203CD" w:rsidRPr="00E20618" w:rsidRDefault="00D67BC4" w:rsidP="004C567F">
            <w:pPr>
              <w:pStyle w:val="TableTextRight"/>
              <w:rPr>
                <w:rFonts w:cstheme="minorHAnsi"/>
              </w:rPr>
            </w:pPr>
            <w:r w:rsidRPr="00A85CD9">
              <w:t>325</w:t>
            </w:r>
          </w:p>
        </w:tc>
        <w:tc>
          <w:tcPr>
            <w:tcW w:w="0" w:type="dxa"/>
            <w:tcBorders>
              <w:top w:val="nil"/>
              <w:left w:val="nil"/>
              <w:bottom w:val="nil"/>
              <w:right w:val="single" w:sz="4" w:space="0" w:color="auto"/>
            </w:tcBorders>
            <w:vAlign w:val="center"/>
          </w:tcPr>
          <w:p w14:paraId="617A79B0" w14:textId="084EBC32" w:rsidR="00B203CD" w:rsidRPr="00E20618" w:rsidRDefault="00D67BC4" w:rsidP="004C567F">
            <w:pPr>
              <w:pStyle w:val="TableTextRight"/>
              <w:rPr>
                <w:rFonts w:cstheme="minorHAnsi"/>
              </w:rPr>
            </w:pPr>
            <w:r w:rsidRPr="00A85CD9">
              <w:t>327</w:t>
            </w:r>
          </w:p>
        </w:tc>
        <w:tc>
          <w:tcPr>
            <w:tcW w:w="0" w:type="dxa"/>
            <w:tcBorders>
              <w:top w:val="nil"/>
              <w:left w:val="single" w:sz="4" w:space="0" w:color="auto"/>
              <w:bottom w:val="nil"/>
              <w:right w:val="nil"/>
            </w:tcBorders>
            <w:vAlign w:val="center"/>
          </w:tcPr>
          <w:p w14:paraId="329B4F26" w14:textId="63BA4EEB" w:rsidR="00B203CD" w:rsidRPr="00E20618" w:rsidRDefault="009E44DB" w:rsidP="004C567F">
            <w:pPr>
              <w:pStyle w:val="TableTextRight"/>
              <w:rPr>
                <w:rFonts w:cstheme="minorHAnsi"/>
              </w:rPr>
            </w:pPr>
            <w:r>
              <w:rPr>
                <w:rFonts w:cs="Calibri"/>
              </w:rPr>
              <w:t>341</w:t>
            </w:r>
          </w:p>
        </w:tc>
      </w:tr>
      <w:tr w:rsidR="00A85CD9" w:rsidRPr="00485E58" w14:paraId="6930DFAC" w14:textId="77777777" w:rsidTr="00A85CD9">
        <w:tc>
          <w:tcPr>
            <w:tcW w:w="0" w:type="dxa"/>
          </w:tcPr>
          <w:p w14:paraId="0380E2E4" w14:textId="77777777" w:rsidR="00B203CD" w:rsidRPr="00A85CD9" w:rsidRDefault="00B203CD" w:rsidP="004C567F">
            <w:pPr>
              <w:pStyle w:val="TableColumnHeadingLeft"/>
            </w:pPr>
            <w:r w:rsidRPr="00B561C3">
              <w:t>Population growth (per cent)</w:t>
            </w:r>
          </w:p>
        </w:tc>
        <w:tc>
          <w:tcPr>
            <w:tcW w:w="0" w:type="dxa"/>
            <w:tcBorders>
              <w:top w:val="nil"/>
              <w:left w:val="nil"/>
              <w:bottom w:val="nil"/>
              <w:right w:val="nil"/>
            </w:tcBorders>
            <w:vAlign w:val="center"/>
          </w:tcPr>
          <w:p w14:paraId="028CF516" w14:textId="77777777" w:rsidR="00B203CD" w:rsidRPr="00E20618" w:rsidRDefault="00B203CD"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74A2FF91" w14:textId="5BEBA7E9" w:rsidR="00B203CD" w:rsidRPr="00E20618" w:rsidRDefault="00D67BC4" w:rsidP="004C567F">
            <w:pPr>
              <w:pStyle w:val="TableTextRight"/>
              <w:rPr>
                <w:rFonts w:cstheme="minorHAnsi"/>
              </w:rPr>
            </w:pPr>
            <w:r w:rsidRPr="00A85CD9">
              <w:t> </w:t>
            </w:r>
          </w:p>
        </w:tc>
        <w:tc>
          <w:tcPr>
            <w:tcW w:w="0" w:type="dxa"/>
            <w:tcBorders>
              <w:top w:val="nil"/>
              <w:left w:val="nil"/>
              <w:bottom w:val="nil"/>
              <w:right w:val="nil"/>
            </w:tcBorders>
            <w:vAlign w:val="center"/>
          </w:tcPr>
          <w:p w14:paraId="2C334ED2" w14:textId="77777777" w:rsidR="00B203CD" w:rsidRPr="00E20618" w:rsidRDefault="00B203CD" w:rsidP="004C567F">
            <w:pPr>
              <w:pStyle w:val="TableTextRight"/>
              <w:rPr>
                <w:rFonts w:cstheme="minorHAnsi"/>
              </w:rPr>
            </w:pPr>
          </w:p>
        </w:tc>
        <w:tc>
          <w:tcPr>
            <w:tcW w:w="0" w:type="dxa"/>
            <w:tcBorders>
              <w:top w:val="nil"/>
              <w:left w:val="nil"/>
              <w:bottom w:val="nil"/>
              <w:right w:val="nil"/>
            </w:tcBorders>
            <w:vAlign w:val="center"/>
          </w:tcPr>
          <w:p w14:paraId="4763A37B" w14:textId="77777777" w:rsidR="00B203CD" w:rsidRPr="00E20618" w:rsidRDefault="00B203CD" w:rsidP="004C567F">
            <w:pPr>
              <w:pStyle w:val="TableTextRight"/>
              <w:rPr>
                <w:rFonts w:cstheme="minorHAnsi"/>
              </w:rPr>
            </w:pPr>
          </w:p>
        </w:tc>
        <w:tc>
          <w:tcPr>
            <w:tcW w:w="0" w:type="dxa"/>
            <w:tcBorders>
              <w:top w:val="nil"/>
              <w:left w:val="nil"/>
              <w:bottom w:val="nil"/>
              <w:right w:val="single" w:sz="4" w:space="0" w:color="auto"/>
            </w:tcBorders>
            <w:vAlign w:val="center"/>
          </w:tcPr>
          <w:p w14:paraId="548393AD" w14:textId="7A958B47" w:rsidR="00B203CD" w:rsidRPr="00E20618" w:rsidRDefault="00D67BC4" w:rsidP="004C567F">
            <w:pPr>
              <w:pStyle w:val="TableTextRight"/>
              <w:rPr>
                <w:rFonts w:cstheme="minorHAnsi"/>
              </w:rPr>
            </w:pPr>
            <w:r w:rsidRPr="00A85CD9">
              <w:t> </w:t>
            </w:r>
          </w:p>
        </w:tc>
        <w:tc>
          <w:tcPr>
            <w:tcW w:w="0" w:type="dxa"/>
            <w:tcBorders>
              <w:top w:val="nil"/>
              <w:left w:val="single" w:sz="4" w:space="0" w:color="auto"/>
              <w:bottom w:val="nil"/>
              <w:right w:val="nil"/>
            </w:tcBorders>
            <w:vAlign w:val="center"/>
          </w:tcPr>
          <w:p w14:paraId="56C54690" w14:textId="77777777" w:rsidR="00B203CD" w:rsidRPr="00E20618" w:rsidRDefault="00B203CD" w:rsidP="004C567F">
            <w:pPr>
              <w:pStyle w:val="TableTextRight"/>
              <w:rPr>
                <w:rFonts w:cstheme="minorHAnsi"/>
              </w:rPr>
            </w:pPr>
          </w:p>
        </w:tc>
      </w:tr>
      <w:tr w:rsidR="00A85CD9" w:rsidRPr="00485E58" w14:paraId="11C1B199" w14:textId="77777777" w:rsidTr="00A85CD9">
        <w:tc>
          <w:tcPr>
            <w:tcW w:w="0" w:type="dxa"/>
          </w:tcPr>
          <w:p w14:paraId="1301AFC4" w14:textId="77777777" w:rsidR="00B203CD" w:rsidRPr="00A85CD9" w:rsidRDefault="00B203CD" w:rsidP="004C567F">
            <w:pPr>
              <w:pStyle w:val="TableTextLeft"/>
            </w:pPr>
            <w:r w:rsidRPr="00A85CD9">
              <w:t>Tasmania</w:t>
            </w:r>
          </w:p>
        </w:tc>
        <w:tc>
          <w:tcPr>
            <w:tcW w:w="0" w:type="dxa"/>
            <w:tcBorders>
              <w:top w:val="nil"/>
              <w:left w:val="nil"/>
              <w:bottom w:val="nil"/>
              <w:right w:val="nil"/>
            </w:tcBorders>
            <w:vAlign w:val="center"/>
          </w:tcPr>
          <w:p w14:paraId="42C0A35B" w14:textId="560D29BD" w:rsidR="00B203CD" w:rsidRPr="00E20618" w:rsidRDefault="00D67BC4" w:rsidP="004C567F">
            <w:pPr>
              <w:pStyle w:val="TableTextRight"/>
              <w:rPr>
                <w:rFonts w:cstheme="minorHAnsi"/>
              </w:rPr>
            </w:pPr>
            <w:r w:rsidRPr="00A85CD9">
              <w:t>0.7</w:t>
            </w:r>
          </w:p>
        </w:tc>
        <w:tc>
          <w:tcPr>
            <w:tcW w:w="0" w:type="dxa"/>
            <w:tcBorders>
              <w:top w:val="nil"/>
              <w:left w:val="nil"/>
              <w:bottom w:val="nil"/>
              <w:right w:val="nil"/>
            </w:tcBorders>
            <w:shd w:val="clear" w:color="auto" w:fill="D2EDFF" w:themeFill="accent1" w:themeFillTint="1A"/>
            <w:vAlign w:val="center"/>
          </w:tcPr>
          <w:p w14:paraId="7347B9E4" w14:textId="520716BE" w:rsidR="00B203CD" w:rsidRPr="00E20618" w:rsidRDefault="00D67BC4" w:rsidP="004C567F">
            <w:pPr>
              <w:pStyle w:val="TableTextRight"/>
              <w:rPr>
                <w:rFonts w:cstheme="minorHAnsi"/>
              </w:rPr>
            </w:pPr>
            <w:r w:rsidRPr="00A85CD9">
              <w:t>0.5</w:t>
            </w:r>
          </w:p>
        </w:tc>
        <w:tc>
          <w:tcPr>
            <w:tcW w:w="0" w:type="dxa"/>
            <w:tcBorders>
              <w:top w:val="nil"/>
              <w:left w:val="nil"/>
              <w:bottom w:val="nil"/>
              <w:right w:val="nil"/>
            </w:tcBorders>
            <w:vAlign w:val="center"/>
          </w:tcPr>
          <w:p w14:paraId="21B345E2" w14:textId="1B8D69A1" w:rsidR="00B203CD" w:rsidRPr="00E20618" w:rsidRDefault="00D67BC4" w:rsidP="004C567F">
            <w:pPr>
              <w:pStyle w:val="TableTextRight"/>
              <w:rPr>
                <w:rFonts w:cstheme="minorHAnsi"/>
              </w:rPr>
            </w:pPr>
            <w:r w:rsidRPr="00A85CD9">
              <w:t>0.</w:t>
            </w:r>
            <w:r w:rsidR="009E44DB">
              <w:rPr>
                <w:rFonts w:cs="Calibri"/>
              </w:rPr>
              <w:t>8</w:t>
            </w:r>
          </w:p>
        </w:tc>
        <w:tc>
          <w:tcPr>
            <w:tcW w:w="0" w:type="dxa"/>
            <w:tcBorders>
              <w:top w:val="nil"/>
              <w:left w:val="nil"/>
              <w:bottom w:val="nil"/>
              <w:right w:val="nil"/>
            </w:tcBorders>
            <w:vAlign w:val="center"/>
          </w:tcPr>
          <w:p w14:paraId="758CB1DC" w14:textId="2B0DBEB9" w:rsidR="00B203CD" w:rsidRPr="00E20618" w:rsidRDefault="00D67BC4" w:rsidP="004C567F">
            <w:pPr>
              <w:pStyle w:val="TableTextRight"/>
              <w:rPr>
                <w:rFonts w:cstheme="minorHAnsi"/>
              </w:rPr>
            </w:pPr>
            <w:r w:rsidRPr="00A85CD9">
              <w:t>0.9</w:t>
            </w:r>
          </w:p>
        </w:tc>
        <w:tc>
          <w:tcPr>
            <w:tcW w:w="0" w:type="dxa"/>
            <w:tcBorders>
              <w:top w:val="nil"/>
              <w:left w:val="nil"/>
              <w:bottom w:val="nil"/>
              <w:right w:val="single" w:sz="4" w:space="0" w:color="auto"/>
            </w:tcBorders>
            <w:vAlign w:val="center"/>
          </w:tcPr>
          <w:p w14:paraId="31903F0E" w14:textId="1B19FCB7" w:rsidR="00B203CD" w:rsidRPr="00E20618" w:rsidRDefault="00D67BC4" w:rsidP="004C567F">
            <w:pPr>
              <w:pStyle w:val="TableTextRight"/>
              <w:rPr>
                <w:rFonts w:cstheme="minorHAnsi"/>
              </w:rPr>
            </w:pPr>
            <w:r w:rsidRPr="00A85CD9">
              <w:t>1.</w:t>
            </w:r>
            <w:r w:rsidR="009E44DB">
              <w:rPr>
                <w:rFonts w:cs="Calibri"/>
              </w:rPr>
              <w:t>0</w:t>
            </w:r>
          </w:p>
        </w:tc>
        <w:tc>
          <w:tcPr>
            <w:tcW w:w="0" w:type="dxa"/>
            <w:tcBorders>
              <w:top w:val="nil"/>
              <w:left w:val="single" w:sz="4" w:space="0" w:color="auto"/>
              <w:bottom w:val="nil"/>
              <w:right w:val="nil"/>
            </w:tcBorders>
            <w:vAlign w:val="center"/>
          </w:tcPr>
          <w:p w14:paraId="05CFD8ED" w14:textId="3021DBE6" w:rsidR="00B203CD" w:rsidRPr="00E20618" w:rsidRDefault="00D67BC4" w:rsidP="004C567F">
            <w:pPr>
              <w:pStyle w:val="TableTextRight"/>
              <w:rPr>
                <w:rFonts w:cstheme="minorHAnsi"/>
              </w:rPr>
            </w:pPr>
            <w:r w:rsidRPr="00A85CD9">
              <w:t>0.8</w:t>
            </w:r>
          </w:p>
        </w:tc>
      </w:tr>
      <w:tr w:rsidR="00A85CD9" w:rsidRPr="00485E58" w14:paraId="747E14D1" w14:textId="77777777" w:rsidTr="00A85CD9">
        <w:tc>
          <w:tcPr>
            <w:tcW w:w="0" w:type="dxa"/>
          </w:tcPr>
          <w:p w14:paraId="4EC70895" w14:textId="77777777" w:rsidR="00B203CD" w:rsidRPr="00A85CD9" w:rsidRDefault="00B203CD" w:rsidP="004C567F">
            <w:pPr>
              <w:pStyle w:val="Tabletextleftindent"/>
            </w:pPr>
            <w:r w:rsidRPr="00B561C3">
              <w:t>Greater Hobart</w:t>
            </w:r>
          </w:p>
        </w:tc>
        <w:tc>
          <w:tcPr>
            <w:tcW w:w="0" w:type="dxa"/>
            <w:tcBorders>
              <w:top w:val="nil"/>
              <w:left w:val="nil"/>
              <w:bottom w:val="nil"/>
              <w:right w:val="nil"/>
            </w:tcBorders>
            <w:vAlign w:val="center"/>
          </w:tcPr>
          <w:p w14:paraId="44A11957" w14:textId="1DFDDDD9" w:rsidR="00B203CD" w:rsidRPr="00E20618" w:rsidRDefault="00D67BC4" w:rsidP="004C567F">
            <w:pPr>
              <w:pStyle w:val="TableTextRight"/>
              <w:rPr>
                <w:rFonts w:cstheme="minorHAnsi"/>
              </w:rPr>
            </w:pPr>
            <w:r w:rsidRPr="00A85CD9">
              <w:t>0.7</w:t>
            </w:r>
          </w:p>
        </w:tc>
        <w:tc>
          <w:tcPr>
            <w:tcW w:w="0" w:type="dxa"/>
            <w:tcBorders>
              <w:top w:val="nil"/>
              <w:left w:val="nil"/>
              <w:bottom w:val="nil"/>
              <w:right w:val="nil"/>
            </w:tcBorders>
            <w:shd w:val="clear" w:color="auto" w:fill="D2EDFF" w:themeFill="accent1" w:themeFillTint="1A"/>
            <w:vAlign w:val="center"/>
          </w:tcPr>
          <w:p w14:paraId="7355F6F1" w14:textId="2F3498C3" w:rsidR="00B203CD" w:rsidRPr="00E20618" w:rsidRDefault="00D67BC4" w:rsidP="004C567F">
            <w:pPr>
              <w:pStyle w:val="TableTextRight"/>
              <w:rPr>
                <w:rFonts w:cstheme="minorHAnsi"/>
              </w:rPr>
            </w:pPr>
            <w:r w:rsidRPr="00A85CD9">
              <w:t>0.4</w:t>
            </w:r>
          </w:p>
        </w:tc>
        <w:tc>
          <w:tcPr>
            <w:tcW w:w="0" w:type="dxa"/>
            <w:tcBorders>
              <w:top w:val="nil"/>
              <w:left w:val="nil"/>
              <w:bottom w:val="nil"/>
              <w:right w:val="nil"/>
            </w:tcBorders>
            <w:vAlign w:val="center"/>
          </w:tcPr>
          <w:p w14:paraId="43EF81AC" w14:textId="4F00A6EF" w:rsidR="00B203CD" w:rsidRPr="00E20618" w:rsidRDefault="00D67BC4" w:rsidP="004C567F">
            <w:pPr>
              <w:pStyle w:val="TableTextRight"/>
              <w:rPr>
                <w:rFonts w:cstheme="minorHAnsi"/>
              </w:rPr>
            </w:pPr>
            <w:r w:rsidRPr="00A85CD9">
              <w:t>1.</w:t>
            </w:r>
            <w:r w:rsidR="009E44DB">
              <w:rPr>
                <w:rFonts w:cs="Calibri"/>
              </w:rPr>
              <w:t>0</w:t>
            </w:r>
          </w:p>
        </w:tc>
        <w:tc>
          <w:tcPr>
            <w:tcW w:w="0" w:type="dxa"/>
            <w:tcBorders>
              <w:top w:val="nil"/>
              <w:left w:val="nil"/>
              <w:bottom w:val="nil"/>
              <w:right w:val="nil"/>
            </w:tcBorders>
            <w:vAlign w:val="center"/>
          </w:tcPr>
          <w:p w14:paraId="564E82B8" w14:textId="67111057" w:rsidR="00B203CD" w:rsidRPr="00E20618" w:rsidRDefault="00D67BC4" w:rsidP="004C567F">
            <w:pPr>
              <w:pStyle w:val="TableTextRight"/>
              <w:rPr>
                <w:rFonts w:cstheme="minorHAnsi"/>
              </w:rPr>
            </w:pPr>
            <w:r w:rsidRPr="00A85CD9">
              <w:t>1.</w:t>
            </w:r>
            <w:r w:rsidR="009E44DB">
              <w:rPr>
                <w:rFonts w:cs="Calibri"/>
              </w:rPr>
              <w:t>2</w:t>
            </w:r>
          </w:p>
        </w:tc>
        <w:tc>
          <w:tcPr>
            <w:tcW w:w="0" w:type="dxa"/>
            <w:tcBorders>
              <w:top w:val="nil"/>
              <w:left w:val="nil"/>
              <w:bottom w:val="nil"/>
              <w:right w:val="single" w:sz="4" w:space="0" w:color="auto"/>
            </w:tcBorders>
            <w:vAlign w:val="center"/>
          </w:tcPr>
          <w:p w14:paraId="1CF9A184" w14:textId="14ACBA91" w:rsidR="00B203CD" w:rsidRPr="00E20618" w:rsidRDefault="00D67BC4" w:rsidP="004C567F">
            <w:pPr>
              <w:pStyle w:val="TableTextRight"/>
              <w:rPr>
                <w:rFonts w:cstheme="minorHAnsi"/>
              </w:rPr>
            </w:pPr>
            <w:r w:rsidRPr="00A85CD9">
              <w:t>1.</w:t>
            </w:r>
            <w:r w:rsidR="009E44DB">
              <w:rPr>
                <w:rFonts w:cs="Calibri"/>
              </w:rPr>
              <w:t>5</w:t>
            </w:r>
          </w:p>
        </w:tc>
        <w:tc>
          <w:tcPr>
            <w:tcW w:w="0" w:type="dxa"/>
            <w:tcBorders>
              <w:top w:val="nil"/>
              <w:left w:val="single" w:sz="4" w:space="0" w:color="auto"/>
              <w:bottom w:val="nil"/>
              <w:right w:val="nil"/>
            </w:tcBorders>
            <w:vAlign w:val="center"/>
          </w:tcPr>
          <w:p w14:paraId="2FB6022C" w14:textId="417E01CD" w:rsidR="00B203CD" w:rsidRPr="00E20618" w:rsidRDefault="00D67BC4" w:rsidP="004C567F">
            <w:pPr>
              <w:pStyle w:val="TableTextRight"/>
              <w:rPr>
                <w:rFonts w:cstheme="minorHAnsi"/>
              </w:rPr>
            </w:pPr>
            <w:r w:rsidRPr="00A85CD9">
              <w:t>1.</w:t>
            </w:r>
            <w:r w:rsidR="009E44DB">
              <w:rPr>
                <w:rFonts w:cs="Calibri"/>
              </w:rPr>
              <w:t>2</w:t>
            </w:r>
          </w:p>
        </w:tc>
      </w:tr>
      <w:tr w:rsidR="00A85CD9" w:rsidRPr="00485E58" w14:paraId="33696837" w14:textId="77777777" w:rsidTr="00A85CD9">
        <w:tc>
          <w:tcPr>
            <w:tcW w:w="0" w:type="dxa"/>
          </w:tcPr>
          <w:p w14:paraId="23F19707" w14:textId="77777777" w:rsidR="00B203CD" w:rsidRPr="00A85CD9" w:rsidRDefault="00B203CD" w:rsidP="004C567F">
            <w:pPr>
              <w:pStyle w:val="Tabletextleftindent"/>
            </w:pPr>
            <w:r w:rsidRPr="00B561C3">
              <w:t>Rest of Tasmania</w:t>
            </w:r>
          </w:p>
        </w:tc>
        <w:tc>
          <w:tcPr>
            <w:tcW w:w="0" w:type="dxa"/>
            <w:tcBorders>
              <w:top w:val="nil"/>
              <w:left w:val="nil"/>
              <w:bottom w:val="nil"/>
              <w:right w:val="nil"/>
            </w:tcBorders>
            <w:vAlign w:val="center"/>
          </w:tcPr>
          <w:p w14:paraId="063BC030" w14:textId="17A793DD" w:rsidR="00B203CD" w:rsidRPr="00E20618" w:rsidRDefault="00D67BC4" w:rsidP="004C567F">
            <w:pPr>
              <w:pStyle w:val="TableTextRight"/>
              <w:rPr>
                <w:rFonts w:cstheme="minorHAnsi"/>
              </w:rPr>
            </w:pPr>
            <w:r w:rsidRPr="00A85CD9">
              <w:t>0.6</w:t>
            </w:r>
          </w:p>
        </w:tc>
        <w:tc>
          <w:tcPr>
            <w:tcW w:w="0" w:type="dxa"/>
            <w:tcBorders>
              <w:top w:val="nil"/>
              <w:left w:val="nil"/>
              <w:bottom w:val="nil"/>
              <w:right w:val="nil"/>
            </w:tcBorders>
            <w:shd w:val="clear" w:color="auto" w:fill="D2EDFF" w:themeFill="accent1" w:themeFillTint="1A"/>
            <w:vAlign w:val="center"/>
          </w:tcPr>
          <w:p w14:paraId="3D48A058" w14:textId="12E0419B" w:rsidR="00B203CD" w:rsidRPr="00E20618" w:rsidRDefault="00D67BC4" w:rsidP="004C567F">
            <w:pPr>
              <w:pStyle w:val="TableTextRight"/>
              <w:rPr>
                <w:rFonts w:cstheme="minorHAnsi"/>
              </w:rPr>
            </w:pPr>
            <w:r w:rsidRPr="00A85CD9">
              <w:t>0.6</w:t>
            </w:r>
          </w:p>
        </w:tc>
        <w:tc>
          <w:tcPr>
            <w:tcW w:w="0" w:type="dxa"/>
            <w:tcBorders>
              <w:top w:val="nil"/>
              <w:left w:val="nil"/>
              <w:bottom w:val="nil"/>
              <w:right w:val="nil"/>
            </w:tcBorders>
            <w:vAlign w:val="center"/>
          </w:tcPr>
          <w:p w14:paraId="263C1E92" w14:textId="40419340" w:rsidR="00B203CD" w:rsidRPr="00E20618" w:rsidRDefault="00D67BC4" w:rsidP="004C567F">
            <w:pPr>
              <w:pStyle w:val="TableTextRight"/>
              <w:rPr>
                <w:rFonts w:cstheme="minorHAnsi"/>
              </w:rPr>
            </w:pPr>
            <w:r w:rsidRPr="00A85CD9">
              <w:t>0.7</w:t>
            </w:r>
          </w:p>
        </w:tc>
        <w:tc>
          <w:tcPr>
            <w:tcW w:w="0" w:type="dxa"/>
            <w:tcBorders>
              <w:top w:val="nil"/>
              <w:left w:val="nil"/>
              <w:bottom w:val="nil"/>
              <w:right w:val="nil"/>
            </w:tcBorders>
            <w:vAlign w:val="center"/>
          </w:tcPr>
          <w:p w14:paraId="6B6D8F45" w14:textId="1A17E6FF" w:rsidR="00B203CD" w:rsidRPr="00E20618" w:rsidRDefault="00D67BC4" w:rsidP="004C567F">
            <w:pPr>
              <w:pStyle w:val="TableTextRight"/>
              <w:rPr>
                <w:rFonts w:cstheme="minorHAnsi"/>
              </w:rPr>
            </w:pPr>
            <w:r w:rsidRPr="00A85CD9">
              <w:t>0.</w:t>
            </w:r>
            <w:r w:rsidR="009E44DB">
              <w:rPr>
                <w:rFonts w:cs="Calibri"/>
              </w:rPr>
              <w:t>6</w:t>
            </w:r>
          </w:p>
        </w:tc>
        <w:tc>
          <w:tcPr>
            <w:tcW w:w="0" w:type="dxa"/>
            <w:tcBorders>
              <w:top w:val="nil"/>
              <w:left w:val="nil"/>
              <w:bottom w:val="nil"/>
              <w:right w:val="single" w:sz="4" w:space="0" w:color="auto"/>
            </w:tcBorders>
            <w:vAlign w:val="center"/>
          </w:tcPr>
          <w:p w14:paraId="651E27CD" w14:textId="52CCA756" w:rsidR="00B203CD" w:rsidRPr="00E20618" w:rsidRDefault="00D67BC4" w:rsidP="004C567F">
            <w:pPr>
              <w:pStyle w:val="TableTextRight"/>
              <w:rPr>
                <w:rFonts w:cstheme="minorHAnsi"/>
              </w:rPr>
            </w:pPr>
            <w:r w:rsidRPr="00A85CD9">
              <w:t>0.6</w:t>
            </w:r>
          </w:p>
        </w:tc>
        <w:tc>
          <w:tcPr>
            <w:tcW w:w="0" w:type="dxa"/>
            <w:tcBorders>
              <w:top w:val="nil"/>
              <w:left w:val="single" w:sz="4" w:space="0" w:color="auto"/>
              <w:bottom w:val="nil"/>
              <w:right w:val="nil"/>
            </w:tcBorders>
            <w:vAlign w:val="center"/>
          </w:tcPr>
          <w:p w14:paraId="50E9C64D" w14:textId="103C6071" w:rsidR="00B203CD" w:rsidRPr="00E20618" w:rsidRDefault="00D67BC4" w:rsidP="004C567F">
            <w:pPr>
              <w:pStyle w:val="TableTextRight"/>
              <w:rPr>
                <w:rFonts w:cstheme="minorHAnsi"/>
              </w:rPr>
            </w:pPr>
            <w:r w:rsidRPr="00A85CD9">
              <w:t>0.5</w:t>
            </w:r>
          </w:p>
        </w:tc>
      </w:tr>
      <w:tr w:rsidR="00A85CD9" w:rsidRPr="00485E58" w14:paraId="361F1DCA" w14:textId="77777777" w:rsidTr="00A85CD9">
        <w:tc>
          <w:tcPr>
            <w:tcW w:w="0" w:type="dxa"/>
          </w:tcPr>
          <w:p w14:paraId="6DCFE390" w14:textId="40CDEAC2" w:rsidR="00B203CD" w:rsidRPr="00A85CD9" w:rsidRDefault="00B203CD" w:rsidP="004C567F">
            <w:pPr>
              <w:pStyle w:val="TableColumnHeadingLeft"/>
            </w:pPr>
            <w:r w:rsidRPr="00B561C3">
              <w:t>Population growth (</w:t>
            </w:r>
            <w:r w:rsidR="004B14AB" w:rsidRPr="00B561C3">
              <w:t>‘</w:t>
            </w:r>
            <w:r w:rsidRPr="00B561C3">
              <w:t>000)</w:t>
            </w:r>
          </w:p>
        </w:tc>
        <w:tc>
          <w:tcPr>
            <w:tcW w:w="0" w:type="dxa"/>
            <w:tcBorders>
              <w:top w:val="nil"/>
              <w:left w:val="nil"/>
              <w:bottom w:val="nil"/>
              <w:right w:val="nil"/>
            </w:tcBorders>
            <w:vAlign w:val="center"/>
          </w:tcPr>
          <w:p w14:paraId="5B5A067E" w14:textId="77777777" w:rsidR="00B203CD" w:rsidRPr="00E20618" w:rsidRDefault="00B203CD"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27B8014B" w14:textId="774C8C7D" w:rsidR="00B203CD" w:rsidRPr="00E20618" w:rsidRDefault="00D67BC4" w:rsidP="004C567F">
            <w:pPr>
              <w:pStyle w:val="TableTextRight"/>
              <w:rPr>
                <w:rFonts w:cstheme="minorHAnsi"/>
              </w:rPr>
            </w:pPr>
            <w:r w:rsidRPr="00A85CD9">
              <w:t> </w:t>
            </w:r>
          </w:p>
        </w:tc>
        <w:tc>
          <w:tcPr>
            <w:tcW w:w="0" w:type="dxa"/>
            <w:tcBorders>
              <w:top w:val="nil"/>
              <w:left w:val="nil"/>
              <w:bottom w:val="nil"/>
              <w:right w:val="nil"/>
            </w:tcBorders>
            <w:vAlign w:val="center"/>
          </w:tcPr>
          <w:p w14:paraId="591654D7" w14:textId="77777777" w:rsidR="00B203CD" w:rsidRPr="00E20618" w:rsidRDefault="00B203CD" w:rsidP="004C567F">
            <w:pPr>
              <w:pStyle w:val="TableTextRight"/>
              <w:rPr>
                <w:rFonts w:cstheme="minorHAnsi"/>
              </w:rPr>
            </w:pPr>
          </w:p>
        </w:tc>
        <w:tc>
          <w:tcPr>
            <w:tcW w:w="0" w:type="dxa"/>
            <w:tcBorders>
              <w:top w:val="nil"/>
              <w:left w:val="nil"/>
              <w:bottom w:val="nil"/>
              <w:right w:val="nil"/>
            </w:tcBorders>
            <w:vAlign w:val="center"/>
          </w:tcPr>
          <w:p w14:paraId="48C19798" w14:textId="77777777" w:rsidR="00B203CD" w:rsidRPr="00E20618" w:rsidRDefault="00B203CD" w:rsidP="004C567F">
            <w:pPr>
              <w:pStyle w:val="TableTextRight"/>
              <w:rPr>
                <w:rFonts w:cstheme="minorHAnsi"/>
              </w:rPr>
            </w:pPr>
          </w:p>
        </w:tc>
        <w:tc>
          <w:tcPr>
            <w:tcW w:w="0" w:type="dxa"/>
            <w:tcBorders>
              <w:top w:val="nil"/>
              <w:left w:val="nil"/>
              <w:bottom w:val="nil"/>
              <w:right w:val="single" w:sz="4" w:space="0" w:color="auto"/>
            </w:tcBorders>
            <w:vAlign w:val="center"/>
          </w:tcPr>
          <w:p w14:paraId="45E173BE" w14:textId="4EB69584" w:rsidR="00B203CD" w:rsidRPr="00E20618" w:rsidRDefault="00D67BC4" w:rsidP="004C567F">
            <w:pPr>
              <w:pStyle w:val="TableTextRight"/>
              <w:rPr>
                <w:rFonts w:cstheme="minorHAnsi"/>
              </w:rPr>
            </w:pPr>
            <w:r w:rsidRPr="00A85CD9">
              <w:t> </w:t>
            </w:r>
          </w:p>
        </w:tc>
        <w:tc>
          <w:tcPr>
            <w:tcW w:w="0" w:type="dxa"/>
            <w:tcBorders>
              <w:top w:val="nil"/>
              <w:left w:val="single" w:sz="4" w:space="0" w:color="auto"/>
              <w:bottom w:val="nil"/>
              <w:right w:val="nil"/>
            </w:tcBorders>
            <w:vAlign w:val="center"/>
          </w:tcPr>
          <w:p w14:paraId="75220B79" w14:textId="77777777" w:rsidR="00B203CD" w:rsidRPr="00E20618" w:rsidRDefault="00B203CD" w:rsidP="004C567F">
            <w:pPr>
              <w:pStyle w:val="TableTextRight"/>
              <w:rPr>
                <w:rFonts w:cstheme="minorHAnsi"/>
              </w:rPr>
            </w:pPr>
          </w:p>
        </w:tc>
      </w:tr>
      <w:tr w:rsidR="00A85CD9" w:rsidRPr="00485E58" w14:paraId="0E460387" w14:textId="77777777" w:rsidTr="00A85CD9">
        <w:tc>
          <w:tcPr>
            <w:tcW w:w="0" w:type="dxa"/>
          </w:tcPr>
          <w:p w14:paraId="62C69989" w14:textId="77777777" w:rsidR="00B203CD" w:rsidRPr="00A85CD9" w:rsidRDefault="00B203CD" w:rsidP="004C567F">
            <w:pPr>
              <w:pStyle w:val="TableTextLeft"/>
              <w:rPr>
                <w:b/>
              </w:rPr>
            </w:pPr>
            <w:r w:rsidRPr="00A85CD9">
              <w:t>Tasmania</w:t>
            </w:r>
          </w:p>
        </w:tc>
        <w:tc>
          <w:tcPr>
            <w:tcW w:w="0" w:type="dxa"/>
            <w:tcBorders>
              <w:top w:val="nil"/>
              <w:left w:val="nil"/>
              <w:bottom w:val="nil"/>
              <w:right w:val="nil"/>
            </w:tcBorders>
            <w:vAlign w:val="center"/>
          </w:tcPr>
          <w:p w14:paraId="77FCFDB9" w14:textId="4D92B767" w:rsidR="00B203CD" w:rsidRPr="00E20618" w:rsidRDefault="00D67BC4" w:rsidP="004C567F">
            <w:pPr>
              <w:pStyle w:val="TableTextRight"/>
              <w:rPr>
                <w:rFonts w:cstheme="minorHAnsi"/>
              </w:rPr>
            </w:pPr>
            <w:r w:rsidRPr="00A85CD9">
              <w:t>3.8</w:t>
            </w:r>
          </w:p>
        </w:tc>
        <w:tc>
          <w:tcPr>
            <w:tcW w:w="0" w:type="dxa"/>
            <w:tcBorders>
              <w:top w:val="nil"/>
              <w:left w:val="nil"/>
              <w:bottom w:val="nil"/>
              <w:right w:val="nil"/>
            </w:tcBorders>
            <w:shd w:val="clear" w:color="auto" w:fill="D2EDFF" w:themeFill="accent1" w:themeFillTint="1A"/>
            <w:vAlign w:val="center"/>
          </w:tcPr>
          <w:p w14:paraId="3F9EA40F" w14:textId="1092CB14" w:rsidR="00B203CD" w:rsidRPr="00E20618" w:rsidRDefault="00D67BC4" w:rsidP="004C567F">
            <w:pPr>
              <w:pStyle w:val="TableTextRight"/>
              <w:rPr>
                <w:rFonts w:cstheme="minorHAnsi"/>
              </w:rPr>
            </w:pPr>
            <w:r w:rsidRPr="00A85CD9">
              <w:t>2.8</w:t>
            </w:r>
          </w:p>
        </w:tc>
        <w:tc>
          <w:tcPr>
            <w:tcW w:w="0" w:type="dxa"/>
            <w:tcBorders>
              <w:top w:val="nil"/>
              <w:left w:val="nil"/>
              <w:bottom w:val="nil"/>
              <w:right w:val="nil"/>
            </w:tcBorders>
            <w:vAlign w:val="center"/>
          </w:tcPr>
          <w:p w14:paraId="4408A50C" w14:textId="22059017" w:rsidR="00B203CD" w:rsidRPr="00E20618" w:rsidRDefault="009E44DB" w:rsidP="004C567F">
            <w:pPr>
              <w:pStyle w:val="TableTextRight"/>
              <w:rPr>
                <w:rFonts w:cstheme="minorHAnsi"/>
              </w:rPr>
            </w:pPr>
            <w:r>
              <w:rPr>
                <w:rFonts w:cs="Calibri"/>
              </w:rPr>
              <w:t>4.8</w:t>
            </w:r>
          </w:p>
        </w:tc>
        <w:tc>
          <w:tcPr>
            <w:tcW w:w="0" w:type="dxa"/>
            <w:tcBorders>
              <w:top w:val="nil"/>
              <w:left w:val="nil"/>
              <w:bottom w:val="nil"/>
              <w:right w:val="nil"/>
            </w:tcBorders>
            <w:vAlign w:val="center"/>
          </w:tcPr>
          <w:p w14:paraId="1AB08FC8" w14:textId="4A7598D3" w:rsidR="00B203CD" w:rsidRPr="00E20618" w:rsidRDefault="00D67BC4" w:rsidP="004C567F">
            <w:pPr>
              <w:pStyle w:val="TableTextRight"/>
              <w:rPr>
                <w:rFonts w:cstheme="minorHAnsi"/>
              </w:rPr>
            </w:pPr>
            <w:r w:rsidRPr="00A85CD9">
              <w:t>5.</w:t>
            </w:r>
            <w:r w:rsidR="009E44DB">
              <w:rPr>
                <w:rFonts w:cs="Calibri"/>
              </w:rPr>
              <w:t>0</w:t>
            </w:r>
          </w:p>
        </w:tc>
        <w:tc>
          <w:tcPr>
            <w:tcW w:w="0" w:type="dxa"/>
            <w:tcBorders>
              <w:top w:val="nil"/>
              <w:left w:val="nil"/>
              <w:bottom w:val="nil"/>
              <w:right w:val="single" w:sz="4" w:space="0" w:color="auto"/>
            </w:tcBorders>
            <w:vAlign w:val="center"/>
          </w:tcPr>
          <w:p w14:paraId="0288BE02" w14:textId="1C74A1A8" w:rsidR="00B203CD" w:rsidRPr="00E20618" w:rsidRDefault="009E44DB" w:rsidP="004C567F">
            <w:pPr>
              <w:pStyle w:val="TableTextRight"/>
              <w:rPr>
                <w:rFonts w:cstheme="minorHAnsi"/>
              </w:rPr>
            </w:pPr>
            <w:r>
              <w:rPr>
                <w:rFonts w:cs="Calibri"/>
              </w:rPr>
              <w:t>5.9</w:t>
            </w:r>
          </w:p>
        </w:tc>
        <w:tc>
          <w:tcPr>
            <w:tcW w:w="0" w:type="dxa"/>
            <w:tcBorders>
              <w:top w:val="nil"/>
              <w:left w:val="single" w:sz="4" w:space="0" w:color="auto"/>
              <w:bottom w:val="nil"/>
              <w:right w:val="nil"/>
            </w:tcBorders>
            <w:vAlign w:val="center"/>
          </w:tcPr>
          <w:p w14:paraId="52EDF7BE" w14:textId="416A7D0D" w:rsidR="00B203CD" w:rsidRPr="00E20618" w:rsidRDefault="009E44DB" w:rsidP="004C567F">
            <w:pPr>
              <w:pStyle w:val="TableTextRight"/>
              <w:rPr>
                <w:rFonts w:cstheme="minorHAnsi"/>
              </w:rPr>
            </w:pPr>
            <w:r>
              <w:rPr>
                <w:rFonts w:cs="Calibri"/>
              </w:rPr>
              <w:t>5.0</w:t>
            </w:r>
          </w:p>
        </w:tc>
      </w:tr>
      <w:tr w:rsidR="00A85CD9" w:rsidRPr="00485E58" w14:paraId="00FD2AF3" w14:textId="77777777" w:rsidTr="00A85CD9">
        <w:tc>
          <w:tcPr>
            <w:tcW w:w="0" w:type="dxa"/>
          </w:tcPr>
          <w:p w14:paraId="2F0211CF" w14:textId="77777777" w:rsidR="00B203CD" w:rsidRPr="00B561C3" w:rsidRDefault="00B203CD" w:rsidP="004C567F">
            <w:pPr>
              <w:pStyle w:val="Tabletextleftindent"/>
              <w:rPr>
                <w:b/>
              </w:rPr>
            </w:pPr>
            <w:r w:rsidRPr="00B561C3">
              <w:t>Greater Hobart</w:t>
            </w:r>
          </w:p>
        </w:tc>
        <w:tc>
          <w:tcPr>
            <w:tcW w:w="0" w:type="dxa"/>
            <w:tcBorders>
              <w:top w:val="nil"/>
              <w:left w:val="nil"/>
              <w:bottom w:val="nil"/>
              <w:right w:val="nil"/>
            </w:tcBorders>
            <w:vAlign w:val="center"/>
          </w:tcPr>
          <w:p w14:paraId="7D71FBC6" w14:textId="6091E697" w:rsidR="00B203CD" w:rsidRPr="00E20618" w:rsidRDefault="00D67BC4" w:rsidP="004C567F">
            <w:pPr>
              <w:pStyle w:val="TableTextRight"/>
              <w:rPr>
                <w:rFonts w:cstheme="minorHAnsi"/>
              </w:rPr>
            </w:pPr>
            <w:r w:rsidRPr="00A85CD9">
              <w:t>1.7</w:t>
            </w:r>
          </w:p>
        </w:tc>
        <w:tc>
          <w:tcPr>
            <w:tcW w:w="0" w:type="dxa"/>
            <w:tcBorders>
              <w:top w:val="nil"/>
              <w:left w:val="nil"/>
              <w:bottom w:val="nil"/>
              <w:right w:val="nil"/>
            </w:tcBorders>
            <w:shd w:val="clear" w:color="auto" w:fill="D2EDFF" w:themeFill="accent1" w:themeFillTint="1A"/>
            <w:vAlign w:val="center"/>
          </w:tcPr>
          <w:p w14:paraId="18D4E95F" w14:textId="584820BF" w:rsidR="00B203CD" w:rsidRPr="00E20618" w:rsidRDefault="00D67BC4" w:rsidP="004C567F">
            <w:pPr>
              <w:pStyle w:val="TableTextRight"/>
              <w:rPr>
                <w:rFonts w:cstheme="minorHAnsi"/>
              </w:rPr>
            </w:pPr>
            <w:r w:rsidRPr="00A85CD9">
              <w:t>1.0</w:t>
            </w:r>
          </w:p>
        </w:tc>
        <w:tc>
          <w:tcPr>
            <w:tcW w:w="0" w:type="dxa"/>
            <w:tcBorders>
              <w:top w:val="nil"/>
              <w:left w:val="nil"/>
              <w:bottom w:val="nil"/>
              <w:right w:val="nil"/>
            </w:tcBorders>
            <w:vAlign w:val="center"/>
          </w:tcPr>
          <w:p w14:paraId="3B09A087" w14:textId="2D4C3F74" w:rsidR="00B203CD" w:rsidRPr="00E20618" w:rsidRDefault="00D67BC4" w:rsidP="004C567F">
            <w:pPr>
              <w:pStyle w:val="TableTextRight"/>
              <w:rPr>
                <w:rFonts w:cstheme="minorHAnsi"/>
              </w:rPr>
            </w:pPr>
            <w:r w:rsidRPr="00A85CD9">
              <w:t>2.</w:t>
            </w:r>
            <w:r w:rsidR="009E44DB">
              <w:rPr>
                <w:rFonts w:cs="Calibri"/>
              </w:rPr>
              <w:t>6</w:t>
            </w:r>
          </w:p>
        </w:tc>
        <w:tc>
          <w:tcPr>
            <w:tcW w:w="0" w:type="dxa"/>
            <w:tcBorders>
              <w:top w:val="nil"/>
              <w:left w:val="nil"/>
              <w:bottom w:val="nil"/>
              <w:right w:val="nil"/>
            </w:tcBorders>
            <w:vAlign w:val="center"/>
          </w:tcPr>
          <w:p w14:paraId="7B602BAA" w14:textId="612B15E9" w:rsidR="00B203CD" w:rsidRPr="00E20618" w:rsidRDefault="00D67BC4" w:rsidP="004C567F">
            <w:pPr>
              <w:pStyle w:val="TableTextRight"/>
              <w:rPr>
                <w:rFonts w:cstheme="minorHAnsi"/>
              </w:rPr>
            </w:pPr>
            <w:r w:rsidRPr="00A85CD9">
              <w:t>3.</w:t>
            </w:r>
            <w:r w:rsidR="009E44DB">
              <w:rPr>
                <w:rFonts w:cs="Calibri"/>
              </w:rPr>
              <w:t>0</w:t>
            </w:r>
          </w:p>
        </w:tc>
        <w:tc>
          <w:tcPr>
            <w:tcW w:w="0" w:type="dxa"/>
            <w:tcBorders>
              <w:top w:val="nil"/>
              <w:left w:val="nil"/>
              <w:bottom w:val="nil"/>
              <w:right w:val="single" w:sz="4" w:space="0" w:color="auto"/>
            </w:tcBorders>
            <w:vAlign w:val="center"/>
          </w:tcPr>
          <w:p w14:paraId="337803AE" w14:textId="4CF48481" w:rsidR="00B203CD" w:rsidRPr="00E20618" w:rsidRDefault="00D67BC4" w:rsidP="004C567F">
            <w:pPr>
              <w:pStyle w:val="TableTextRight"/>
              <w:rPr>
                <w:rFonts w:cstheme="minorHAnsi"/>
              </w:rPr>
            </w:pPr>
            <w:r w:rsidRPr="00A85CD9">
              <w:t>4.</w:t>
            </w:r>
            <w:r w:rsidR="009E44DB">
              <w:rPr>
                <w:rFonts w:cs="Calibri"/>
              </w:rPr>
              <w:t>0</w:t>
            </w:r>
          </w:p>
        </w:tc>
        <w:tc>
          <w:tcPr>
            <w:tcW w:w="0" w:type="dxa"/>
            <w:tcBorders>
              <w:top w:val="nil"/>
              <w:left w:val="single" w:sz="4" w:space="0" w:color="auto"/>
              <w:bottom w:val="nil"/>
              <w:right w:val="nil"/>
            </w:tcBorders>
            <w:vAlign w:val="center"/>
          </w:tcPr>
          <w:p w14:paraId="1E320BD8" w14:textId="5B8C222D" w:rsidR="00B203CD" w:rsidRPr="00E20618" w:rsidRDefault="00D67BC4" w:rsidP="004C567F">
            <w:pPr>
              <w:pStyle w:val="TableTextRight"/>
              <w:rPr>
                <w:rFonts w:cstheme="minorHAnsi"/>
              </w:rPr>
            </w:pPr>
            <w:r w:rsidRPr="00A85CD9">
              <w:t>3.</w:t>
            </w:r>
            <w:r w:rsidR="009E44DB">
              <w:rPr>
                <w:rFonts w:cs="Calibri"/>
              </w:rPr>
              <w:t>4</w:t>
            </w:r>
          </w:p>
        </w:tc>
      </w:tr>
      <w:tr w:rsidR="00F67DB6" w:rsidRPr="00485E58" w14:paraId="382DA24A" w14:textId="77777777">
        <w:tc>
          <w:tcPr>
            <w:tcW w:w="0" w:type="dxa"/>
            <w:tcBorders>
              <w:bottom w:val="single" w:sz="4" w:space="0" w:color="auto"/>
            </w:tcBorders>
          </w:tcPr>
          <w:p w14:paraId="0B6558B7" w14:textId="77777777" w:rsidR="00B203CD" w:rsidRPr="00B561C3" w:rsidRDefault="00B203CD" w:rsidP="004C567F">
            <w:pPr>
              <w:pStyle w:val="Tabletextleftindent"/>
              <w:rPr>
                <w:b/>
              </w:rPr>
            </w:pPr>
            <w:r w:rsidRPr="00B561C3">
              <w:t>Rest of Tasmania</w:t>
            </w:r>
          </w:p>
        </w:tc>
        <w:tc>
          <w:tcPr>
            <w:tcW w:w="0" w:type="dxa"/>
            <w:tcBorders>
              <w:top w:val="nil"/>
              <w:left w:val="nil"/>
              <w:bottom w:val="single" w:sz="4" w:space="0" w:color="auto"/>
              <w:right w:val="nil"/>
            </w:tcBorders>
            <w:vAlign w:val="center"/>
          </w:tcPr>
          <w:p w14:paraId="4A090CF1" w14:textId="61A49EC2" w:rsidR="00B203CD" w:rsidRPr="00E20618" w:rsidRDefault="00D67BC4" w:rsidP="004C567F">
            <w:pPr>
              <w:pStyle w:val="TableTextRight"/>
              <w:rPr>
                <w:rFonts w:cstheme="minorHAnsi"/>
              </w:rPr>
            </w:pPr>
            <w:r w:rsidRPr="00A85CD9">
              <w:t>2.0</w:t>
            </w:r>
          </w:p>
        </w:tc>
        <w:tc>
          <w:tcPr>
            <w:tcW w:w="0" w:type="dxa"/>
            <w:tcBorders>
              <w:top w:val="nil"/>
              <w:left w:val="nil"/>
              <w:bottom w:val="single" w:sz="4" w:space="0" w:color="auto"/>
              <w:right w:val="nil"/>
            </w:tcBorders>
            <w:shd w:val="clear" w:color="auto" w:fill="D2EDFF" w:themeFill="accent1" w:themeFillTint="1A"/>
            <w:vAlign w:val="center"/>
          </w:tcPr>
          <w:p w14:paraId="58426230" w14:textId="036B7337" w:rsidR="00B203CD" w:rsidRPr="00E20618" w:rsidRDefault="00D67BC4" w:rsidP="004C567F">
            <w:pPr>
              <w:pStyle w:val="TableTextRight"/>
              <w:rPr>
                <w:rFonts w:cstheme="minorHAnsi"/>
              </w:rPr>
            </w:pPr>
            <w:r w:rsidRPr="00A85CD9">
              <w:t>1.8</w:t>
            </w:r>
          </w:p>
        </w:tc>
        <w:tc>
          <w:tcPr>
            <w:tcW w:w="0" w:type="dxa"/>
            <w:tcBorders>
              <w:top w:val="nil"/>
              <w:left w:val="nil"/>
              <w:bottom w:val="single" w:sz="4" w:space="0" w:color="auto"/>
              <w:right w:val="nil"/>
            </w:tcBorders>
            <w:vAlign w:val="center"/>
          </w:tcPr>
          <w:p w14:paraId="05BDAB80" w14:textId="2A0805F8" w:rsidR="00B203CD" w:rsidRPr="00E20618" w:rsidRDefault="00D67BC4" w:rsidP="004C567F">
            <w:pPr>
              <w:pStyle w:val="TableTextRight"/>
              <w:rPr>
                <w:rFonts w:cstheme="minorHAnsi"/>
              </w:rPr>
            </w:pPr>
            <w:r w:rsidRPr="00A85CD9">
              <w:t>2.</w:t>
            </w:r>
            <w:r w:rsidR="009E44DB">
              <w:rPr>
                <w:rFonts w:cs="Calibri"/>
              </w:rPr>
              <w:t>2</w:t>
            </w:r>
          </w:p>
        </w:tc>
        <w:tc>
          <w:tcPr>
            <w:tcW w:w="0" w:type="dxa"/>
            <w:tcBorders>
              <w:top w:val="nil"/>
              <w:left w:val="nil"/>
              <w:bottom w:val="single" w:sz="4" w:space="0" w:color="auto"/>
              <w:right w:val="nil"/>
            </w:tcBorders>
            <w:vAlign w:val="center"/>
          </w:tcPr>
          <w:p w14:paraId="5868FBBB" w14:textId="10D9CAF8" w:rsidR="00B203CD" w:rsidRPr="00E20618" w:rsidRDefault="00D67BC4" w:rsidP="004C567F">
            <w:pPr>
              <w:pStyle w:val="TableTextRight"/>
              <w:rPr>
                <w:rFonts w:cstheme="minorHAnsi"/>
              </w:rPr>
            </w:pPr>
            <w:r w:rsidRPr="00A85CD9">
              <w:t>2.</w:t>
            </w:r>
            <w:r w:rsidR="009E44DB">
              <w:rPr>
                <w:rFonts w:cs="Calibri"/>
              </w:rPr>
              <w:t>0</w:t>
            </w:r>
          </w:p>
        </w:tc>
        <w:tc>
          <w:tcPr>
            <w:tcW w:w="0" w:type="dxa"/>
            <w:tcBorders>
              <w:top w:val="nil"/>
              <w:left w:val="nil"/>
              <w:bottom w:val="single" w:sz="4" w:space="0" w:color="auto"/>
              <w:right w:val="single" w:sz="4" w:space="0" w:color="auto"/>
            </w:tcBorders>
            <w:vAlign w:val="center"/>
          </w:tcPr>
          <w:p w14:paraId="4E8E118B" w14:textId="0E4C57B3" w:rsidR="00B203CD" w:rsidRPr="00E20618" w:rsidRDefault="00D67BC4" w:rsidP="004C567F">
            <w:pPr>
              <w:pStyle w:val="TableTextRight"/>
              <w:rPr>
                <w:rFonts w:cstheme="minorHAnsi"/>
              </w:rPr>
            </w:pPr>
            <w:r w:rsidRPr="00A85CD9">
              <w:t>2.</w:t>
            </w:r>
            <w:r w:rsidR="009E44DB">
              <w:rPr>
                <w:rFonts w:cs="Calibri"/>
              </w:rPr>
              <w:t>0</w:t>
            </w:r>
          </w:p>
        </w:tc>
        <w:tc>
          <w:tcPr>
            <w:tcW w:w="0" w:type="dxa"/>
            <w:tcBorders>
              <w:top w:val="nil"/>
              <w:left w:val="single" w:sz="4" w:space="0" w:color="auto"/>
              <w:bottom w:val="single" w:sz="4" w:space="0" w:color="auto"/>
              <w:right w:val="nil"/>
            </w:tcBorders>
            <w:vAlign w:val="center"/>
          </w:tcPr>
          <w:p w14:paraId="3B43EED1" w14:textId="21CD2C12" w:rsidR="00B203CD" w:rsidRPr="00E20618" w:rsidRDefault="00D67BC4" w:rsidP="004C567F">
            <w:pPr>
              <w:pStyle w:val="TableTextRight"/>
              <w:rPr>
                <w:rFonts w:cstheme="minorHAnsi"/>
              </w:rPr>
            </w:pPr>
            <w:r w:rsidRPr="00A85CD9">
              <w:t>1.</w:t>
            </w:r>
            <w:r w:rsidR="009E44DB">
              <w:rPr>
                <w:rFonts w:cs="Calibri"/>
              </w:rPr>
              <w:t>7</w:t>
            </w:r>
          </w:p>
        </w:tc>
      </w:tr>
      <w:tr w:rsidR="00F67DB6" w:rsidRPr="00485E58" w14:paraId="6A5BA192" w14:textId="77777777">
        <w:tc>
          <w:tcPr>
            <w:tcW w:w="0" w:type="dxa"/>
            <w:tcBorders>
              <w:top w:val="single" w:sz="4" w:space="0" w:color="auto"/>
              <w:bottom w:val="nil"/>
            </w:tcBorders>
          </w:tcPr>
          <w:p w14:paraId="49B7CCF8" w14:textId="2F23B29A" w:rsidR="00B203CD" w:rsidRPr="00A85CD9" w:rsidRDefault="00B203CD" w:rsidP="004C567F">
            <w:pPr>
              <w:pStyle w:val="TableColumnHeadingLeft"/>
            </w:pPr>
            <w:r w:rsidRPr="00B561C3">
              <w:t>Natural increase (</w:t>
            </w:r>
            <w:r w:rsidR="004B14AB" w:rsidRPr="00B561C3">
              <w:t>‘</w:t>
            </w:r>
            <w:r w:rsidRPr="00B561C3">
              <w:t>000)</w:t>
            </w:r>
          </w:p>
        </w:tc>
        <w:tc>
          <w:tcPr>
            <w:tcW w:w="0" w:type="dxa"/>
            <w:tcBorders>
              <w:top w:val="single" w:sz="4" w:space="0" w:color="auto"/>
              <w:left w:val="nil"/>
              <w:bottom w:val="nil"/>
              <w:right w:val="nil"/>
            </w:tcBorders>
            <w:vAlign w:val="center"/>
          </w:tcPr>
          <w:p w14:paraId="2B3F2900"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3114B5D9" w14:textId="039561ED" w:rsidR="00B203CD" w:rsidRPr="00E20618" w:rsidRDefault="00D67BC4" w:rsidP="004C567F">
            <w:pPr>
              <w:pStyle w:val="TableTextRight"/>
              <w:rPr>
                <w:rFonts w:cstheme="minorHAnsi"/>
              </w:rPr>
            </w:pPr>
            <w:r w:rsidRPr="00A85CD9">
              <w:t> </w:t>
            </w:r>
          </w:p>
        </w:tc>
        <w:tc>
          <w:tcPr>
            <w:tcW w:w="0" w:type="dxa"/>
            <w:tcBorders>
              <w:top w:val="single" w:sz="4" w:space="0" w:color="auto"/>
              <w:left w:val="nil"/>
              <w:bottom w:val="nil"/>
              <w:right w:val="nil"/>
            </w:tcBorders>
            <w:vAlign w:val="center"/>
          </w:tcPr>
          <w:p w14:paraId="02911F4D"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nil"/>
            </w:tcBorders>
            <w:vAlign w:val="center"/>
          </w:tcPr>
          <w:p w14:paraId="146A7BCE"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541C5578" w14:textId="14DA65F7" w:rsidR="00B203CD" w:rsidRPr="00E20618" w:rsidRDefault="00D67BC4" w:rsidP="004C567F">
            <w:pPr>
              <w:pStyle w:val="TableTextRight"/>
              <w:rPr>
                <w:rFonts w:cstheme="minorHAnsi"/>
              </w:rPr>
            </w:pPr>
            <w:r w:rsidRPr="00A85CD9">
              <w:t> </w:t>
            </w:r>
          </w:p>
        </w:tc>
        <w:tc>
          <w:tcPr>
            <w:tcW w:w="0" w:type="dxa"/>
            <w:tcBorders>
              <w:top w:val="single" w:sz="4" w:space="0" w:color="auto"/>
              <w:left w:val="single" w:sz="4" w:space="0" w:color="auto"/>
              <w:bottom w:val="nil"/>
              <w:right w:val="nil"/>
            </w:tcBorders>
            <w:vAlign w:val="center"/>
          </w:tcPr>
          <w:p w14:paraId="5E07BFF2" w14:textId="77777777" w:rsidR="00B203CD" w:rsidRPr="00E20618" w:rsidRDefault="00B203CD" w:rsidP="004C567F">
            <w:pPr>
              <w:pStyle w:val="TableTextRight"/>
              <w:rPr>
                <w:rFonts w:cstheme="minorHAnsi"/>
              </w:rPr>
            </w:pPr>
          </w:p>
        </w:tc>
      </w:tr>
      <w:tr w:rsidR="00F67DB6" w:rsidRPr="00485E58" w14:paraId="5743C140" w14:textId="77777777">
        <w:tc>
          <w:tcPr>
            <w:tcW w:w="0" w:type="dxa"/>
            <w:tcBorders>
              <w:bottom w:val="nil"/>
            </w:tcBorders>
          </w:tcPr>
          <w:p w14:paraId="58524524" w14:textId="77777777" w:rsidR="00B203CD" w:rsidRPr="00A85CD9" w:rsidRDefault="00B203CD" w:rsidP="004C567F">
            <w:pPr>
              <w:pStyle w:val="TableTextLeft"/>
              <w:rPr>
                <w:b/>
              </w:rPr>
            </w:pPr>
            <w:r w:rsidRPr="00A85CD9">
              <w:t>Tasmania</w:t>
            </w:r>
          </w:p>
        </w:tc>
        <w:tc>
          <w:tcPr>
            <w:tcW w:w="0" w:type="dxa"/>
            <w:tcBorders>
              <w:top w:val="nil"/>
              <w:left w:val="nil"/>
              <w:bottom w:val="nil"/>
              <w:right w:val="nil"/>
            </w:tcBorders>
            <w:vAlign w:val="center"/>
          </w:tcPr>
          <w:p w14:paraId="67334D84" w14:textId="198681CB" w:rsidR="00B203CD" w:rsidRPr="00E20618" w:rsidRDefault="00D67BC4" w:rsidP="004C567F">
            <w:pPr>
              <w:pStyle w:val="TableTextRight"/>
              <w:rPr>
                <w:rFonts w:cstheme="minorHAnsi"/>
              </w:rPr>
            </w:pPr>
            <w:r w:rsidRPr="00A85CD9">
              <w:t>0.8</w:t>
            </w:r>
          </w:p>
        </w:tc>
        <w:tc>
          <w:tcPr>
            <w:tcW w:w="0" w:type="dxa"/>
            <w:tcBorders>
              <w:top w:val="nil"/>
              <w:left w:val="nil"/>
              <w:bottom w:val="nil"/>
              <w:right w:val="nil"/>
            </w:tcBorders>
            <w:shd w:val="clear" w:color="auto" w:fill="D2EDFF" w:themeFill="accent1" w:themeFillTint="1A"/>
            <w:vAlign w:val="center"/>
          </w:tcPr>
          <w:p w14:paraId="3631C02F" w14:textId="582E00C6" w:rsidR="00B203CD" w:rsidRPr="00E20618" w:rsidRDefault="00D67BC4" w:rsidP="004C567F">
            <w:pPr>
              <w:pStyle w:val="TableTextRight"/>
              <w:rPr>
                <w:rFonts w:cstheme="minorHAnsi"/>
              </w:rPr>
            </w:pPr>
            <w:r w:rsidRPr="00A85CD9">
              <w:t>0.7</w:t>
            </w:r>
          </w:p>
        </w:tc>
        <w:tc>
          <w:tcPr>
            <w:tcW w:w="0" w:type="dxa"/>
            <w:tcBorders>
              <w:top w:val="nil"/>
              <w:left w:val="nil"/>
              <w:bottom w:val="nil"/>
              <w:right w:val="nil"/>
            </w:tcBorders>
            <w:vAlign w:val="center"/>
          </w:tcPr>
          <w:p w14:paraId="2DA68EE3" w14:textId="77E08885" w:rsidR="00B203CD" w:rsidRPr="00E20618" w:rsidRDefault="00D67BC4" w:rsidP="004C567F">
            <w:pPr>
              <w:pStyle w:val="TableTextRight"/>
              <w:rPr>
                <w:rFonts w:cstheme="minorHAnsi"/>
              </w:rPr>
            </w:pPr>
            <w:r w:rsidRPr="00A85CD9">
              <w:t>0.8</w:t>
            </w:r>
          </w:p>
        </w:tc>
        <w:tc>
          <w:tcPr>
            <w:tcW w:w="0" w:type="dxa"/>
            <w:tcBorders>
              <w:top w:val="nil"/>
              <w:left w:val="nil"/>
              <w:bottom w:val="nil"/>
              <w:right w:val="nil"/>
            </w:tcBorders>
            <w:vAlign w:val="center"/>
          </w:tcPr>
          <w:p w14:paraId="69C45CB3" w14:textId="7BE24B80" w:rsidR="00B203CD" w:rsidRPr="00E20618" w:rsidRDefault="00D67BC4" w:rsidP="004C567F">
            <w:pPr>
              <w:pStyle w:val="TableTextRight"/>
              <w:rPr>
                <w:rFonts w:cstheme="minorHAnsi"/>
              </w:rPr>
            </w:pPr>
            <w:r w:rsidRPr="00A85CD9">
              <w:t>0.9</w:t>
            </w:r>
          </w:p>
        </w:tc>
        <w:tc>
          <w:tcPr>
            <w:tcW w:w="0" w:type="dxa"/>
            <w:tcBorders>
              <w:top w:val="nil"/>
              <w:left w:val="nil"/>
              <w:bottom w:val="nil"/>
              <w:right w:val="single" w:sz="4" w:space="0" w:color="auto"/>
            </w:tcBorders>
            <w:vAlign w:val="center"/>
          </w:tcPr>
          <w:p w14:paraId="2D252EBF" w14:textId="33777100" w:rsidR="00B203CD" w:rsidRPr="00E20618" w:rsidRDefault="00D67BC4" w:rsidP="004C567F">
            <w:pPr>
              <w:pStyle w:val="TableTextRight"/>
              <w:rPr>
                <w:rFonts w:cstheme="minorHAnsi"/>
              </w:rPr>
            </w:pPr>
            <w:r w:rsidRPr="00A85CD9">
              <w:t>0.9</w:t>
            </w:r>
          </w:p>
        </w:tc>
        <w:tc>
          <w:tcPr>
            <w:tcW w:w="0" w:type="dxa"/>
            <w:tcBorders>
              <w:top w:val="nil"/>
              <w:left w:val="single" w:sz="4" w:space="0" w:color="auto"/>
              <w:bottom w:val="nil"/>
              <w:right w:val="nil"/>
            </w:tcBorders>
            <w:vAlign w:val="center"/>
          </w:tcPr>
          <w:p w14:paraId="067F2890" w14:textId="5720714D" w:rsidR="00B203CD" w:rsidRPr="00E20618" w:rsidRDefault="009E44DB" w:rsidP="004C567F">
            <w:pPr>
              <w:pStyle w:val="TableTextRight"/>
              <w:rPr>
                <w:rFonts w:cstheme="minorHAnsi"/>
              </w:rPr>
            </w:pPr>
            <w:r>
              <w:rPr>
                <w:rFonts w:cs="Calibri"/>
              </w:rPr>
              <w:t>-</w:t>
            </w:r>
            <w:r w:rsidR="00D67BC4" w:rsidRPr="00A85CD9">
              <w:t>0.1</w:t>
            </w:r>
          </w:p>
        </w:tc>
      </w:tr>
      <w:tr w:rsidR="00F67DB6" w:rsidRPr="00485E58" w14:paraId="43D6BDD6" w14:textId="77777777">
        <w:tc>
          <w:tcPr>
            <w:tcW w:w="0" w:type="dxa"/>
            <w:tcBorders>
              <w:bottom w:val="nil"/>
            </w:tcBorders>
          </w:tcPr>
          <w:p w14:paraId="5D59A324" w14:textId="77777777" w:rsidR="00B203CD" w:rsidRPr="00B561C3" w:rsidRDefault="00B203CD" w:rsidP="004C567F">
            <w:pPr>
              <w:pStyle w:val="Tabletextleftindent"/>
              <w:rPr>
                <w:b/>
              </w:rPr>
            </w:pPr>
            <w:r w:rsidRPr="00B561C3">
              <w:t>Greater Hobart</w:t>
            </w:r>
          </w:p>
        </w:tc>
        <w:tc>
          <w:tcPr>
            <w:tcW w:w="0" w:type="dxa"/>
            <w:tcBorders>
              <w:top w:val="nil"/>
              <w:left w:val="nil"/>
              <w:bottom w:val="nil"/>
              <w:right w:val="nil"/>
            </w:tcBorders>
            <w:vAlign w:val="center"/>
          </w:tcPr>
          <w:p w14:paraId="52D495B0" w14:textId="3C00A643" w:rsidR="00B203CD" w:rsidRPr="00E20618" w:rsidRDefault="00D67BC4" w:rsidP="004C567F">
            <w:pPr>
              <w:pStyle w:val="TableTextRight"/>
              <w:rPr>
                <w:rFonts w:cstheme="minorHAnsi"/>
              </w:rPr>
            </w:pPr>
            <w:r w:rsidRPr="00A85CD9">
              <w:t>0.8</w:t>
            </w:r>
          </w:p>
        </w:tc>
        <w:tc>
          <w:tcPr>
            <w:tcW w:w="0" w:type="dxa"/>
            <w:tcBorders>
              <w:top w:val="nil"/>
              <w:left w:val="nil"/>
              <w:bottom w:val="nil"/>
              <w:right w:val="nil"/>
            </w:tcBorders>
            <w:shd w:val="clear" w:color="auto" w:fill="D2EDFF" w:themeFill="accent1" w:themeFillTint="1A"/>
            <w:vAlign w:val="center"/>
          </w:tcPr>
          <w:p w14:paraId="407F5336" w14:textId="7FF732ED" w:rsidR="00B203CD" w:rsidRPr="00E20618" w:rsidRDefault="00D67BC4" w:rsidP="004C567F">
            <w:pPr>
              <w:pStyle w:val="TableTextRight"/>
              <w:rPr>
                <w:rFonts w:cstheme="minorHAnsi"/>
              </w:rPr>
            </w:pPr>
            <w:r w:rsidRPr="00A85CD9">
              <w:t>0.8</w:t>
            </w:r>
          </w:p>
        </w:tc>
        <w:tc>
          <w:tcPr>
            <w:tcW w:w="0" w:type="dxa"/>
            <w:tcBorders>
              <w:top w:val="nil"/>
              <w:left w:val="nil"/>
              <w:bottom w:val="nil"/>
              <w:right w:val="nil"/>
            </w:tcBorders>
            <w:vAlign w:val="center"/>
          </w:tcPr>
          <w:p w14:paraId="6FA80306" w14:textId="49699F17" w:rsidR="00B203CD" w:rsidRPr="00E20618" w:rsidRDefault="00D67BC4" w:rsidP="004C567F">
            <w:pPr>
              <w:pStyle w:val="TableTextRight"/>
              <w:rPr>
                <w:rFonts w:cstheme="minorHAnsi"/>
              </w:rPr>
            </w:pPr>
            <w:r w:rsidRPr="00A85CD9">
              <w:t>0.9</w:t>
            </w:r>
          </w:p>
        </w:tc>
        <w:tc>
          <w:tcPr>
            <w:tcW w:w="0" w:type="dxa"/>
            <w:tcBorders>
              <w:top w:val="nil"/>
              <w:left w:val="nil"/>
              <w:bottom w:val="nil"/>
              <w:right w:val="nil"/>
            </w:tcBorders>
            <w:vAlign w:val="center"/>
          </w:tcPr>
          <w:p w14:paraId="1B88F72A" w14:textId="74090BE5" w:rsidR="00B203CD" w:rsidRPr="00E20618" w:rsidRDefault="00D67BC4" w:rsidP="004C567F">
            <w:pPr>
              <w:pStyle w:val="TableTextRight"/>
              <w:rPr>
                <w:rFonts w:cstheme="minorHAnsi"/>
              </w:rPr>
            </w:pPr>
            <w:r w:rsidRPr="00A85CD9">
              <w:t>0.9</w:t>
            </w:r>
          </w:p>
        </w:tc>
        <w:tc>
          <w:tcPr>
            <w:tcW w:w="0" w:type="dxa"/>
            <w:tcBorders>
              <w:top w:val="nil"/>
              <w:left w:val="nil"/>
              <w:bottom w:val="nil"/>
              <w:right w:val="single" w:sz="4" w:space="0" w:color="auto"/>
            </w:tcBorders>
            <w:vAlign w:val="center"/>
          </w:tcPr>
          <w:p w14:paraId="707ED501" w14:textId="1A1A4887" w:rsidR="00B203CD" w:rsidRPr="00E20618" w:rsidRDefault="00D67BC4" w:rsidP="004C567F">
            <w:pPr>
              <w:pStyle w:val="TableTextRight"/>
              <w:rPr>
                <w:rFonts w:cstheme="minorHAnsi"/>
              </w:rPr>
            </w:pPr>
            <w:r w:rsidRPr="00A85CD9">
              <w:t>0.9</w:t>
            </w:r>
          </w:p>
        </w:tc>
        <w:tc>
          <w:tcPr>
            <w:tcW w:w="0" w:type="dxa"/>
            <w:tcBorders>
              <w:top w:val="nil"/>
              <w:left w:val="single" w:sz="4" w:space="0" w:color="auto"/>
              <w:bottom w:val="nil"/>
              <w:right w:val="nil"/>
            </w:tcBorders>
            <w:vAlign w:val="center"/>
          </w:tcPr>
          <w:p w14:paraId="4CBE83E5" w14:textId="7D5D3217" w:rsidR="00B203CD" w:rsidRPr="00E20618" w:rsidRDefault="00D67BC4" w:rsidP="004C567F">
            <w:pPr>
              <w:pStyle w:val="TableTextRight"/>
              <w:rPr>
                <w:rFonts w:cstheme="minorHAnsi"/>
              </w:rPr>
            </w:pPr>
            <w:r w:rsidRPr="00A85CD9">
              <w:t>0.5</w:t>
            </w:r>
          </w:p>
        </w:tc>
      </w:tr>
      <w:tr w:rsidR="00F67DB6" w:rsidRPr="00485E58" w14:paraId="40D6FA6E" w14:textId="77777777">
        <w:tc>
          <w:tcPr>
            <w:tcW w:w="0" w:type="dxa"/>
            <w:tcBorders>
              <w:bottom w:val="nil"/>
            </w:tcBorders>
          </w:tcPr>
          <w:p w14:paraId="203D85D3" w14:textId="77777777" w:rsidR="00B203CD" w:rsidRPr="00B561C3" w:rsidRDefault="00B203CD" w:rsidP="004C567F">
            <w:pPr>
              <w:pStyle w:val="Tabletextleftindent"/>
              <w:rPr>
                <w:b/>
              </w:rPr>
            </w:pPr>
            <w:r w:rsidRPr="00B561C3">
              <w:t>Rest of Tasmania</w:t>
            </w:r>
          </w:p>
        </w:tc>
        <w:tc>
          <w:tcPr>
            <w:tcW w:w="0" w:type="dxa"/>
            <w:tcBorders>
              <w:top w:val="nil"/>
              <w:left w:val="nil"/>
              <w:bottom w:val="nil"/>
              <w:right w:val="nil"/>
            </w:tcBorders>
            <w:vAlign w:val="center"/>
          </w:tcPr>
          <w:p w14:paraId="7343A346" w14:textId="7B578E65" w:rsidR="00B203CD" w:rsidRPr="00E20618" w:rsidRDefault="00D67BC4" w:rsidP="004C567F">
            <w:pPr>
              <w:pStyle w:val="TableTextRight"/>
              <w:rPr>
                <w:rFonts w:cstheme="minorHAnsi"/>
              </w:rPr>
            </w:pPr>
            <w:r w:rsidRPr="00A85CD9">
              <w:t>0.1</w:t>
            </w:r>
          </w:p>
        </w:tc>
        <w:tc>
          <w:tcPr>
            <w:tcW w:w="0" w:type="dxa"/>
            <w:tcBorders>
              <w:top w:val="nil"/>
              <w:left w:val="nil"/>
              <w:bottom w:val="nil"/>
              <w:right w:val="nil"/>
            </w:tcBorders>
            <w:shd w:val="clear" w:color="auto" w:fill="D2EDFF" w:themeFill="accent1" w:themeFillTint="1A"/>
            <w:vAlign w:val="center"/>
          </w:tcPr>
          <w:p w14:paraId="04DBBA68" w14:textId="12A76ABF" w:rsidR="00B203CD" w:rsidRPr="00E20618" w:rsidRDefault="009E44DB" w:rsidP="004C567F">
            <w:pPr>
              <w:pStyle w:val="TableTextRight"/>
              <w:rPr>
                <w:rFonts w:cstheme="minorHAnsi"/>
              </w:rPr>
            </w:pPr>
            <w:r>
              <w:rPr>
                <w:rFonts w:cs="Calibri"/>
              </w:rPr>
              <w:t>-</w:t>
            </w:r>
            <w:r w:rsidR="00D67BC4" w:rsidRPr="00A85CD9">
              <w:t>0.2</w:t>
            </w:r>
          </w:p>
        </w:tc>
        <w:tc>
          <w:tcPr>
            <w:tcW w:w="0" w:type="dxa"/>
            <w:tcBorders>
              <w:top w:val="nil"/>
              <w:left w:val="nil"/>
              <w:bottom w:val="nil"/>
              <w:right w:val="nil"/>
            </w:tcBorders>
            <w:vAlign w:val="center"/>
          </w:tcPr>
          <w:p w14:paraId="7C8AD290" w14:textId="3BB6D7B6" w:rsidR="00B203CD" w:rsidRPr="00E20618" w:rsidRDefault="009E44DB" w:rsidP="004C567F">
            <w:pPr>
              <w:pStyle w:val="TableTextRight"/>
              <w:rPr>
                <w:rFonts w:cstheme="minorHAnsi"/>
              </w:rPr>
            </w:pPr>
            <w:r>
              <w:rPr>
                <w:rFonts w:cs="Calibri"/>
              </w:rPr>
              <w:t>-</w:t>
            </w:r>
            <w:r w:rsidR="00D67BC4" w:rsidRPr="00A85CD9">
              <w:t>0.1</w:t>
            </w:r>
          </w:p>
        </w:tc>
        <w:tc>
          <w:tcPr>
            <w:tcW w:w="0" w:type="dxa"/>
            <w:tcBorders>
              <w:top w:val="nil"/>
              <w:left w:val="nil"/>
              <w:bottom w:val="nil"/>
              <w:right w:val="nil"/>
            </w:tcBorders>
            <w:vAlign w:val="center"/>
          </w:tcPr>
          <w:p w14:paraId="74BCD3A6" w14:textId="5C487FB9" w:rsidR="00B203CD" w:rsidRPr="00E20618" w:rsidRDefault="00D67BC4" w:rsidP="004C567F">
            <w:pPr>
              <w:pStyle w:val="TableTextRight"/>
              <w:rPr>
                <w:rFonts w:cstheme="minorHAnsi"/>
              </w:rPr>
            </w:pPr>
            <w:r w:rsidRPr="00A85CD9">
              <w:t>0.0</w:t>
            </w:r>
          </w:p>
        </w:tc>
        <w:tc>
          <w:tcPr>
            <w:tcW w:w="0" w:type="dxa"/>
            <w:tcBorders>
              <w:top w:val="nil"/>
              <w:left w:val="nil"/>
              <w:bottom w:val="nil"/>
              <w:right w:val="single" w:sz="4" w:space="0" w:color="auto"/>
            </w:tcBorders>
            <w:vAlign w:val="center"/>
          </w:tcPr>
          <w:p w14:paraId="0B107288" w14:textId="6458B1FF" w:rsidR="00B203CD" w:rsidRPr="00E20618" w:rsidRDefault="00D67BC4" w:rsidP="004C567F">
            <w:pPr>
              <w:pStyle w:val="TableTextRight"/>
              <w:rPr>
                <w:rFonts w:cstheme="minorHAnsi"/>
              </w:rPr>
            </w:pPr>
            <w:r w:rsidRPr="00A85CD9">
              <w:t>0.0</w:t>
            </w:r>
          </w:p>
        </w:tc>
        <w:tc>
          <w:tcPr>
            <w:tcW w:w="0" w:type="dxa"/>
            <w:tcBorders>
              <w:top w:val="nil"/>
              <w:left w:val="single" w:sz="4" w:space="0" w:color="auto"/>
              <w:bottom w:val="nil"/>
              <w:right w:val="nil"/>
            </w:tcBorders>
            <w:vAlign w:val="center"/>
          </w:tcPr>
          <w:p w14:paraId="11067C30" w14:textId="707E2F0A" w:rsidR="00B203CD" w:rsidRPr="00E20618" w:rsidRDefault="009E44DB" w:rsidP="004C567F">
            <w:pPr>
              <w:pStyle w:val="TableTextRight"/>
              <w:rPr>
                <w:rFonts w:cstheme="minorHAnsi"/>
              </w:rPr>
            </w:pPr>
            <w:r>
              <w:rPr>
                <w:rFonts w:cs="Calibri"/>
              </w:rPr>
              <w:t>-</w:t>
            </w:r>
            <w:r w:rsidR="00D67BC4" w:rsidRPr="00A85CD9">
              <w:t>0.6</w:t>
            </w:r>
          </w:p>
        </w:tc>
      </w:tr>
      <w:tr w:rsidR="00F67DB6" w:rsidRPr="00485E58" w14:paraId="448E8F48" w14:textId="77777777">
        <w:tc>
          <w:tcPr>
            <w:tcW w:w="0" w:type="dxa"/>
            <w:tcBorders>
              <w:top w:val="nil"/>
            </w:tcBorders>
          </w:tcPr>
          <w:p w14:paraId="12522242" w14:textId="7358FF6B" w:rsidR="00B203CD" w:rsidRPr="00A85CD9" w:rsidRDefault="00B203CD" w:rsidP="004C567F">
            <w:pPr>
              <w:pStyle w:val="TableColumnHeadingLeft"/>
            </w:pPr>
            <w:r w:rsidRPr="00B561C3">
              <w:t>Net overseas migration (</w:t>
            </w:r>
            <w:r w:rsidR="004B14AB" w:rsidRPr="00B561C3">
              <w:t>‘</w:t>
            </w:r>
            <w:r w:rsidRPr="00B561C3">
              <w:t>000)</w:t>
            </w:r>
          </w:p>
        </w:tc>
        <w:tc>
          <w:tcPr>
            <w:tcW w:w="0" w:type="dxa"/>
            <w:tcBorders>
              <w:top w:val="nil"/>
              <w:left w:val="nil"/>
              <w:bottom w:val="nil"/>
              <w:right w:val="nil"/>
            </w:tcBorders>
            <w:vAlign w:val="center"/>
          </w:tcPr>
          <w:p w14:paraId="73F8FEB6" w14:textId="77777777" w:rsidR="00B203CD" w:rsidRPr="00E20618" w:rsidRDefault="00B203CD"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325089EC" w14:textId="69FC0233" w:rsidR="00B203CD" w:rsidRPr="00E20618" w:rsidRDefault="00D67BC4" w:rsidP="004C567F">
            <w:pPr>
              <w:pStyle w:val="TableTextRight"/>
              <w:rPr>
                <w:rFonts w:cstheme="minorHAnsi"/>
              </w:rPr>
            </w:pPr>
            <w:r w:rsidRPr="00A85CD9">
              <w:t> </w:t>
            </w:r>
          </w:p>
        </w:tc>
        <w:tc>
          <w:tcPr>
            <w:tcW w:w="0" w:type="dxa"/>
            <w:tcBorders>
              <w:top w:val="nil"/>
              <w:left w:val="nil"/>
              <w:bottom w:val="nil"/>
              <w:right w:val="nil"/>
            </w:tcBorders>
            <w:vAlign w:val="center"/>
          </w:tcPr>
          <w:p w14:paraId="56C7FBAC" w14:textId="77777777" w:rsidR="00B203CD" w:rsidRPr="00E20618" w:rsidRDefault="00B203CD" w:rsidP="004C567F">
            <w:pPr>
              <w:pStyle w:val="TableTextRight"/>
              <w:rPr>
                <w:rFonts w:cstheme="minorHAnsi"/>
              </w:rPr>
            </w:pPr>
          </w:p>
        </w:tc>
        <w:tc>
          <w:tcPr>
            <w:tcW w:w="0" w:type="dxa"/>
            <w:tcBorders>
              <w:top w:val="nil"/>
              <w:left w:val="nil"/>
              <w:bottom w:val="nil"/>
              <w:right w:val="nil"/>
            </w:tcBorders>
            <w:vAlign w:val="center"/>
          </w:tcPr>
          <w:p w14:paraId="510EE6A0" w14:textId="77777777" w:rsidR="00B203CD" w:rsidRPr="00E20618" w:rsidRDefault="00B203CD" w:rsidP="004C567F">
            <w:pPr>
              <w:pStyle w:val="TableTextRight"/>
              <w:rPr>
                <w:rFonts w:cstheme="minorHAnsi"/>
              </w:rPr>
            </w:pPr>
          </w:p>
        </w:tc>
        <w:tc>
          <w:tcPr>
            <w:tcW w:w="0" w:type="dxa"/>
            <w:tcBorders>
              <w:top w:val="nil"/>
              <w:left w:val="nil"/>
              <w:bottom w:val="nil"/>
              <w:right w:val="single" w:sz="4" w:space="0" w:color="auto"/>
            </w:tcBorders>
            <w:vAlign w:val="center"/>
          </w:tcPr>
          <w:p w14:paraId="43B26C9B" w14:textId="03ED3EE4" w:rsidR="00B203CD" w:rsidRPr="00E20618" w:rsidRDefault="00D67BC4" w:rsidP="004C567F">
            <w:pPr>
              <w:pStyle w:val="TableTextRight"/>
              <w:rPr>
                <w:rFonts w:cstheme="minorHAnsi"/>
              </w:rPr>
            </w:pPr>
            <w:r w:rsidRPr="00A85CD9">
              <w:t> </w:t>
            </w:r>
          </w:p>
        </w:tc>
        <w:tc>
          <w:tcPr>
            <w:tcW w:w="0" w:type="dxa"/>
            <w:tcBorders>
              <w:top w:val="nil"/>
              <w:left w:val="single" w:sz="4" w:space="0" w:color="auto"/>
              <w:bottom w:val="nil"/>
              <w:right w:val="nil"/>
            </w:tcBorders>
            <w:vAlign w:val="center"/>
          </w:tcPr>
          <w:p w14:paraId="2EFD400A" w14:textId="77777777" w:rsidR="00B203CD" w:rsidRPr="00E20618" w:rsidRDefault="00B203CD" w:rsidP="004C567F">
            <w:pPr>
              <w:pStyle w:val="TableTextRight"/>
              <w:rPr>
                <w:rFonts w:cstheme="minorHAnsi"/>
              </w:rPr>
            </w:pPr>
          </w:p>
        </w:tc>
      </w:tr>
      <w:tr w:rsidR="00A85CD9" w:rsidRPr="00485E58" w14:paraId="713A9D4B" w14:textId="77777777" w:rsidTr="00A85CD9">
        <w:tc>
          <w:tcPr>
            <w:tcW w:w="0" w:type="dxa"/>
          </w:tcPr>
          <w:p w14:paraId="2C1B9A38" w14:textId="77777777" w:rsidR="00B203CD" w:rsidRPr="00A85CD9" w:rsidRDefault="00B203CD" w:rsidP="004C567F">
            <w:pPr>
              <w:pStyle w:val="TableTextLeft"/>
              <w:rPr>
                <w:b/>
              </w:rPr>
            </w:pPr>
            <w:r w:rsidRPr="00A85CD9">
              <w:t>Tasmania</w:t>
            </w:r>
          </w:p>
        </w:tc>
        <w:tc>
          <w:tcPr>
            <w:tcW w:w="0" w:type="dxa"/>
            <w:tcBorders>
              <w:top w:val="nil"/>
              <w:left w:val="nil"/>
              <w:bottom w:val="nil"/>
              <w:right w:val="nil"/>
            </w:tcBorders>
            <w:vAlign w:val="center"/>
          </w:tcPr>
          <w:p w14:paraId="39F820C0" w14:textId="3F925492" w:rsidR="00B203CD" w:rsidRPr="00E20618" w:rsidRDefault="00D67BC4" w:rsidP="004C567F">
            <w:pPr>
              <w:pStyle w:val="TableTextRight"/>
              <w:rPr>
                <w:rFonts w:cstheme="minorHAnsi"/>
              </w:rPr>
            </w:pPr>
            <w:r w:rsidRPr="00A85CD9">
              <w:t>3.3</w:t>
            </w:r>
          </w:p>
        </w:tc>
        <w:tc>
          <w:tcPr>
            <w:tcW w:w="0" w:type="dxa"/>
            <w:tcBorders>
              <w:top w:val="nil"/>
              <w:left w:val="nil"/>
              <w:bottom w:val="nil"/>
              <w:right w:val="nil"/>
            </w:tcBorders>
            <w:shd w:val="clear" w:color="auto" w:fill="D2EDFF" w:themeFill="accent1" w:themeFillTint="1A"/>
            <w:vAlign w:val="center"/>
          </w:tcPr>
          <w:p w14:paraId="7F0D2762" w14:textId="6BC3312A" w:rsidR="00B203CD" w:rsidRPr="00E20618" w:rsidRDefault="00D67BC4" w:rsidP="004C567F">
            <w:pPr>
              <w:pStyle w:val="TableTextRight"/>
              <w:rPr>
                <w:rFonts w:cstheme="minorHAnsi"/>
              </w:rPr>
            </w:pPr>
            <w:r w:rsidRPr="00A85CD9">
              <w:t>4.6</w:t>
            </w:r>
          </w:p>
        </w:tc>
        <w:tc>
          <w:tcPr>
            <w:tcW w:w="0" w:type="dxa"/>
            <w:tcBorders>
              <w:top w:val="nil"/>
              <w:left w:val="nil"/>
              <w:bottom w:val="nil"/>
              <w:right w:val="nil"/>
            </w:tcBorders>
            <w:vAlign w:val="center"/>
          </w:tcPr>
          <w:p w14:paraId="36ACDF4D" w14:textId="33DF8F3D" w:rsidR="00B203CD" w:rsidRPr="00E20618" w:rsidRDefault="00D67BC4" w:rsidP="004C567F">
            <w:pPr>
              <w:pStyle w:val="TableTextRight"/>
              <w:rPr>
                <w:rFonts w:cstheme="minorHAnsi"/>
              </w:rPr>
            </w:pPr>
            <w:r w:rsidRPr="00A85CD9">
              <w:t>5.</w:t>
            </w:r>
            <w:r w:rsidR="009E44DB">
              <w:rPr>
                <w:rFonts w:cs="Calibri"/>
              </w:rPr>
              <w:t>5</w:t>
            </w:r>
          </w:p>
        </w:tc>
        <w:tc>
          <w:tcPr>
            <w:tcW w:w="0" w:type="dxa"/>
            <w:tcBorders>
              <w:top w:val="nil"/>
              <w:left w:val="nil"/>
              <w:bottom w:val="nil"/>
              <w:right w:val="nil"/>
            </w:tcBorders>
            <w:vAlign w:val="center"/>
          </w:tcPr>
          <w:p w14:paraId="20FF5AD3" w14:textId="2286F3B3" w:rsidR="00B203CD" w:rsidRPr="00E20618" w:rsidRDefault="009E44DB" w:rsidP="004C567F">
            <w:pPr>
              <w:pStyle w:val="TableTextRight"/>
              <w:rPr>
                <w:rFonts w:cstheme="minorHAnsi"/>
              </w:rPr>
            </w:pPr>
            <w:r>
              <w:rPr>
                <w:rFonts w:cs="Calibri"/>
              </w:rPr>
              <w:t>4.6</w:t>
            </w:r>
          </w:p>
        </w:tc>
        <w:tc>
          <w:tcPr>
            <w:tcW w:w="0" w:type="dxa"/>
            <w:tcBorders>
              <w:top w:val="nil"/>
              <w:left w:val="nil"/>
              <w:bottom w:val="nil"/>
              <w:right w:val="single" w:sz="4" w:space="0" w:color="auto"/>
            </w:tcBorders>
            <w:vAlign w:val="center"/>
          </w:tcPr>
          <w:p w14:paraId="7F4C1FEC" w14:textId="2E3FDA04" w:rsidR="00B203CD" w:rsidRPr="00E20618" w:rsidRDefault="00D67BC4" w:rsidP="004C567F">
            <w:pPr>
              <w:pStyle w:val="TableTextRight"/>
              <w:rPr>
                <w:rFonts w:cstheme="minorHAnsi"/>
              </w:rPr>
            </w:pPr>
            <w:r w:rsidRPr="00A85CD9">
              <w:t>4.</w:t>
            </w:r>
            <w:r w:rsidR="009E44DB">
              <w:rPr>
                <w:rFonts w:cs="Calibri"/>
              </w:rPr>
              <w:t>6</w:t>
            </w:r>
          </w:p>
        </w:tc>
        <w:tc>
          <w:tcPr>
            <w:tcW w:w="0" w:type="dxa"/>
            <w:tcBorders>
              <w:top w:val="nil"/>
              <w:left w:val="single" w:sz="4" w:space="0" w:color="auto"/>
              <w:bottom w:val="nil"/>
              <w:right w:val="nil"/>
            </w:tcBorders>
            <w:vAlign w:val="center"/>
          </w:tcPr>
          <w:p w14:paraId="2671A7AF" w14:textId="629BA9F0" w:rsidR="00B203CD" w:rsidRPr="00E20618" w:rsidRDefault="00D67BC4" w:rsidP="004C567F">
            <w:pPr>
              <w:pStyle w:val="TableTextRight"/>
              <w:rPr>
                <w:rFonts w:cstheme="minorHAnsi"/>
              </w:rPr>
            </w:pPr>
            <w:r w:rsidRPr="00A85CD9">
              <w:t>4.</w:t>
            </w:r>
            <w:r w:rsidR="009E44DB">
              <w:rPr>
                <w:rFonts w:cs="Calibri"/>
              </w:rPr>
              <w:t>5</w:t>
            </w:r>
          </w:p>
        </w:tc>
      </w:tr>
      <w:tr w:rsidR="00A85CD9" w:rsidRPr="00485E58" w14:paraId="7581755A" w14:textId="77777777" w:rsidTr="00A85CD9">
        <w:tc>
          <w:tcPr>
            <w:tcW w:w="0" w:type="dxa"/>
          </w:tcPr>
          <w:p w14:paraId="70B13357" w14:textId="77777777" w:rsidR="00B203CD" w:rsidRPr="00B561C3" w:rsidRDefault="00B203CD" w:rsidP="004C567F">
            <w:pPr>
              <w:pStyle w:val="Tabletextleftindent"/>
              <w:rPr>
                <w:b/>
              </w:rPr>
            </w:pPr>
            <w:r w:rsidRPr="00B561C3">
              <w:t>Greater Hobart</w:t>
            </w:r>
          </w:p>
        </w:tc>
        <w:tc>
          <w:tcPr>
            <w:tcW w:w="0" w:type="dxa"/>
            <w:tcBorders>
              <w:top w:val="nil"/>
              <w:left w:val="nil"/>
              <w:bottom w:val="nil"/>
              <w:right w:val="nil"/>
            </w:tcBorders>
            <w:vAlign w:val="center"/>
          </w:tcPr>
          <w:p w14:paraId="590B7C6D" w14:textId="236AE3B5" w:rsidR="00B203CD" w:rsidRPr="00E20618" w:rsidRDefault="00D67BC4" w:rsidP="004C567F">
            <w:pPr>
              <w:pStyle w:val="TableTextRight"/>
              <w:rPr>
                <w:rFonts w:cstheme="minorHAnsi"/>
              </w:rPr>
            </w:pPr>
            <w:r w:rsidRPr="00A85CD9">
              <w:t>1.8</w:t>
            </w:r>
          </w:p>
        </w:tc>
        <w:tc>
          <w:tcPr>
            <w:tcW w:w="0" w:type="dxa"/>
            <w:tcBorders>
              <w:top w:val="nil"/>
              <w:left w:val="nil"/>
              <w:bottom w:val="nil"/>
              <w:right w:val="nil"/>
            </w:tcBorders>
            <w:shd w:val="clear" w:color="auto" w:fill="D2EDFF" w:themeFill="accent1" w:themeFillTint="1A"/>
            <w:vAlign w:val="center"/>
          </w:tcPr>
          <w:p w14:paraId="28B14A20" w14:textId="56AE5731" w:rsidR="00B203CD" w:rsidRPr="00E20618" w:rsidRDefault="00D67BC4" w:rsidP="004C567F">
            <w:pPr>
              <w:pStyle w:val="TableTextRight"/>
              <w:rPr>
                <w:rFonts w:cstheme="minorHAnsi"/>
              </w:rPr>
            </w:pPr>
            <w:r w:rsidRPr="00A85CD9">
              <w:t>2.8</w:t>
            </w:r>
          </w:p>
        </w:tc>
        <w:tc>
          <w:tcPr>
            <w:tcW w:w="0" w:type="dxa"/>
            <w:tcBorders>
              <w:top w:val="nil"/>
              <w:left w:val="nil"/>
              <w:bottom w:val="nil"/>
              <w:right w:val="nil"/>
            </w:tcBorders>
            <w:vAlign w:val="center"/>
          </w:tcPr>
          <w:p w14:paraId="34757003" w14:textId="08D337E7" w:rsidR="00B203CD" w:rsidRPr="00E20618" w:rsidRDefault="00D67BC4" w:rsidP="004C567F">
            <w:pPr>
              <w:pStyle w:val="TableTextRight"/>
              <w:rPr>
                <w:rFonts w:cstheme="minorHAnsi"/>
              </w:rPr>
            </w:pPr>
            <w:r w:rsidRPr="00A85CD9">
              <w:t>3.</w:t>
            </w:r>
            <w:r w:rsidR="009E44DB">
              <w:rPr>
                <w:rFonts w:cs="Calibri"/>
              </w:rPr>
              <w:t>4</w:t>
            </w:r>
          </w:p>
        </w:tc>
        <w:tc>
          <w:tcPr>
            <w:tcW w:w="0" w:type="dxa"/>
            <w:tcBorders>
              <w:top w:val="nil"/>
              <w:left w:val="nil"/>
              <w:bottom w:val="nil"/>
              <w:right w:val="nil"/>
            </w:tcBorders>
            <w:vAlign w:val="center"/>
          </w:tcPr>
          <w:p w14:paraId="1856FA62" w14:textId="2A1458FC" w:rsidR="00B203CD" w:rsidRPr="00E20618" w:rsidRDefault="009E44DB" w:rsidP="004C567F">
            <w:pPr>
              <w:pStyle w:val="TableTextRight"/>
              <w:rPr>
                <w:rFonts w:cstheme="minorHAnsi"/>
              </w:rPr>
            </w:pPr>
            <w:r>
              <w:rPr>
                <w:rFonts w:cs="Calibri"/>
              </w:rPr>
              <w:t>2.8</w:t>
            </w:r>
          </w:p>
        </w:tc>
        <w:tc>
          <w:tcPr>
            <w:tcW w:w="0" w:type="dxa"/>
            <w:tcBorders>
              <w:top w:val="nil"/>
              <w:left w:val="nil"/>
              <w:bottom w:val="nil"/>
              <w:right w:val="single" w:sz="4" w:space="0" w:color="auto"/>
            </w:tcBorders>
            <w:vAlign w:val="center"/>
          </w:tcPr>
          <w:p w14:paraId="5BD04C87" w14:textId="69A67AA2" w:rsidR="00B203CD" w:rsidRPr="00E20618" w:rsidRDefault="009E44DB" w:rsidP="004C567F">
            <w:pPr>
              <w:pStyle w:val="TableTextRight"/>
              <w:rPr>
                <w:rFonts w:cstheme="minorHAnsi"/>
              </w:rPr>
            </w:pPr>
            <w:r>
              <w:rPr>
                <w:rFonts w:cs="Calibri"/>
              </w:rPr>
              <w:t>2.8</w:t>
            </w:r>
          </w:p>
        </w:tc>
        <w:tc>
          <w:tcPr>
            <w:tcW w:w="0" w:type="dxa"/>
            <w:tcBorders>
              <w:top w:val="nil"/>
              <w:left w:val="single" w:sz="4" w:space="0" w:color="auto"/>
              <w:bottom w:val="nil"/>
              <w:right w:val="nil"/>
            </w:tcBorders>
            <w:vAlign w:val="center"/>
          </w:tcPr>
          <w:p w14:paraId="6114C975" w14:textId="32BB96CF" w:rsidR="00B203CD" w:rsidRPr="00E20618" w:rsidRDefault="00D67BC4" w:rsidP="004C567F">
            <w:pPr>
              <w:pStyle w:val="TableTextRight"/>
              <w:rPr>
                <w:rFonts w:cstheme="minorHAnsi"/>
              </w:rPr>
            </w:pPr>
            <w:r w:rsidRPr="00A85CD9">
              <w:t>2.</w:t>
            </w:r>
            <w:r w:rsidR="009E44DB">
              <w:rPr>
                <w:rFonts w:cs="Calibri"/>
              </w:rPr>
              <w:t>7</w:t>
            </w:r>
          </w:p>
        </w:tc>
      </w:tr>
      <w:tr w:rsidR="00A85CD9" w:rsidRPr="00485E58" w14:paraId="709A294D" w14:textId="77777777" w:rsidTr="00A85CD9">
        <w:tc>
          <w:tcPr>
            <w:tcW w:w="0" w:type="dxa"/>
          </w:tcPr>
          <w:p w14:paraId="027FF476" w14:textId="77777777" w:rsidR="00B203CD" w:rsidRPr="00B561C3" w:rsidRDefault="00B203CD" w:rsidP="004C567F">
            <w:pPr>
              <w:pStyle w:val="Tabletextleftindent"/>
              <w:rPr>
                <w:b/>
              </w:rPr>
            </w:pPr>
            <w:r w:rsidRPr="00B561C3">
              <w:t>Rest of Tasmania</w:t>
            </w:r>
          </w:p>
        </w:tc>
        <w:tc>
          <w:tcPr>
            <w:tcW w:w="0" w:type="dxa"/>
            <w:tcBorders>
              <w:top w:val="nil"/>
              <w:left w:val="nil"/>
              <w:bottom w:val="nil"/>
              <w:right w:val="nil"/>
            </w:tcBorders>
            <w:vAlign w:val="center"/>
          </w:tcPr>
          <w:p w14:paraId="01D2029A" w14:textId="53FC0C38" w:rsidR="00B203CD" w:rsidRPr="00E20618" w:rsidRDefault="00D67BC4" w:rsidP="004C567F">
            <w:pPr>
              <w:pStyle w:val="TableTextRight"/>
              <w:rPr>
                <w:rFonts w:cstheme="minorHAnsi"/>
              </w:rPr>
            </w:pPr>
            <w:r w:rsidRPr="00A85CD9">
              <w:t>1.4</w:t>
            </w:r>
          </w:p>
        </w:tc>
        <w:tc>
          <w:tcPr>
            <w:tcW w:w="0" w:type="dxa"/>
            <w:tcBorders>
              <w:top w:val="nil"/>
              <w:left w:val="nil"/>
              <w:bottom w:val="nil"/>
              <w:right w:val="nil"/>
            </w:tcBorders>
            <w:shd w:val="clear" w:color="auto" w:fill="D2EDFF" w:themeFill="accent1" w:themeFillTint="1A"/>
            <w:vAlign w:val="center"/>
          </w:tcPr>
          <w:p w14:paraId="70BA761B" w14:textId="076DB336" w:rsidR="00B203CD" w:rsidRPr="00E20618" w:rsidRDefault="00D67BC4" w:rsidP="004C567F">
            <w:pPr>
              <w:pStyle w:val="TableTextRight"/>
              <w:rPr>
                <w:rFonts w:cstheme="minorHAnsi"/>
              </w:rPr>
            </w:pPr>
            <w:r w:rsidRPr="00A85CD9">
              <w:t>1.8</w:t>
            </w:r>
          </w:p>
        </w:tc>
        <w:tc>
          <w:tcPr>
            <w:tcW w:w="0" w:type="dxa"/>
            <w:tcBorders>
              <w:top w:val="nil"/>
              <w:left w:val="nil"/>
              <w:bottom w:val="nil"/>
              <w:right w:val="nil"/>
            </w:tcBorders>
            <w:vAlign w:val="center"/>
          </w:tcPr>
          <w:p w14:paraId="3C51E86F" w14:textId="619543A3" w:rsidR="00B203CD" w:rsidRPr="00E20618" w:rsidRDefault="00D67BC4" w:rsidP="004C567F">
            <w:pPr>
              <w:pStyle w:val="TableTextRight"/>
              <w:rPr>
                <w:rFonts w:cstheme="minorHAnsi"/>
              </w:rPr>
            </w:pPr>
            <w:r w:rsidRPr="00A85CD9">
              <w:t>2.</w:t>
            </w:r>
            <w:r w:rsidR="009E44DB">
              <w:rPr>
                <w:rFonts w:cs="Calibri"/>
              </w:rPr>
              <w:t>2</w:t>
            </w:r>
          </w:p>
        </w:tc>
        <w:tc>
          <w:tcPr>
            <w:tcW w:w="0" w:type="dxa"/>
            <w:tcBorders>
              <w:top w:val="nil"/>
              <w:left w:val="nil"/>
              <w:bottom w:val="nil"/>
              <w:right w:val="nil"/>
            </w:tcBorders>
            <w:vAlign w:val="center"/>
          </w:tcPr>
          <w:p w14:paraId="2D4EBB9F" w14:textId="3650A626" w:rsidR="00B203CD" w:rsidRPr="00E20618" w:rsidRDefault="00D67BC4" w:rsidP="004C567F">
            <w:pPr>
              <w:pStyle w:val="TableTextRight"/>
              <w:rPr>
                <w:rFonts w:cstheme="minorHAnsi"/>
              </w:rPr>
            </w:pPr>
            <w:r w:rsidRPr="00A85CD9">
              <w:t>1.</w:t>
            </w:r>
            <w:r w:rsidR="009E44DB">
              <w:rPr>
                <w:rFonts w:cs="Calibri"/>
              </w:rPr>
              <w:t>8</w:t>
            </w:r>
          </w:p>
        </w:tc>
        <w:tc>
          <w:tcPr>
            <w:tcW w:w="0" w:type="dxa"/>
            <w:tcBorders>
              <w:top w:val="nil"/>
              <w:left w:val="nil"/>
              <w:bottom w:val="nil"/>
              <w:right w:val="single" w:sz="4" w:space="0" w:color="auto"/>
            </w:tcBorders>
            <w:vAlign w:val="center"/>
          </w:tcPr>
          <w:p w14:paraId="40809FAC" w14:textId="4F02C2CA" w:rsidR="00B203CD" w:rsidRPr="00E20618" w:rsidRDefault="00D67BC4" w:rsidP="004C567F">
            <w:pPr>
              <w:pStyle w:val="TableTextRight"/>
              <w:rPr>
                <w:rFonts w:cstheme="minorHAnsi"/>
              </w:rPr>
            </w:pPr>
            <w:r w:rsidRPr="00A85CD9">
              <w:t>1.</w:t>
            </w:r>
            <w:r w:rsidR="009E44DB">
              <w:rPr>
                <w:rFonts w:cs="Calibri"/>
              </w:rPr>
              <w:t>8</w:t>
            </w:r>
          </w:p>
        </w:tc>
        <w:tc>
          <w:tcPr>
            <w:tcW w:w="0" w:type="dxa"/>
            <w:tcBorders>
              <w:top w:val="nil"/>
              <w:left w:val="single" w:sz="4" w:space="0" w:color="auto"/>
              <w:bottom w:val="nil"/>
              <w:right w:val="nil"/>
            </w:tcBorders>
            <w:vAlign w:val="center"/>
          </w:tcPr>
          <w:p w14:paraId="217A6C51" w14:textId="37F7A80F" w:rsidR="00B203CD" w:rsidRPr="00E20618" w:rsidRDefault="00D67BC4" w:rsidP="004C567F">
            <w:pPr>
              <w:pStyle w:val="TableTextRight"/>
              <w:rPr>
                <w:rFonts w:cstheme="minorHAnsi"/>
              </w:rPr>
            </w:pPr>
            <w:r w:rsidRPr="00A85CD9">
              <w:t>1.</w:t>
            </w:r>
            <w:r w:rsidR="009E44DB">
              <w:rPr>
                <w:rFonts w:cs="Calibri"/>
              </w:rPr>
              <w:t>8</w:t>
            </w:r>
          </w:p>
        </w:tc>
      </w:tr>
      <w:tr w:rsidR="00A85CD9" w:rsidRPr="00485E58" w14:paraId="39C7B568" w14:textId="77777777" w:rsidTr="00A85CD9">
        <w:tc>
          <w:tcPr>
            <w:tcW w:w="0" w:type="dxa"/>
          </w:tcPr>
          <w:p w14:paraId="652F72EB" w14:textId="49D5E97E" w:rsidR="00B203CD" w:rsidRPr="00A85CD9" w:rsidRDefault="00B203CD" w:rsidP="004C567F">
            <w:pPr>
              <w:pStyle w:val="TableColumnHeadingLeft"/>
            </w:pPr>
            <w:r w:rsidRPr="00B561C3">
              <w:t>Net internal migration (</w:t>
            </w:r>
            <w:r w:rsidR="004B14AB" w:rsidRPr="00B561C3">
              <w:t>‘</w:t>
            </w:r>
            <w:r w:rsidRPr="00B561C3">
              <w:t>000)</w:t>
            </w:r>
          </w:p>
        </w:tc>
        <w:tc>
          <w:tcPr>
            <w:tcW w:w="0" w:type="dxa"/>
            <w:tcBorders>
              <w:top w:val="nil"/>
              <w:left w:val="nil"/>
              <w:bottom w:val="nil"/>
              <w:right w:val="nil"/>
            </w:tcBorders>
            <w:vAlign w:val="center"/>
          </w:tcPr>
          <w:p w14:paraId="68589CA0" w14:textId="77777777" w:rsidR="00B203CD" w:rsidRPr="00E20618" w:rsidRDefault="00B203CD" w:rsidP="004C567F">
            <w:pPr>
              <w:pStyle w:val="TableTextRight"/>
              <w:rPr>
                <w:rFonts w:cstheme="minorHAnsi"/>
              </w:rPr>
            </w:pPr>
          </w:p>
        </w:tc>
        <w:tc>
          <w:tcPr>
            <w:tcW w:w="0" w:type="dxa"/>
            <w:tcBorders>
              <w:top w:val="nil"/>
              <w:left w:val="nil"/>
              <w:bottom w:val="nil"/>
              <w:right w:val="nil"/>
            </w:tcBorders>
            <w:shd w:val="clear" w:color="auto" w:fill="D2EDFF" w:themeFill="accent1" w:themeFillTint="1A"/>
            <w:vAlign w:val="center"/>
          </w:tcPr>
          <w:p w14:paraId="2A7D9E9D" w14:textId="6B6B8144" w:rsidR="00B203CD" w:rsidRPr="00E20618" w:rsidRDefault="00D67BC4" w:rsidP="004C567F">
            <w:pPr>
              <w:pStyle w:val="TableTextRight"/>
              <w:rPr>
                <w:rFonts w:cstheme="minorHAnsi"/>
              </w:rPr>
            </w:pPr>
            <w:r w:rsidRPr="00A85CD9">
              <w:t> </w:t>
            </w:r>
          </w:p>
        </w:tc>
        <w:tc>
          <w:tcPr>
            <w:tcW w:w="0" w:type="dxa"/>
            <w:tcBorders>
              <w:top w:val="nil"/>
              <w:left w:val="nil"/>
              <w:bottom w:val="nil"/>
              <w:right w:val="nil"/>
            </w:tcBorders>
            <w:vAlign w:val="center"/>
          </w:tcPr>
          <w:p w14:paraId="303AA382" w14:textId="77777777" w:rsidR="00B203CD" w:rsidRPr="00E20618" w:rsidRDefault="00B203CD" w:rsidP="004C567F">
            <w:pPr>
              <w:pStyle w:val="TableTextRight"/>
              <w:rPr>
                <w:rFonts w:cstheme="minorHAnsi"/>
              </w:rPr>
            </w:pPr>
          </w:p>
        </w:tc>
        <w:tc>
          <w:tcPr>
            <w:tcW w:w="0" w:type="dxa"/>
            <w:tcBorders>
              <w:top w:val="nil"/>
              <w:left w:val="nil"/>
              <w:bottom w:val="nil"/>
              <w:right w:val="nil"/>
            </w:tcBorders>
            <w:vAlign w:val="center"/>
          </w:tcPr>
          <w:p w14:paraId="549F8E16" w14:textId="77777777" w:rsidR="00B203CD" w:rsidRPr="00E20618" w:rsidRDefault="00B203CD" w:rsidP="004C567F">
            <w:pPr>
              <w:pStyle w:val="TableTextRight"/>
              <w:rPr>
                <w:rFonts w:cstheme="minorHAnsi"/>
              </w:rPr>
            </w:pPr>
          </w:p>
        </w:tc>
        <w:tc>
          <w:tcPr>
            <w:tcW w:w="0" w:type="dxa"/>
            <w:tcBorders>
              <w:top w:val="nil"/>
              <w:left w:val="nil"/>
              <w:bottom w:val="nil"/>
              <w:right w:val="single" w:sz="4" w:space="0" w:color="auto"/>
            </w:tcBorders>
            <w:vAlign w:val="center"/>
          </w:tcPr>
          <w:p w14:paraId="081AD65C" w14:textId="164AFA6D" w:rsidR="00B203CD" w:rsidRPr="00E20618" w:rsidRDefault="00D67BC4" w:rsidP="004C567F">
            <w:pPr>
              <w:pStyle w:val="TableTextRight"/>
              <w:rPr>
                <w:rFonts w:cstheme="minorHAnsi"/>
              </w:rPr>
            </w:pPr>
            <w:r w:rsidRPr="00A85CD9">
              <w:t> </w:t>
            </w:r>
          </w:p>
        </w:tc>
        <w:tc>
          <w:tcPr>
            <w:tcW w:w="0" w:type="dxa"/>
            <w:tcBorders>
              <w:top w:val="nil"/>
              <w:left w:val="single" w:sz="4" w:space="0" w:color="auto"/>
              <w:bottom w:val="nil"/>
              <w:right w:val="nil"/>
            </w:tcBorders>
            <w:vAlign w:val="center"/>
          </w:tcPr>
          <w:p w14:paraId="089E3E46" w14:textId="77777777" w:rsidR="00B203CD" w:rsidRPr="00E20618" w:rsidRDefault="00B203CD" w:rsidP="004C567F">
            <w:pPr>
              <w:pStyle w:val="TableTextRight"/>
              <w:rPr>
                <w:rFonts w:cstheme="minorHAnsi"/>
              </w:rPr>
            </w:pPr>
          </w:p>
        </w:tc>
      </w:tr>
      <w:tr w:rsidR="00A85CD9" w:rsidRPr="00485E58" w14:paraId="0E5E9861" w14:textId="77777777" w:rsidTr="00A85CD9">
        <w:tc>
          <w:tcPr>
            <w:tcW w:w="0" w:type="dxa"/>
          </w:tcPr>
          <w:p w14:paraId="3D87368A" w14:textId="77777777" w:rsidR="00B203CD" w:rsidRPr="00A85CD9" w:rsidRDefault="00B203CD" w:rsidP="004C567F">
            <w:pPr>
              <w:pStyle w:val="TableTextLeft"/>
              <w:rPr>
                <w:b/>
              </w:rPr>
            </w:pPr>
            <w:r w:rsidRPr="00A85CD9">
              <w:t>Tasmania</w:t>
            </w:r>
          </w:p>
        </w:tc>
        <w:tc>
          <w:tcPr>
            <w:tcW w:w="0" w:type="dxa"/>
            <w:tcBorders>
              <w:top w:val="nil"/>
              <w:left w:val="nil"/>
              <w:bottom w:val="nil"/>
              <w:right w:val="nil"/>
            </w:tcBorders>
            <w:vAlign w:val="center"/>
          </w:tcPr>
          <w:p w14:paraId="07442B38" w14:textId="32F717C6" w:rsidR="00B203CD" w:rsidRPr="00E20618" w:rsidRDefault="009E44DB" w:rsidP="004C567F">
            <w:pPr>
              <w:pStyle w:val="TableTextRight"/>
              <w:rPr>
                <w:rFonts w:cstheme="minorHAnsi"/>
              </w:rPr>
            </w:pPr>
            <w:r>
              <w:rPr>
                <w:rFonts w:cs="Calibri"/>
              </w:rPr>
              <w:t>-</w:t>
            </w:r>
            <w:r w:rsidR="00D67BC4" w:rsidRPr="00A85CD9">
              <w:t>0.4</w:t>
            </w:r>
          </w:p>
        </w:tc>
        <w:tc>
          <w:tcPr>
            <w:tcW w:w="0" w:type="dxa"/>
            <w:tcBorders>
              <w:top w:val="nil"/>
              <w:left w:val="nil"/>
              <w:bottom w:val="nil"/>
              <w:right w:val="nil"/>
            </w:tcBorders>
            <w:shd w:val="clear" w:color="auto" w:fill="D2EDFF" w:themeFill="accent1" w:themeFillTint="1A"/>
            <w:vAlign w:val="center"/>
          </w:tcPr>
          <w:p w14:paraId="5D3ACA13" w14:textId="4C57D5FB" w:rsidR="00B203CD" w:rsidRPr="00E20618" w:rsidRDefault="009E44DB" w:rsidP="004C567F">
            <w:pPr>
              <w:pStyle w:val="TableTextRight"/>
              <w:rPr>
                <w:rFonts w:cstheme="minorHAnsi"/>
              </w:rPr>
            </w:pPr>
            <w:r>
              <w:rPr>
                <w:rFonts w:cs="Calibri"/>
              </w:rPr>
              <w:t>-</w:t>
            </w:r>
            <w:r w:rsidR="00D67BC4" w:rsidRPr="00A85CD9">
              <w:t>2.5</w:t>
            </w:r>
          </w:p>
        </w:tc>
        <w:tc>
          <w:tcPr>
            <w:tcW w:w="0" w:type="dxa"/>
            <w:tcBorders>
              <w:top w:val="nil"/>
              <w:left w:val="nil"/>
              <w:bottom w:val="nil"/>
              <w:right w:val="nil"/>
            </w:tcBorders>
            <w:vAlign w:val="center"/>
          </w:tcPr>
          <w:p w14:paraId="336726BA" w14:textId="60B8C9DC" w:rsidR="00B203CD" w:rsidRPr="00E20618" w:rsidRDefault="009E44DB" w:rsidP="004C567F">
            <w:pPr>
              <w:pStyle w:val="TableTextRight"/>
              <w:rPr>
                <w:rFonts w:cstheme="minorHAnsi"/>
              </w:rPr>
            </w:pPr>
            <w:r>
              <w:rPr>
                <w:rFonts w:cs="Calibri"/>
              </w:rPr>
              <w:t>-</w:t>
            </w:r>
            <w:r w:rsidR="00D67BC4" w:rsidRPr="00A85CD9">
              <w:t>1.5</w:t>
            </w:r>
          </w:p>
        </w:tc>
        <w:tc>
          <w:tcPr>
            <w:tcW w:w="0" w:type="dxa"/>
            <w:tcBorders>
              <w:top w:val="nil"/>
              <w:left w:val="nil"/>
              <w:bottom w:val="nil"/>
              <w:right w:val="nil"/>
            </w:tcBorders>
            <w:vAlign w:val="center"/>
          </w:tcPr>
          <w:p w14:paraId="17456FA9" w14:textId="1EF06A40" w:rsidR="00B203CD" w:rsidRPr="00E20618" w:rsidRDefault="009E44DB" w:rsidP="004C567F">
            <w:pPr>
              <w:pStyle w:val="TableTextRight"/>
              <w:rPr>
                <w:rFonts w:cstheme="minorHAnsi"/>
              </w:rPr>
            </w:pPr>
            <w:r>
              <w:rPr>
                <w:rFonts w:cs="Calibri"/>
              </w:rPr>
              <w:t>-</w:t>
            </w:r>
            <w:r w:rsidR="00D67BC4" w:rsidRPr="00A85CD9">
              <w:t>0.</w:t>
            </w:r>
            <w:r>
              <w:rPr>
                <w:rFonts w:cs="Calibri"/>
              </w:rPr>
              <w:t>6</w:t>
            </w:r>
          </w:p>
        </w:tc>
        <w:tc>
          <w:tcPr>
            <w:tcW w:w="0" w:type="dxa"/>
            <w:tcBorders>
              <w:top w:val="nil"/>
              <w:left w:val="nil"/>
              <w:bottom w:val="nil"/>
              <w:right w:val="single" w:sz="4" w:space="0" w:color="auto"/>
            </w:tcBorders>
            <w:vAlign w:val="center"/>
          </w:tcPr>
          <w:p w14:paraId="5DD961D0" w14:textId="7983187A" w:rsidR="00B203CD" w:rsidRPr="00E20618" w:rsidRDefault="00D67BC4" w:rsidP="004C567F">
            <w:pPr>
              <w:pStyle w:val="TableTextRight"/>
              <w:rPr>
                <w:rFonts w:cstheme="minorHAnsi"/>
              </w:rPr>
            </w:pPr>
            <w:r w:rsidRPr="00A85CD9">
              <w:t>0.4</w:t>
            </w:r>
          </w:p>
        </w:tc>
        <w:tc>
          <w:tcPr>
            <w:tcW w:w="0" w:type="dxa"/>
            <w:tcBorders>
              <w:top w:val="nil"/>
              <w:left w:val="single" w:sz="4" w:space="0" w:color="auto"/>
              <w:bottom w:val="nil"/>
              <w:right w:val="nil"/>
            </w:tcBorders>
            <w:vAlign w:val="center"/>
          </w:tcPr>
          <w:p w14:paraId="778A43F9" w14:textId="0828ED66" w:rsidR="00B203CD" w:rsidRPr="00E20618" w:rsidRDefault="00D67BC4" w:rsidP="004C567F">
            <w:pPr>
              <w:pStyle w:val="TableTextRight"/>
              <w:rPr>
                <w:rFonts w:cstheme="minorHAnsi"/>
              </w:rPr>
            </w:pPr>
            <w:r w:rsidRPr="00A85CD9">
              <w:t>0.</w:t>
            </w:r>
            <w:r w:rsidR="009E44DB">
              <w:rPr>
                <w:rFonts w:cs="Calibri"/>
              </w:rPr>
              <w:t>7</w:t>
            </w:r>
          </w:p>
        </w:tc>
      </w:tr>
      <w:tr w:rsidR="00A85CD9" w:rsidRPr="00485E58" w14:paraId="76D25BF3" w14:textId="77777777" w:rsidTr="00A85CD9">
        <w:tc>
          <w:tcPr>
            <w:tcW w:w="0" w:type="dxa"/>
          </w:tcPr>
          <w:p w14:paraId="5E086A86" w14:textId="77777777" w:rsidR="00B203CD" w:rsidRPr="00B561C3" w:rsidRDefault="00B203CD" w:rsidP="004C567F">
            <w:pPr>
              <w:pStyle w:val="Tabletextleftindent"/>
              <w:rPr>
                <w:b/>
              </w:rPr>
            </w:pPr>
            <w:r w:rsidRPr="00B561C3">
              <w:t>Greater Hobart</w:t>
            </w:r>
          </w:p>
        </w:tc>
        <w:tc>
          <w:tcPr>
            <w:tcW w:w="0" w:type="dxa"/>
            <w:tcBorders>
              <w:top w:val="nil"/>
              <w:left w:val="nil"/>
              <w:bottom w:val="nil"/>
              <w:right w:val="nil"/>
            </w:tcBorders>
            <w:vAlign w:val="center"/>
          </w:tcPr>
          <w:p w14:paraId="03EB73BF" w14:textId="252814DC" w:rsidR="00B203CD" w:rsidRPr="00E20618" w:rsidRDefault="009E44DB" w:rsidP="004C567F">
            <w:pPr>
              <w:pStyle w:val="TableTextRight"/>
              <w:rPr>
                <w:rFonts w:cstheme="minorHAnsi"/>
              </w:rPr>
            </w:pPr>
            <w:r>
              <w:rPr>
                <w:rFonts w:cs="Calibri"/>
              </w:rPr>
              <w:t>-</w:t>
            </w:r>
            <w:r w:rsidR="00D67BC4" w:rsidRPr="00A85CD9">
              <w:t>0.9</w:t>
            </w:r>
          </w:p>
        </w:tc>
        <w:tc>
          <w:tcPr>
            <w:tcW w:w="0" w:type="dxa"/>
            <w:tcBorders>
              <w:top w:val="nil"/>
              <w:left w:val="nil"/>
              <w:bottom w:val="nil"/>
              <w:right w:val="nil"/>
            </w:tcBorders>
            <w:shd w:val="clear" w:color="auto" w:fill="D2EDFF" w:themeFill="accent1" w:themeFillTint="1A"/>
            <w:vAlign w:val="center"/>
          </w:tcPr>
          <w:p w14:paraId="7AC40A6D" w14:textId="0DB4F53F" w:rsidR="00B203CD" w:rsidRPr="00E20618" w:rsidRDefault="009E44DB" w:rsidP="004C567F">
            <w:pPr>
              <w:pStyle w:val="TableTextRight"/>
              <w:rPr>
                <w:rFonts w:cstheme="minorHAnsi"/>
              </w:rPr>
            </w:pPr>
            <w:r>
              <w:rPr>
                <w:rFonts w:cs="Calibri"/>
              </w:rPr>
              <w:t>-</w:t>
            </w:r>
            <w:r w:rsidR="00D67BC4" w:rsidRPr="00A85CD9">
              <w:t>2.7</w:t>
            </w:r>
          </w:p>
        </w:tc>
        <w:tc>
          <w:tcPr>
            <w:tcW w:w="0" w:type="dxa"/>
            <w:tcBorders>
              <w:top w:val="nil"/>
              <w:left w:val="nil"/>
              <w:bottom w:val="nil"/>
              <w:right w:val="nil"/>
            </w:tcBorders>
            <w:vAlign w:val="center"/>
          </w:tcPr>
          <w:p w14:paraId="4DD0DF99" w14:textId="723123A3" w:rsidR="00B203CD" w:rsidRPr="00E20618" w:rsidRDefault="009E44DB" w:rsidP="004C567F">
            <w:pPr>
              <w:pStyle w:val="TableTextRight"/>
              <w:rPr>
                <w:rFonts w:cstheme="minorHAnsi"/>
              </w:rPr>
            </w:pPr>
            <w:r>
              <w:rPr>
                <w:rFonts w:cs="Calibri"/>
              </w:rPr>
              <w:t>-</w:t>
            </w:r>
            <w:r w:rsidR="00D67BC4" w:rsidRPr="00A85CD9">
              <w:t>1.7</w:t>
            </w:r>
          </w:p>
        </w:tc>
        <w:tc>
          <w:tcPr>
            <w:tcW w:w="0" w:type="dxa"/>
            <w:tcBorders>
              <w:top w:val="nil"/>
              <w:left w:val="nil"/>
              <w:bottom w:val="nil"/>
              <w:right w:val="nil"/>
            </w:tcBorders>
            <w:vAlign w:val="center"/>
          </w:tcPr>
          <w:p w14:paraId="611ECEEA" w14:textId="6231156E" w:rsidR="00B203CD" w:rsidRPr="00E20618" w:rsidRDefault="009E44DB" w:rsidP="004C567F">
            <w:pPr>
              <w:pStyle w:val="TableTextRight"/>
              <w:rPr>
                <w:rFonts w:cstheme="minorHAnsi"/>
              </w:rPr>
            </w:pPr>
            <w:r>
              <w:rPr>
                <w:rFonts w:cs="Calibri"/>
              </w:rPr>
              <w:t>-</w:t>
            </w:r>
            <w:r w:rsidR="00D67BC4" w:rsidRPr="00A85CD9">
              <w:t>0.7</w:t>
            </w:r>
          </w:p>
        </w:tc>
        <w:tc>
          <w:tcPr>
            <w:tcW w:w="0" w:type="dxa"/>
            <w:tcBorders>
              <w:top w:val="nil"/>
              <w:left w:val="nil"/>
              <w:bottom w:val="nil"/>
              <w:right w:val="single" w:sz="4" w:space="0" w:color="auto"/>
            </w:tcBorders>
            <w:vAlign w:val="center"/>
          </w:tcPr>
          <w:p w14:paraId="75F4DB25" w14:textId="183AFF24" w:rsidR="00B203CD" w:rsidRPr="00E20618" w:rsidRDefault="00D67BC4" w:rsidP="004C567F">
            <w:pPr>
              <w:pStyle w:val="TableTextRight"/>
              <w:rPr>
                <w:rFonts w:cstheme="minorHAnsi"/>
              </w:rPr>
            </w:pPr>
            <w:r w:rsidRPr="00A85CD9">
              <w:t>0.3</w:t>
            </w:r>
          </w:p>
        </w:tc>
        <w:tc>
          <w:tcPr>
            <w:tcW w:w="0" w:type="dxa"/>
            <w:tcBorders>
              <w:top w:val="nil"/>
              <w:left w:val="single" w:sz="4" w:space="0" w:color="auto"/>
              <w:bottom w:val="nil"/>
              <w:right w:val="nil"/>
            </w:tcBorders>
            <w:vAlign w:val="center"/>
          </w:tcPr>
          <w:p w14:paraId="4D88091C" w14:textId="2A5AB749" w:rsidR="00B203CD" w:rsidRPr="00E20618" w:rsidRDefault="00D67BC4" w:rsidP="004C567F">
            <w:pPr>
              <w:pStyle w:val="TableTextRight"/>
              <w:rPr>
                <w:rFonts w:cstheme="minorHAnsi"/>
              </w:rPr>
            </w:pPr>
            <w:r w:rsidRPr="00A85CD9">
              <w:t>0.2</w:t>
            </w:r>
          </w:p>
        </w:tc>
      </w:tr>
      <w:tr w:rsidR="00F67DB6" w:rsidRPr="00485E58" w14:paraId="3F5CFA97" w14:textId="77777777">
        <w:tc>
          <w:tcPr>
            <w:tcW w:w="0" w:type="dxa"/>
            <w:tcBorders>
              <w:bottom w:val="single" w:sz="4" w:space="0" w:color="auto"/>
            </w:tcBorders>
          </w:tcPr>
          <w:p w14:paraId="7F1E5EE0" w14:textId="77777777" w:rsidR="00B203CD" w:rsidRPr="00B561C3" w:rsidRDefault="00B203CD" w:rsidP="004C567F">
            <w:pPr>
              <w:pStyle w:val="Tabletextleftindent"/>
              <w:rPr>
                <w:b/>
              </w:rPr>
            </w:pPr>
            <w:r w:rsidRPr="00B561C3">
              <w:t>Rest of Tasmania</w:t>
            </w:r>
          </w:p>
        </w:tc>
        <w:tc>
          <w:tcPr>
            <w:tcW w:w="0" w:type="dxa"/>
            <w:tcBorders>
              <w:top w:val="nil"/>
              <w:left w:val="nil"/>
              <w:bottom w:val="single" w:sz="4" w:space="0" w:color="auto"/>
              <w:right w:val="nil"/>
            </w:tcBorders>
            <w:vAlign w:val="center"/>
          </w:tcPr>
          <w:p w14:paraId="4B2AC344" w14:textId="75362FA0" w:rsidR="00B203CD" w:rsidRPr="00E20618" w:rsidRDefault="00D67BC4" w:rsidP="004C567F">
            <w:pPr>
              <w:pStyle w:val="TableTextRight"/>
              <w:rPr>
                <w:rFonts w:cstheme="minorHAnsi"/>
              </w:rPr>
            </w:pPr>
            <w:r w:rsidRPr="00A85CD9">
              <w:t>0.5</w:t>
            </w:r>
          </w:p>
        </w:tc>
        <w:tc>
          <w:tcPr>
            <w:tcW w:w="0" w:type="dxa"/>
            <w:tcBorders>
              <w:top w:val="nil"/>
              <w:left w:val="nil"/>
              <w:bottom w:val="single" w:sz="4" w:space="0" w:color="auto"/>
              <w:right w:val="nil"/>
            </w:tcBorders>
            <w:shd w:val="clear" w:color="auto" w:fill="D2EDFF" w:themeFill="accent1" w:themeFillTint="1A"/>
            <w:vAlign w:val="center"/>
          </w:tcPr>
          <w:p w14:paraId="4291E656" w14:textId="3ACE1199" w:rsidR="00B203CD" w:rsidRPr="00E20618" w:rsidRDefault="00D67BC4" w:rsidP="004C567F">
            <w:pPr>
              <w:pStyle w:val="TableTextRight"/>
              <w:rPr>
                <w:rFonts w:cstheme="minorHAnsi"/>
              </w:rPr>
            </w:pPr>
            <w:r w:rsidRPr="00A85CD9">
              <w:t>0.2</w:t>
            </w:r>
          </w:p>
        </w:tc>
        <w:tc>
          <w:tcPr>
            <w:tcW w:w="0" w:type="dxa"/>
            <w:tcBorders>
              <w:top w:val="nil"/>
              <w:left w:val="nil"/>
              <w:bottom w:val="single" w:sz="4" w:space="0" w:color="auto"/>
              <w:right w:val="nil"/>
            </w:tcBorders>
            <w:vAlign w:val="center"/>
          </w:tcPr>
          <w:p w14:paraId="723E5AE3" w14:textId="0E85F9D2" w:rsidR="00B203CD" w:rsidRPr="00E20618" w:rsidRDefault="00D67BC4" w:rsidP="004C567F">
            <w:pPr>
              <w:pStyle w:val="TableTextRight"/>
              <w:rPr>
                <w:rFonts w:cstheme="minorHAnsi"/>
              </w:rPr>
            </w:pPr>
            <w:r w:rsidRPr="00A85CD9">
              <w:t>0.2</w:t>
            </w:r>
          </w:p>
        </w:tc>
        <w:tc>
          <w:tcPr>
            <w:tcW w:w="0" w:type="dxa"/>
            <w:tcBorders>
              <w:top w:val="nil"/>
              <w:left w:val="nil"/>
              <w:bottom w:val="single" w:sz="4" w:space="0" w:color="auto"/>
              <w:right w:val="nil"/>
            </w:tcBorders>
            <w:vAlign w:val="center"/>
          </w:tcPr>
          <w:p w14:paraId="5D31BB03" w14:textId="44CD9B98" w:rsidR="00B203CD" w:rsidRPr="00E20618" w:rsidRDefault="00D67BC4" w:rsidP="004C567F">
            <w:pPr>
              <w:pStyle w:val="TableTextRight"/>
              <w:rPr>
                <w:rFonts w:cstheme="minorHAnsi"/>
              </w:rPr>
            </w:pPr>
            <w:r w:rsidRPr="00A85CD9">
              <w:t>0.2</w:t>
            </w:r>
          </w:p>
        </w:tc>
        <w:tc>
          <w:tcPr>
            <w:tcW w:w="0" w:type="dxa"/>
            <w:tcBorders>
              <w:top w:val="nil"/>
              <w:left w:val="nil"/>
              <w:bottom w:val="single" w:sz="4" w:space="0" w:color="auto"/>
              <w:right w:val="single" w:sz="4" w:space="0" w:color="auto"/>
            </w:tcBorders>
            <w:vAlign w:val="center"/>
          </w:tcPr>
          <w:p w14:paraId="57E0485E" w14:textId="1ED6F9CD" w:rsidR="00B203CD" w:rsidRPr="00E20618" w:rsidRDefault="00D67BC4" w:rsidP="004C567F">
            <w:pPr>
              <w:pStyle w:val="TableTextRight"/>
              <w:rPr>
                <w:rFonts w:cstheme="minorHAnsi"/>
              </w:rPr>
            </w:pPr>
            <w:r w:rsidRPr="00A85CD9">
              <w:t>0.2</w:t>
            </w:r>
          </w:p>
        </w:tc>
        <w:tc>
          <w:tcPr>
            <w:tcW w:w="0" w:type="dxa"/>
            <w:tcBorders>
              <w:top w:val="nil"/>
              <w:left w:val="single" w:sz="4" w:space="0" w:color="auto"/>
              <w:bottom w:val="single" w:sz="4" w:space="0" w:color="auto"/>
              <w:right w:val="nil"/>
            </w:tcBorders>
            <w:vAlign w:val="center"/>
          </w:tcPr>
          <w:p w14:paraId="524515AA" w14:textId="3839F04F" w:rsidR="00B203CD" w:rsidRPr="00E20618" w:rsidRDefault="00D67BC4" w:rsidP="004C567F">
            <w:pPr>
              <w:pStyle w:val="TableTextRight"/>
              <w:rPr>
                <w:rFonts w:cstheme="minorHAnsi"/>
              </w:rPr>
            </w:pPr>
            <w:r w:rsidRPr="00A85CD9">
              <w:t>0.5</w:t>
            </w:r>
          </w:p>
        </w:tc>
      </w:tr>
      <w:tr w:rsidR="00F67DB6" w:rsidRPr="00485E58" w14:paraId="2D23CDDC" w14:textId="77777777">
        <w:tc>
          <w:tcPr>
            <w:tcW w:w="0" w:type="dxa"/>
            <w:tcBorders>
              <w:top w:val="single" w:sz="4" w:space="0" w:color="auto"/>
              <w:bottom w:val="nil"/>
            </w:tcBorders>
          </w:tcPr>
          <w:p w14:paraId="6D0658E8" w14:textId="77777777" w:rsidR="00B203CD" w:rsidRPr="00A85CD9" w:rsidRDefault="00B203CD" w:rsidP="004C567F">
            <w:pPr>
              <w:pStyle w:val="TableColumnHeadingLeft"/>
            </w:pPr>
            <w:r w:rsidRPr="00B561C3">
              <w:t>Median age (years)</w:t>
            </w:r>
          </w:p>
        </w:tc>
        <w:tc>
          <w:tcPr>
            <w:tcW w:w="0" w:type="dxa"/>
            <w:tcBorders>
              <w:top w:val="single" w:sz="4" w:space="0" w:color="auto"/>
              <w:left w:val="nil"/>
              <w:bottom w:val="nil"/>
              <w:right w:val="nil"/>
            </w:tcBorders>
            <w:vAlign w:val="center"/>
          </w:tcPr>
          <w:p w14:paraId="278DA542"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nil"/>
            </w:tcBorders>
            <w:shd w:val="clear" w:color="auto" w:fill="D2EDFF" w:themeFill="accent1" w:themeFillTint="1A"/>
            <w:vAlign w:val="center"/>
          </w:tcPr>
          <w:p w14:paraId="00099AE4" w14:textId="21C4E171" w:rsidR="00B203CD" w:rsidRPr="00E20618" w:rsidRDefault="00D67BC4" w:rsidP="004C567F">
            <w:pPr>
              <w:pStyle w:val="TableTextRight"/>
              <w:rPr>
                <w:rFonts w:cstheme="minorHAnsi"/>
              </w:rPr>
            </w:pPr>
            <w:r w:rsidRPr="00A85CD9">
              <w:t> </w:t>
            </w:r>
          </w:p>
        </w:tc>
        <w:tc>
          <w:tcPr>
            <w:tcW w:w="0" w:type="dxa"/>
            <w:tcBorders>
              <w:top w:val="single" w:sz="4" w:space="0" w:color="auto"/>
              <w:left w:val="nil"/>
              <w:bottom w:val="nil"/>
              <w:right w:val="nil"/>
            </w:tcBorders>
            <w:vAlign w:val="center"/>
          </w:tcPr>
          <w:p w14:paraId="0B87BC00"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nil"/>
            </w:tcBorders>
            <w:vAlign w:val="center"/>
          </w:tcPr>
          <w:p w14:paraId="7144150E" w14:textId="77777777" w:rsidR="00B203CD" w:rsidRPr="00E20618" w:rsidRDefault="00B203CD" w:rsidP="004C567F">
            <w:pPr>
              <w:pStyle w:val="TableTextRight"/>
              <w:rPr>
                <w:rFonts w:cstheme="minorHAnsi"/>
              </w:rPr>
            </w:pPr>
          </w:p>
        </w:tc>
        <w:tc>
          <w:tcPr>
            <w:tcW w:w="0" w:type="dxa"/>
            <w:tcBorders>
              <w:top w:val="single" w:sz="4" w:space="0" w:color="auto"/>
              <w:left w:val="nil"/>
              <w:bottom w:val="nil"/>
              <w:right w:val="single" w:sz="4" w:space="0" w:color="auto"/>
            </w:tcBorders>
            <w:vAlign w:val="center"/>
          </w:tcPr>
          <w:p w14:paraId="5BE8A567" w14:textId="19095E41" w:rsidR="00B203CD" w:rsidRPr="00E20618" w:rsidRDefault="00D67BC4" w:rsidP="004C567F">
            <w:pPr>
              <w:pStyle w:val="TableTextRight"/>
              <w:rPr>
                <w:rFonts w:cstheme="minorHAnsi"/>
              </w:rPr>
            </w:pPr>
            <w:r w:rsidRPr="00A85CD9">
              <w:t> </w:t>
            </w:r>
          </w:p>
        </w:tc>
        <w:tc>
          <w:tcPr>
            <w:tcW w:w="0" w:type="dxa"/>
            <w:tcBorders>
              <w:top w:val="single" w:sz="4" w:space="0" w:color="auto"/>
              <w:left w:val="single" w:sz="4" w:space="0" w:color="auto"/>
              <w:bottom w:val="nil"/>
              <w:right w:val="nil"/>
            </w:tcBorders>
            <w:vAlign w:val="center"/>
          </w:tcPr>
          <w:p w14:paraId="071E36AA" w14:textId="77777777" w:rsidR="00B203CD" w:rsidRPr="00E20618" w:rsidRDefault="00B203CD" w:rsidP="004C567F">
            <w:pPr>
              <w:pStyle w:val="TableTextRight"/>
              <w:rPr>
                <w:rFonts w:cstheme="minorHAnsi"/>
              </w:rPr>
            </w:pPr>
          </w:p>
        </w:tc>
      </w:tr>
      <w:tr w:rsidR="00F67DB6" w:rsidRPr="00485E58" w14:paraId="3A76AA61" w14:textId="77777777">
        <w:tc>
          <w:tcPr>
            <w:tcW w:w="0" w:type="dxa"/>
            <w:tcBorders>
              <w:top w:val="nil"/>
              <w:bottom w:val="nil"/>
            </w:tcBorders>
          </w:tcPr>
          <w:p w14:paraId="519D29F1" w14:textId="77777777" w:rsidR="00B203CD" w:rsidRPr="00A85CD9" w:rsidRDefault="00B203CD" w:rsidP="004C567F">
            <w:pPr>
              <w:pStyle w:val="TableTextLeft"/>
              <w:rPr>
                <w:i/>
              </w:rPr>
            </w:pPr>
            <w:r w:rsidRPr="00A85CD9">
              <w:t>Tasmania</w:t>
            </w:r>
          </w:p>
        </w:tc>
        <w:tc>
          <w:tcPr>
            <w:tcW w:w="0" w:type="dxa"/>
            <w:tcBorders>
              <w:top w:val="nil"/>
              <w:left w:val="nil"/>
              <w:bottom w:val="nil"/>
              <w:right w:val="nil"/>
            </w:tcBorders>
            <w:vAlign w:val="center"/>
          </w:tcPr>
          <w:p w14:paraId="155EE529" w14:textId="1D3560E8" w:rsidR="00B203CD" w:rsidRPr="00E20618" w:rsidRDefault="00D67BC4" w:rsidP="004C567F">
            <w:pPr>
              <w:pStyle w:val="TableTextRight"/>
              <w:rPr>
                <w:rFonts w:cstheme="minorHAnsi"/>
              </w:rPr>
            </w:pPr>
            <w:r w:rsidRPr="00A85CD9">
              <w:t>40.</w:t>
            </w:r>
            <w:r>
              <w:t>7</w:t>
            </w:r>
          </w:p>
        </w:tc>
        <w:tc>
          <w:tcPr>
            <w:tcW w:w="0" w:type="dxa"/>
            <w:tcBorders>
              <w:top w:val="nil"/>
              <w:left w:val="nil"/>
              <w:bottom w:val="nil"/>
              <w:right w:val="nil"/>
            </w:tcBorders>
            <w:shd w:val="clear" w:color="auto" w:fill="D2EDFF" w:themeFill="accent1" w:themeFillTint="1A"/>
            <w:vAlign w:val="center"/>
          </w:tcPr>
          <w:p w14:paraId="748A0ADE" w14:textId="23D36D6A" w:rsidR="00B203CD" w:rsidRPr="00E20618" w:rsidRDefault="00D67BC4" w:rsidP="004C567F">
            <w:pPr>
              <w:pStyle w:val="TableTextRight"/>
              <w:rPr>
                <w:rFonts w:cstheme="minorHAnsi"/>
              </w:rPr>
            </w:pPr>
            <w:r w:rsidRPr="00A85CD9">
              <w:t>41.</w:t>
            </w:r>
            <w:r>
              <w:t>0</w:t>
            </w:r>
          </w:p>
        </w:tc>
        <w:tc>
          <w:tcPr>
            <w:tcW w:w="0" w:type="dxa"/>
            <w:tcBorders>
              <w:top w:val="nil"/>
              <w:left w:val="nil"/>
              <w:bottom w:val="nil"/>
              <w:right w:val="nil"/>
            </w:tcBorders>
            <w:vAlign w:val="center"/>
          </w:tcPr>
          <w:p w14:paraId="6ECFD098" w14:textId="011939C7" w:rsidR="00B203CD" w:rsidRPr="00E20618" w:rsidRDefault="00D67BC4" w:rsidP="004C567F">
            <w:pPr>
              <w:pStyle w:val="TableTextRight"/>
              <w:rPr>
                <w:rFonts w:cstheme="minorHAnsi"/>
              </w:rPr>
            </w:pPr>
            <w:r w:rsidRPr="00A85CD9">
              <w:t>41.</w:t>
            </w:r>
            <w:r>
              <w:t>2</w:t>
            </w:r>
          </w:p>
        </w:tc>
        <w:tc>
          <w:tcPr>
            <w:tcW w:w="0" w:type="dxa"/>
            <w:tcBorders>
              <w:top w:val="nil"/>
              <w:left w:val="nil"/>
              <w:bottom w:val="nil"/>
              <w:right w:val="nil"/>
            </w:tcBorders>
            <w:vAlign w:val="center"/>
          </w:tcPr>
          <w:p w14:paraId="3582516E" w14:textId="3FCA3899" w:rsidR="00B203CD" w:rsidRPr="00E20618" w:rsidRDefault="00D67BC4" w:rsidP="004C567F">
            <w:pPr>
              <w:pStyle w:val="TableTextRight"/>
              <w:rPr>
                <w:rFonts w:cstheme="minorHAnsi"/>
              </w:rPr>
            </w:pPr>
            <w:r w:rsidRPr="00A85CD9">
              <w:t>41.</w:t>
            </w:r>
            <w:r>
              <w:t>5</w:t>
            </w:r>
          </w:p>
        </w:tc>
        <w:tc>
          <w:tcPr>
            <w:tcW w:w="0" w:type="dxa"/>
            <w:tcBorders>
              <w:top w:val="nil"/>
              <w:left w:val="nil"/>
              <w:bottom w:val="nil"/>
              <w:right w:val="single" w:sz="4" w:space="0" w:color="auto"/>
            </w:tcBorders>
            <w:vAlign w:val="center"/>
          </w:tcPr>
          <w:p w14:paraId="637AA653" w14:textId="4BEA0CFD" w:rsidR="00B203CD" w:rsidRPr="00E20618" w:rsidRDefault="00D67BC4" w:rsidP="004C567F">
            <w:pPr>
              <w:pStyle w:val="TableTextRight"/>
              <w:rPr>
                <w:rFonts w:cstheme="minorHAnsi"/>
              </w:rPr>
            </w:pPr>
            <w:r w:rsidRPr="00A85CD9">
              <w:t>41.</w:t>
            </w:r>
            <w:r>
              <w:t>7</w:t>
            </w:r>
          </w:p>
        </w:tc>
        <w:tc>
          <w:tcPr>
            <w:tcW w:w="0" w:type="dxa"/>
            <w:tcBorders>
              <w:top w:val="nil"/>
              <w:left w:val="single" w:sz="4" w:space="0" w:color="auto"/>
              <w:bottom w:val="nil"/>
              <w:right w:val="nil"/>
            </w:tcBorders>
            <w:vAlign w:val="center"/>
          </w:tcPr>
          <w:p w14:paraId="734BB549" w14:textId="6D012F2F" w:rsidR="00B203CD" w:rsidRPr="00E20618" w:rsidRDefault="00D67BC4" w:rsidP="004C567F">
            <w:pPr>
              <w:pStyle w:val="TableTextRight"/>
              <w:rPr>
                <w:rFonts w:cstheme="minorHAnsi"/>
              </w:rPr>
            </w:pPr>
            <w:r w:rsidRPr="00A85CD9">
              <w:t>43.</w:t>
            </w:r>
            <w:r w:rsidR="008E09AC">
              <w:t>9</w:t>
            </w:r>
          </w:p>
        </w:tc>
      </w:tr>
      <w:tr w:rsidR="00F67DB6" w:rsidRPr="00485E58" w14:paraId="03E7CECF" w14:textId="77777777">
        <w:tc>
          <w:tcPr>
            <w:tcW w:w="0" w:type="dxa"/>
            <w:tcBorders>
              <w:bottom w:val="nil"/>
            </w:tcBorders>
          </w:tcPr>
          <w:p w14:paraId="757324A0" w14:textId="77777777" w:rsidR="00B203CD" w:rsidRPr="00A85CD9" w:rsidRDefault="00B203CD" w:rsidP="004C567F">
            <w:pPr>
              <w:pStyle w:val="Tabletextleftindent"/>
            </w:pPr>
            <w:r w:rsidRPr="00B561C3">
              <w:t>Greater Hobart</w:t>
            </w:r>
          </w:p>
        </w:tc>
        <w:tc>
          <w:tcPr>
            <w:tcW w:w="0" w:type="dxa"/>
            <w:tcBorders>
              <w:top w:val="nil"/>
              <w:left w:val="nil"/>
              <w:bottom w:val="nil"/>
              <w:right w:val="nil"/>
            </w:tcBorders>
            <w:vAlign w:val="center"/>
          </w:tcPr>
          <w:p w14:paraId="5D5102B6" w14:textId="617BFFC7" w:rsidR="00B203CD" w:rsidRPr="00E20618" w:rsidRDefault="00D67BC4" w:rsidP="004C567F">
            <w:pPr>
              <w:pStyle w:val="TableTextRight"/>
              <w:rPr>
                <w:rFonts w:cstheme="minorHAnsi"/>
              </w:rPr>
            </w:pPr>
            <w:r w:rsidRPr="00A85CD9">
              <w:t>37.</w:t>
            </w:r>
            <w:r>
              <w:t>7</w:t>
            </w:r>
          </w:p>
        </w:tc>
        <w:tc>
          <w:tcPr>
            <w:tcW w:w="0" w:type="dxa"/>
            <w:tcBorders>
              <w:top w:val="nil"/>
              <w:left w:val="nil"/>
              <w:bottom w:val="nil"/>
              <w:right w:val="nil"/>
            </w:tcBorders>
            <w:shd w:val="clear" w:color="auto" w:fill="D2EDFF" w:themeFill="accent1" w:themeFillTint="1A"/>
            <w:vAlign w:val="center"/>
          </w:tcPr>
          <w:p w14:paraId="07E1F23D" w14:textId="6D107019" w:rsidR="00B203CD" w:rsidRPr="00E20618" w:rsidRDefault="00D67BC4" w:rsidP="004C567F">
            <w:pPr>
              <w:pStyle w:val="TableTextRight"/>
              <w:rPr>
                <w:rFonts w:cstheme="minorHAnsi"/>
              </w:rPr>
            </w:pPr>
            <w:r w:rsidRPr="00A85CD9">
              <w:t>38.</w:t>
            </w:r>
            <w:r>
              <w:t>1</w:t>
            </w:r>
          </w:p>
        </w:tc>
        <w:tc>
          <w:tcPr>
            <w:tcW w:w="0" w:type="dxa"/>
            <w:tcBorders>
              <w:top w:val="nil"/>
              <w:left w:val="nil"/>
              <w:bottom w:val="nil"/>
              <w:right w:val="nil"/>
            </w:tcBorders>
            <w:vAlign w:val="center"/>
          </w:tcPr>
          <w:p w14:paraId="0216B3C7" w14:textId="2AA9641F" w:rsidR="00B203CD" w:rsidRPr="00E20618" w:rsidRDefault="00D67BC4" w:rsidP="004C567F">
            <w:pPr>
              <w:pStyle w:val="TableTextRight"/>
              <w:rPr>
                <w:rFonts w:cstheme="minorHAnsi"/>
              </w:rPr>
            </w:pPr>
            <w:r w:rsidRPr="00A85CD9">
              <w:t>38.</w:t>
            </w:r>
            <w:r w:rsidR="00661DB7">
              <w:t>4</w:t>
            </w:r>
          </w:p>
        </w:tc>
        <w:tc>
          <w:tcPr>
            <w:tcW w:w="0" w:type="dxa"/>
            <w:tcBorders>
              <w:top w:val="nil"/>
              <w:left w:val="nil"/>
              <w:bottom w:val="nil"/>
              <w:right w:val="nil"/>
            </w:tcBorders>
            <w:vAlign w:val="center"/>
          </w:tcPr>
          <w:p w14:paraId="3BFB93D0" w14:textId="6962B829" w:rsidR="00B203CD" w:rsidRPr="00E20618" w:rsidRDefault="00D67BC4" w:rsidP="004C567F">
            <w:pPr>
              <w:pStyle w:val="TableTextRight"/>
              <w:rPr>
                <w:rFonts w:cstheme="minorHAnsi"/>
              </w:rPr>
            </w:pPr>
            <w:r w:rsidRPr="00A85CD9">
              <w:t>38.7</w:t>
            </w:r>
          </w:p>
        </w:tc>
        <w:tc>
          <w:tcPr>
            <w:tcW w:w="0" w:type="dxa"/>
            <w:tcBorders>
              <w:top w:val="nil"/>
              <w:left w:val="nil"/>
              <w:bottom w:val="nil"/>
              <w:right w:val="single" w:sz="4" w:space="0" w:color="auto"/>
            </w:tcBorders>
            <w:vAlign w:val="center"/>
          </w:tcPr>
          <w:p w14:paraId="3D626716" w14:textId="3F72C89C" w:rsidR="00B203CD" w:rsidRPr="00E20618" w:rsidRDefault="00D67BC4" w:rsidP="004C567F">
            <w:pPr>
              <w:pStyle w:val="TableTextRight"/>
              <w:rPr>
                <w:rFonts w:cstheme="minorHAnsi"/>
              </w:rPr>
            </w:pPr>
            <w:r>
              <w:t>3</w:t>
            </w:r>
            <w:r w:rsidR="00661DB7">
              <w:t>9.0</w:t>
            </w:r>
          </w:p>
        </w:tc>
        <w:tc>
          <w:tcPr>
            <w:tcW w:w="0" w:type="dxa"/>
            <w:tcBorders>
              <w:top w:val="nil"/>
              <w:left w:val="single" w:sz="4" w:space="0" w:color="auto"/>
              <w:bottom w:val="nil"/>
              <w:right w:val="nil"/>
            </w:tcBorders>
            <w:vAlign w:val="center"/>
          </w:tcPr>
          <w:p w14:paraId="03197D47" w14:textId="3186F039" w:rsidR="00B203CD" w:rsidRPr="00E20618" w:rsidRDefault="00D67BC4" w:rsidP="004C567F">
            <w:pPr>
              <w:pStyle w:val="TableTextRight"/>
              <w:rPr>
                <w:rFonts w:cstheme="minorHAnsi"/>
              </w:rPr>
            </w:pPr>
            <w:r w:rsidRPr="00A85CD9">
              <w:t>41.</w:t>
            </w:r>
            <w:r>
              <w:t>5</w:t>
            </w:r>
          </w:p>
        </w:tc>
      </w:tr>
      <w:tr w:rsidR="00F67DB6" w:rsidRPr="00485E58" w14:paraId="768E10B7" w14:textId="77777777">
        <w:tc>
          <w:tcPr>
            <w:tcW w:w="0" w:type="dxa"/>
            <w:tcBorders>
              <w:bottom w:val="single" w:sz="4" w:space="0" w:color="auto"/>
            </w:tcBorders>
          </w:tcPr>
          <w:p w14:paraId="6EF58FA6" w14:textId="77777777" w:rsidR="00B203CD" w:rsidRPr="00A85CD9" w:rsidRDefault="00B203CD" w:rsidP="004C567F">
            <w:pPr>
              <w:pStyle w:val="Tabletextleftindent"/>
            </w:pPr>
            <w:r w:rsidRPr="00B561C3">
              <w:t>Rest of Tasmania</w:t>
            </w:r>
          </w:p>
        </w:tc>
        <w:tc>
          <w:tcPr>
            <w:tcW w:w="0" w:type="dxa"/>
            <w:tcBorders>
              <w:top w:val="nil"/>
              <w:left w:val="nil"/>
              <w:bottom w:val="single" w:sz="4" w:space="0" w:color="auto"/>
              <w:right w:val="nil"/>
            </w:tcBorders>
            <w:vAlign w:val="center"/>
          </w:tcPr>
          <w:p w14:paraId="5D94C9D5" w14:textId="20BA9599" w:rsidR="00B203CD" w:rsidRPr="00E20618" w:rsidRDefault="00D67BC4" w:rsidP="004C567F">
            <w:pPr>
              <w:pStyle w:val="TableTextRight"/>
              <w:rPr>
                <w:rFonts w:cstheme="minorHAnsi"/>
              </w:rPr>
            </w:pPr>
            <w:r w:rsidRPr="00A85CD9">
              <w:t>43.</w:t>
            </w:r>
            <w:r>
              <w:t>6</w:t>
            </w:r>
          </w:p>
        </w:tc>
        <w:tc>
          <w:tcPr>
            <w:tcW w:w="0" w:type="dxa"/>
            <w:tcBorders>
              <w:top w:val="nil"/>
              <w:left w:val="nil"/>
              <w:bottom w:val="single" w:sz="4" w:space="0" w:color="auto"/>
              <w:right w:val="nil"/>
            </w:tcBorders>
            <w:shd w:val="clear" w:color="auto" w:fill="D2EDFF" w:themeFill="accent1" w:themeFillTint="1A"/>
            <w:vAlign w:val="center"/>
          </w:tcPr>
          <w:p w14:paraId="300FC8B8" w14:textId="3109CEB9" w:rsidR="00B203CD" w:rsidRPr="00E20618" w:rsidRDefault="00D67BC4" w:rsidP="004C567F">
            <w:pPr>
              <w:pStyle w:val="TableTextRight"/>
              <w:rPr>
                <w:rFonts w:cstheme="minorHAnsi"/>
              </w:rPr>
            </w:pPr>
            <w:r w:rsidRPr="00A85CD9">
              <w:t>43.</w:t>
            </w:r>
            <w:r w:rsidR="00F22785">
              <w:t>9</w:t>
            </w:r>
          </w:p>
        </w:tc>
        <w:tc>
          <w:tcPr>
            <w:tcW w:w="0" w:type="dxa"/>
            <w:tcBorders>
              <w:top w:val="nil"/>
              <w:left w:val="nil"/>
              <w:bottom w:val="single" w:sz="4" w:space="0" w:color="auto"/>
              <w:right w:val="nil"/>
            </w:tcBorders>
            <w:vAlign w:val="center"/>
          </w:tcPr>
          <w:p w14:paraId="68941A9A" w14:textId="604C5543" w:rsidR="00B203CD" w:rsidRPr="00E20618" w:rsidRDefault="00D67BC4" w:rsidP="004C567F">
            <w:pPr>
              <w:pStyle w:val="TableTextRight"/>
              <w:rPr>
                <w:rFonts w:cstheme="minorHAnsi"/>
              </w:rPr>
            </w:pPr>
            <w:r>
              <w:t>4</w:t>
            </w:r>
            <w:r w:rsidR="00F22785">
              <w:t>4.0</w:t>
            </w:r>
          </w:p>
        </w:tc>
        <w:tc>
          <w:tcPr>
            <w:tcW w:w="0" w:type="dxa"/>
            <w:tcBorders>
              <w:top w:val="nil"/>
              <w:left w:val="nil"/>
              <w:bottom w:val="single" w:sz="4" w:space="0" w:color="auto"/>
              <w:right w:val="nil"/>
            </w:tcBorders>
            <w:vAlign w:val="center"/>
          </w:tcPr>
          <w:p w14:paraId="14CD6508" w14:textId="6B6FE52C" w:rsidR="00B203CD" w:rsidRPr="00E20618" w:rsidRDefault="00D67BC4" w:rsidP="004C567F">
            <w:pPr>
              <w:pStyle w:val="TableTextRight"/>
              <w:rPr>
                <w:rFonts w:cstheme="minorHAnsi"/>
              </w:rPr>
            </w:pPr>
            <w:r w:rsidRPr="00A85CD9">
              <w:t>44.</w:t>
            </w:r>
            <w:r w:rsidR="00F22785">
              <w:t>2</w:t>
            </w:r>
          </w:p>
        </w:tc>
        <w:tc>
          <w:tcPr>
            <w:tcW w:w="0" w:type="dxa"/>
            <w:tcBorders>
              <w:top w:val="nil"/>
              <w:left w:val="nil"/>
              <w:bottom w:val="single" w:sz="4" w:space="0" w:color="auto"/>
              <w:right w:val="single" w:sz="4" w:space="0" w:color="auto"/>
            </w:tcBorders>
            <w:vAlign w:val="center"/>
          </w:tcPr>
          <w:p w14:paraId="26A9AAA4" w14:textId="3EB7B029" w:rsidR="00B203CD" w:rsidRPr="00E20618" w:rsidRDefault="00D67BC4" w:rsidP="004C567F">
            <w:pPr>
              <w:pStyle w:val="TableTextRight"/>
              <w:rPr>
                <w:rFonts w:cstheme="minorHAnsi"/>
              </w:rPr>
            </w:pPr>
            <w:r w:rsidRPr="00A85CD9">
              <w:t>44.</w:t>
            </w:r>
            <w:r w:rsidR="00F22785">
              <w:t>4</w:t>
            </w:r>
          </w:p>
        </w:tc>
        <w:tc>
          <w:tcPr>
            <w:tcW w:w="0" w:type="dxa"/>
            <w:tcBorders>
              <w:top w:val="nil"/>
              <w:left w:val="single" w:sz="4" w:space="0" w:color="auto"/>
              <w:bottom w:val="single" w:sz="4" w:space="0" w:color="auto"/>
              <w:right w:val="nil"/>
            </w:tcBorders>
            <w:vAlign w:val="center"/>
          </w:tcPr>
          <w:p w14:paraId="56041B09" w14:textId="10ED8E2E" w:rsidR="00B203CD" w:rsidRPr="00E20618" w:rsidRDefault="00D67BC4" w:rsidP="004C567F">
            <w:pPr>
              <w:pStyle w:val="TableTextRight"/>
              <w:rPr>
                <w:rFonts w:cstheme="minorHAnsi"/>
              </w:rPr>
            </w:pPr>
            <w:r w:rsidRPr="00A85CD9">
              <w:t>46.</w:t>
            </w:r>
            <w:r w:rsidR="000D4F38">
              <w:rPr>
                <w:rFonts w:cs="Calibri"/>
              </w:rPr>
              <w:t>5</w:t>
            </w:r>
          </w:p>
        </w:tc>
      </w:tr>
    </w:tbl>
    <w:p w14:paraId="432444A0" w14:textId="48981F6F" w:rsidR="00B203CD" w:rsidRPr="001D20C5" w:rsidRDefault="00B203CD" w:rsidP="00C14BAE">
      <w:pPr>
        <w:pStyle w:val="Source"/>
      </w:pPr>
      <w:r w:rsidRPr="001D20C5">
        <w:t xml:space="preserve">Source: </w:t>
      </w:r>
      <w:r w:rsidR="001D20C5">
        <w:tab/>
      </w:r>
      <w:r w:rsidR="00DD1DCF" w:rsidRPr="001D20C5">
        <w:t>ABS</w:t>
      </w:r>
      <w:r w:rsidRPr="001D20C5">
        <w:t>, National, state and territory population, March 2023</w:t>
      </w:r>
      <w:r w:rsidR="00527D87">
        <w:t>,</w:t>
      </w:r>
      <w:r w:rsidRPr="001D20C5">
        <w:t xml:space="preserve"> </w:t>
      </w:r>
      <w:r w:rsidR="00DD1DCF" w:rsidRPr="001D20C5">
        <w:t>ABS</w:t>
      </w:r>
      <w:r w:rsidRPr="001D20C5">
        <w:t>, Regional population 2021–22</w:t>
      </w:r>
      <w:r w:rsidR="00527D87">
        <w:t>,</w:t>
      </w:r>
      <w:r w:rsidRPr="001D20C5">
        <w:t xml:space="preserve"> and Centre for Population projections.</w:t>
      </w:r>
    </w:p>
    <w:p w14:paraId="19365FF1" w14:textId="5368253A" w:rsidR="006A6B17" w:rsidRDefault="006A6B17" w:rsidP="00A85CD9">
      <w:pPr>
        <w:pStyle w:val="SingleParagraph"/>
      </w:pPr>
    </w:p>
    <w:p w14:paraId="5FBD2F56" w14:textId="47FEC236" w:rsidR="00472C9A" w:rsidRDefault="00472C9A" w:rsidP="00A85CD9">
      <w:pPr>
        <w:pStyle w:val="Heading2Numbered"/>
      </w:pPr>
      <w:bookmarkStart w:id="162" w:name="_Toc149846514"/>
      <w:bookmarkStart w:id="163" w:name="_Toc149846555"/>
      <w:bookmarkStart w:id="164" w:name="_Toc149846653"/>
      <w:bookmarkStart w:id="165" w:name="_Toc149847596"/>
      <w:bookmarkStart w:id="166" w:name="_Toc151994729"/>
      <w:bookmarkStart w:id="167" w:name="_Toc154050218"/>
      <w:r>
        <w:lastRenderedPageBreak/>
        <w:t>Northern Territory</w:t>
      </w:r>
      <w:bookmarkEnd w:id="162"/>
      <w:bookmarkEnd w:id="163"/>
      <w:bookmarkEnd w:id="164"/>
      <w:bookmarkEnd w:id="165"/>
      <w:bookmarkEnd w:id="166"/>
      <w:bookmarkEnd w:id="167"/>
    </w:p>
    <w:p w14:paraId="1353AB21" w14:textId="0AFA6496" w:rsidR="00304AD0" w:rsidRDefault="00A63E1D" w:rsidP="00A03C20">
      <w:pPr>
        <w:keepNext/>
        <w:keepLines/>
      </w:pPr>
      <w:r>
        <w:t xml:space="preserve">The population of the Northern Territory was </w:t>
      </w:r>
      <w:r w:rsidR="00B469FB">
        <w:t xml:space="preserve">250,000 </w:t>
      </w:r>
      <w:r w:rsidR="008261E9">
        <w:t>on</w:t>
      </w:r>
      <w:r w:rsidR="00493632">
        <w:t xml:space="preserve"> 30 June 202</w:t>
      </w:r>
      <w:r w:rsidR="00334E7B">
        <w:t>2</w:t>
      </w:r>
      <w:r w:rsidR="00493632">
        <w:t>.</w:t>
      </w:r>
      <w:r w:rsidR="00C31A90">
        <w:t xml:space="preserve"> </w:t>
      </w:r>
      <w:r w:rsidR="006A6E87">
        <w:t>Over 2021–22, the Northern Territory</w:t>
      </w:r>
      <w:r w:rsidR="004B14AB">
        <w:t>’</w:t>
      </w:r>
      <w:r w:rsidR="006A6E87">
        <w:t>s population grew by 0.8</w:t>
      </w:r>
      <w:r w:rsidR="001F3B6F">
        <w:t> per cent</w:t>
      </w:r>
      <w:r w:rsidR="00257625">
        <w:t xml:space="preserve">, increasing from </w:t>
      </w:r>
      <w:r w:rsidR="00334E7B">
        <w:t xml:space="preserve">the </w:t>
      </w:r>
      <w:r w:rsidR="008B77C4">
        <w:t xml:space="preserve">low </w:t>
      </w:r>
      <w:r w:rsidR="00257625">
        <w:t xml:space="preserve">growth </w:t>
      </w:r>
      <w:r w:rsidR="00646E7B">
        <w:t xml:space="preserve">rates experienced during the pandemic. </w:t>
      </w:r>
      <w:r w:rsidR="00B86D3F">
        <w:t>Population g</w:t>
      </w:r>
      <w:r w:rsidR="008F2965">
        <w:t xml:space="preserve">rowth is </w:t>
      </w:r>
      <w:r w:rsidR="00653AE0">
        <w:t>forecast</w:t>
      </w:r>
      <w:r w:rsidR="008F2965">
        <w:t xml:space="preserve"> to </w:t>
      </w:r>
      <w:r w:rsidR="00E02FD3">
        <w:t>increase</w:t>
      </w:r>
      <w:r w:rsidR="008F2965">
        <w:t xml:space="preserve"> </w:t>
      </w:r>
      <w:r w:rsidR="00685006">
        <w:t>to 1.1</w:t>
      </w:r>
      <w:r w:rsidR="001F3B6F">
        <w:t> per cent</w:t>
      </w:r>
      <w:r w:rsidR="00685006">
        <w:t xml:space="preserve"> in 2022–23, </w:t>
      </w:r>
      <w:r w:rsidR="002F79F6">
        <w:t>before peaking at</w:t>
      </w:r>
      <w:r w:rsidR="00602221">
        <w:t xml:space="preserve"> </w:t>
      </w:r>
      <w:r w:rsidR="00794075">
        <w:t>1.</w:t>
      </w:r>
      <w:r w:rsidR="00E64A33">
        <w:t>2</w:t>
      </w:r>
      <w:r w:rsidR="001F3B6F">
        <w:t> per cent</w:t>
      </w:r>
      <w:r w:rsidR="00794075">
        <w:t xml:space="preserve"> in 2025–26. </w:t>
      </w:r>
      <w:r w:rsidR="00653AE0">
        <w:t>Population growth is then projected to slowly decline to 1.1</w:t>
      </w:r>
      <w:r w:rsidR="001F3B6F">
        <w:t> per cent</w:t>
      </w:r>
      <w:r w:rsidR="00653AE0" w:rsidDel="00EA63CC">
        <w:t xml:space="preserve"> </w:t>
      </w:r>
      <w:r w:rsidR="00653AE0">
        <w:t>in 2033–34</w:t>
      </w:r>
      <w:r w:rsidR="00304AD0">
        <w:t xml:space="preserve">, </w:t>
      </w:r>
      <w:r w:rsidR="008B5D00">
        <w:t xml:space="preserve">when the </w:t>
      </w:r>
      <w:r w:rsidR="00106484">
        <w:t>Northern Territory</w:t>
      </w:r>
      <w:r w:rsidR="004B14AB">
        <w:t>’</w:t>
      </w:r>
      <w:r w:rsidR="00106484">
        <w:t xml:space="preserve">s </w:t>
      </w:r>
      <w:r w:rsidR="008B5D00">
        <w:t xml:space="preserve">population is expected to </w:t>
      </w:r>
      <w:r w:rsidR="004A5718">
        <w:t>reach</w:t>
      </w:r>
      <w:r w:rsidR="004A5718" w:rsidDel="00EA63CC">
        <w:t xml:space="preserve"> </w:t>
      </w:r>
      <w:r w:rsidR="008B5D00">
        <w:t>2</w:t>
      </w:r>
      <w:r w:rsidR="002D3768">
        <w:t>8</w:t>
      </w:r>
      <w:r w:rsidR="00835DF1">
        <w:t>6</w:t>
      </w:r>
      <w:r w:rsidR="008B5D00">
        <w:t>,000</w:t>
      </w:r>
      <w:r w:rsidR="002D3768">
        <w:t xml:space="preserve">. </w:t>
      </w:r>
    </w:p>
    <w:p w14:paraId="170015D0" w14:textId="665895B7" w:rsidR="00772CE6" w:rsidRDefault="00927471" w:rsidP="00A03C20">
      <w:r>
        <w:t>Natural</w:t>
      </w:r>
      <w:r w:rsidR="000E1D52">
        <w:t xml:space="preserve"> </w:t>
      </w:r>
      <w:r w:rsidR="0018023B">
        <w:t xml:space="preserve">increase is expected to </w:t>
      </w:r>
      <w:r>
        <w:t>continue to make</w:t>
      </w:r>
      <w:r w:rsidR="00943660">
        <w:t xml:space="preserve"> the largest </w:t>
      </w:r>
      <w:r>
        <w:t>contribution to the Northern Territory</w:t>
      </w:r>
      <w:r w:rsidR="004B14AB">
        <w:t>’</w:t>
      </w:r>
      <w:r>
        <w:t>s population growth over the projection period</w:t>
      </w:r>
      <w:r w:rsidR="00392B67">
        <w:t>, reflecting its high fertility rate and younger population.</w:t>
      </w:r>
      <w:r>
        <w:t xml:space="preserve"> </w:t>
      </w:r>
      <w:r w:rsidR="00D861C8">
        <w:t>However, t</w:t>
      </w:r>
      <w:r w:rsidR="001331E6">
        <w:t>he Northern Territory has experienced n</w:t>
      </w:r>
      <w:r w:rsidR="009E1D6D">
        <w:t>et interstate migration</w:t>
      </w:r>
      <w:r w:rsidR="00992DAA">
        <w:t xml:space="preserve"> </w:t>
      </w:r>
      <w:r w:rsidR="001331E6">
        <w:t xml:space="preserve">outflows over the past </w:t>
      </w:r>
      <w:r w:rsidR="004B7CAE">
        <w:t>10</w:t>
      </w:r>
      <w:r w:rsidR="00377429">
        <w:t> year</w:t>
      </w:r>
      <w:r w:rsidR="001331E6">
        <w:t xml:space="preserve">s. </w:t>
      </w:r>
      <w:r w:rsidR="00FA5FB5">
        <w:br/>
      </w:r>
      <w:r w:rsidR="001331E6">
        <w:t xml:space="preserve">This is </w:t>
      </w:r>
      <w:r w:rsidR="0010516A">
        <w:t>projected</w:t>
      </w:r>
      <w:r w:rsidR="001331E6">
        <w:t xml:space="preserve"> to continue, wit</w:t>
      </w:r>
      <w:r w:rsidR="0076289F">
        <w:t xml:space="preserve">h outflows expected over the </w:t>
      </w:r>
      <w:r w:rsidR="0043333E">
        <w:t>whole</w:t>
      </w:r>
      <w:r w:rsidR="0076289F">
        <w:t xml:space="preserve"> projection period</w:t>
      </w:r>
      <w:r w:rsidR="00007858">
        <w:t xml:space="preserve">, but moderating </w:t>
      </w:r>
      <w:r w:rsidR="00FA5FB5">
        <w:br/>
      </w:r>
      <w:r w:rsidR="00007858">
        <w:t xml:space="preserve">from </w:t>
      </w:r>
      <w:r w:rsidR="00357D78">
        <w:t>3,100 in 2022–23 to 1,</w:t>
      </w:r>
      <w:r w:rsidR="006B5553">
        <w:t>2</w:t>
      </w:r>
      <w:r w:rsidR="00357D78">
        <w:t>00 in 2033–34.</w:t>
      </w:r>
    </w:p>
    <w:p w14:paraId="7FE94C07" w14:textId="77777777" w:rsidR="00772CE6" w:rsidRPr="001D20C5" w:rsidRDefault="00772CE6" w:rsidP="00A03C20">
      <w:pPr>
        <w:pStyle w:val="ChartMainHeading"/>
      </w:pPr>
      <w:bookmarkStart w:id="168" w:name="_Ref120633121"/>
      <w:r w:rsidRPr="001D20C5">
        <w:t>Population growth and components, Northern Territory</w:t>
      </w:r>
      <w:bookmarkEnd w:id="168"/>
    </w:p>
    <w:p w14:paraId="7687ED54" w14:textId="6B69FF84" w:rsidR="00CC6CDF" w:rsidRDefault="00180420" w:rsidP="00A03C20">
      <w:pPr>
        <w:pStyle w:val="ChartGraphic"/>
      </w:pPr>
      <w:r w:rsidRPr="00180420">
        <w:t xml:space="preserve"> </w:t>
      </w:r>
      <w:r w:rsidR="00CC6CDF" w:rsidRPr="00CC6CDF">
        <w:rPr>
          <w:noProof/>
        </w:rPr>
        <w:drawing>
          <wp:inline distT="0" distB="0" distL="0" distR="0" wp14:anchorId="5100B8B1" wp14:editId="49D31608">
            <wp:extent cx="5581650" cy="2886075"/>
            <wp:effectExtent l="0" t="0" r="0" b="0"/>
            <wp:docPr id="66" name="Picture 66" descr="This chart shows population growth by component for the Northern Territory, disaggregated into its components: natural increase, net overseas migration and net interstate migration. Intercensal difference is also shown. Natural increase will play a major role in the Territory’s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chart shows population growth by component for the Northern Territory, disaggregated into its components: natural increase, net overseas migration and net interstate migration. Intercensal difference is also shown. Natural increase will play a major role in the Territory’s population growth over the projection perio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66656156" w14:textId="6CF0ABBE" w:rsidR="00772CE6" w:rsidRPr="00A03C20" w:rsidRDefault="00772CE6" w:rsidP="00C14BAE">
      <w:pPr>
        <w:pStyle w:val="Source"/>
      </w:pPr>
      <w:r w:rsidRPr="001D20C5">
        <w:t xml:space="preserve">Source: </w:t>
      </w:r>
      <w:r w:rsidR="001D20C5">
        <w:tab/>
      </w:r>
      <w:r w:rsidR="00DD1DCF" w:rsidRPr="001D20C5">
        <w:t>ABS</w:t>
      </w:r>
      <w:r w:rsidRPr="001D20C5">
        <w:t xml:space="preserve">, National, state and territory population, March </w:t>
      </w:r>
      <w:r w:rsidR="007E08F1">
        <w:t>2023 and</w:t>
      </w:r>
      <w:r w:rsidRPr="001D20C5">
        <w:t xml:space="preserve"> Centre for Population projections.</w:t>
      </w:r>
    </w:p>
    <w:p w14:paraId="1A33BCDA" w14:textId="61F65845" w:rsidR="00000A61" w:rsidRDefault="00000A61" w:rsidP="001D20C5">
      <w:r w:rsidRPr="00F704FC">
        <w:rPr>
          <w:b/>
        </w:rPr>
        <w:t xml:space="preserve">Greater </w:t>
      </w:r>
      <w:r w:rsidR="00F2521B" w:rsidRPr="00F704FC">
        <w:rPr>
          <w:b/>
        </w:rPr>
        <w:t>Darwin</w:t>
      </w:r>
      <w:r w:rsidR="004B14AB">
        <w:rPr>
          <w:b/>
        </w:rPr>
        <w:t>’</w:t>
      </w:r>
      <w:r w:rsidRPr="00F704FC">
        <w:rPr>
          <w:b/>
        </w:rPr>
        <w:t>s</w:t>
      </w:r>
      <w:r>
        <w:t xml:space="preserve"> population on 30 June 2022 was 1</w:t>
      </w:r>
      <w:r w:rsidR="00F2521B">
        <w:t>49,000</w:t>
      </w:r>
      <w:r>
        <w:t xml:space="preserve">, representing </w:t>
      </w:r>
      <w:r w:rsidR="00F2521B">
        <w:t>60</w:t>
      </w:r>
      <w:r w:rsidR="001F3B6F">
        <w:t> per cent</w:t>
      </w:r>
      <w:r>
        <w:t xml:space="preserve"> of </w:t>
      </w:r>
      <w:r w:rsidR="00CF32B6">
        <w:t>the Northern Territory</w:t>
      </w:r>
      <w:r w:rsidR="004B14AB">
        <w:t>’</w:t>
      </w:r>
      <w:r w:rsidR="00CF32B6">
        <w:t>s</w:t>
      </w:r>
      <w:r>
        <w:t xml:space="preserve"> population. Population growth in </w:t>
      </w:r>
      <w:r w:rsidR="00CF32B6">
        <w:t>Darwin</w:t>
      </w:r>
      <w:r>
        <w:t xml:space="preserve"> was </w:t>
      </w:r>
      <w:r w:rsidR="008F1517">
        <w:t>0.8</w:t>
      </w:r>
      <w:r w:rsidR="001F3B6F">
        <w:t> per cent</w:t>
      </w:r>
      <w:r>
        <w:t xml:space="preserve"> in 2021</w:t>
      </w:r>
      <w:r w:rsidR="00E54F9C" w:rsidDel="00EA63CC">
        <w:t>–</w:t>
      </w:r>
      <w:r>
        <w:t xml:space="preserve">22 and is forecast to increase to </w:t>
      </w:r>
      <w:r w:rsidR="00F23161">
        <w:t>1.6</w:t>
      </w:r>
      <w:r w:rsidR="001F3B6F">
        <w:t> per cent</w:t>
      </w:r>
      <w:r>
        <w:t xml:space="preserve"> </w:t>
      </w:r>
      <w:r w:rsidR="00F23161">
        <w:t xml:space="preserve">in </w:t>
      </w:r>
      <w:r>
        <w:t>2022–23</w:t>
      </w:r>
      <w:r w:rsidR="00F23161">
        <w:t xml:space="preserve"> and </w:t>
      </w:r>
      <w:r w:rsidR="00F6026F">
        <w:t>1.5</w:t>
      </w:r>
      <w:r w:rsidR="001F3B6F">
        <w:t> per cent</w:t>
      </w:r>
      <w:r w:rsidR="00F6026F">
        <w:t xml:space="preserve"> in </w:t>
      </w:r>
      <w:r>
        <w:t xml:space="preserve">2033–34. </w:t>
      </w:r>
      <w:r w:rsidR="00284CF0">
        <w:t>As net overseas migration returns to trend levels</w:t>
      </w:r>
      <w:r w:rsidR="00625354">
        <w:t>, natural increase is projected to become the largest driver of population growth</w:t>
      </w:r>
      <w:r w:rsidR="009F54B0">
        <w:t xml:space="preserve"> – the highest contribution to</w:t>
      </w:r>
      <w:r w:rsidR="00151361">
        <w:t xml:space="preserve"> growth </w:t>
      </w:r>
      <w:r w:rsidR="00BC158E">
        <w:t>f</w:t>
      </w:r>
      <w:r w:rsidR="006855E0">
        <w:t>o</w:t>
      </w:r>
      <w:r w:rsidR="00BC158E">
        <w:t>r</w:t>
      </w:r>
      <w:r w:rsidR="00151361">
        <w:t xml:space="preserve"> any city or region</w:t>
      </w:r>
      <w:r w:rsidR="00625354">
        <w:t xml:space="preserve">. </w:t>
      </w:r>
      <w:r w:rsidR="003F0A43">
        <w:t>Net internal migration is assumed to return to its long</w:t>
      </w:r>
      <w:r w:rsidR="00310A93">
        <w:t xml:space="preserve"> </w:t>
      </w:r>
      <w:r w:rsidR="00D356AD" w:rsidDel="00EA63CC">
        <w:t>term</w:t>
      </w:r>
      <w:r w:rsidR="003F0A43">
        <w:t xml:space="preserve"> average</w:t>
      </w:r>
      <w:r w:rsidR="00B869D5">
        <w:t xml:space="preserve"> by 2025</w:t>
      </w:r>
      <w:r w:rsidR="005066DA">
        <w:t>–</w:t>
      </w:r>
      <w:r w:rsidR="00B869D5">
        <w:t>26</w:t>
      </w:r>
      <w:r w:rsidR="003F0A43">
        <w:t xml:space="preserve">, </w:t>
      </w:r>
      <w:r w:rsidR="00BB39C9">
        <w:t xml:space="preserve">and decline further </w:t>
      </w:r>
      <w:r w:rsidR="00A433BB">
        <w:t>each</w:t>
      </w:r>
      <w:r w:rsidR="00B02EA4">
        <w:t xml:space="preserve"> year. Darwin</w:t>
      </w:r>
      <w:r w:rsidR="004B14AB">
        <w:t>’</w:t>
      </w:r>
      <w:r>
        <w:t xml:space="preserve">s population is projected to be </w:t>
      </w:r>
      <w:r w:rsidR="001553B0">
        <w:t>181</w:t>
      </w:r>
      <w:r w:rsidR="00B02EA4">
        <w:t>,000</w:t>
      </w:r>
      <w:r>
        <w:t xml:space="preserve"> in 2033–34. </w:t>
      </w:r>
    </w:p>
    <w:p w14:paraId="4DE0A666" w14:textId="00CC8479" w:rsidR="00000A61" w:rsidRDefault="00000A61" w:rsidP="001D20C5">
      <w:r>
        <w:t xml:space="preserve">The population of </w:t>
      </w:r>
      <w:r w:rsidRPr="00F704FC">
        <w:rPr>
          <w:b/>
        </w:rPr>
        <w:t xml:space="preserve">the rest of </w:t>
      </w:r>
      <w:r w:rsidR="007527CF">
        <w:rPr>
          <w:b/>
        </w:rPr>
        <w:t xml:space="preserve">the </w:t>
      </w:r>
      <w:r w:rsidR="00B02EA4" w:rsidRPr="00F704FC">
        <w:rPr>
          <w:b/>
        </w:rPr>
        <w:t>Northern Territory</w:t>
      </w:r>
      <w:r>
        <w:t xml:space="preserve"> on 30 June 2022 was </w:t>
      </w:r>
      <w:r w:rsidR="008F076D">
        <w:t>1</w:t>
      </w:r>
      <w:r>
        <w:t>01,000. Population growth was 0.</w:t>
      </w:r>
      <w:r w:rsidR="00327FA2">
        <w:t>9</w:t>
      </w:r>
      <w:r w:rsidR="001F3B6F">
        <w:t> per cent</w:t>
      </w:r>
      <w:r>
        <w:t xml:space="preserve"> in 2021–22, driven by </w:t>
      </w:r>
      <w:r w:rsidR="00460726">
        <w:t>natural increase</w:t>
      </w:r>
      <w:r>
        <w:t xml:space="preserve">. </w:t>
      </w:r>
      <w:r w:rsidR="002F4E22">
        <w:t>Net internal migration is expected</w:t>
      </w:r>
      <w:r>
        <w:t xml:space="preserve"> to </w:t>
      </w:r>
      <w:r w:rsidR="002F4E22">
        <w:t>detract from growth</w:t>
      </w:r>
      <w:r w:rsidR="004E7E7C">
        <w:t xml:space="preserve"> in</w:t>
      </w:r>
      <w:r>
        <w:t xml:space="preserve"> 2022</w:t>
      </w:r>
      <w:r w:rsidR="00E54F9C" w:rsidDel="00EA63CC">
        <w:t>–</w:t>
      </w:r>
      <w:r>
        <w:t xml:space="preserve">23, with </w:t>
      </w:r>
      <w:r w:rsidR="009F78FE">
        <w:t xml:space="preserve">population </w:t>
      </w:r>
      <w:r>
        <w:t>growth forecast to be 0.</w:t>
      </w:r>
      <w:r w:rsidR="0081180C">
        <w:t>3</w:t>
      </w:r>
      <w:r w:rsidR="001F3B6F">
        <w:t> per cent</w:t>
      </w:r>
      <w:r>
        <w:t xml:space="preserve">. </w:t>
      </w:r>
      <w:r w:rsidR="00366AE1">
        <w:t>Despite having the highest natural increase contribution</w:t>
      </w:r>
      <w:r w:rsidR="009F78FE">
        <w:t xml:space="preserve"> of any </w:t>
      </w:r>
      <w:r w:rsidR="005E5D25">
        <w:t>rest</w:t>
      </w:r>
      <w:r w:rsidR="004B14AB">
        <w:noBreakHyphen/>
      </w:r>
      <w:r w:rsidR="005E5D25">
        <w:t>of</w:t>
      </w:r>
      <w:r w:rsidR="004B14AB">
        <w:noBreakHyphen/>
      </w:r>
      <w:r w:rsidR="005E5D25">
        <w:t>state area</w:t>
      </w:r>
      <w:r w:rsidR="00366AE1">
        <w:t xml:space="preserve">, </w:t>
      </w:r>
      <w:r w:rsidR="007527CF">
        <w:t xml:space="preserve">the </w:t>
      </w:r>
      <w:r w:rsidR="00366AE1">
        <w:t>rest of</w:t>
      </w:r>
      <w:r w:rsidR="00366AE1" w:rsidDel="00EA63CC">
        <w:t xml:space="preserve"> </w:t>
      </w:r>
      <w:r w:rsidR="007527CF">
        <w:t>the</w:t>
      </w:r>
      <w:r w:rsidR="00366AE1">
        <w:t xml:space="preserve"> Northern Territory </w:t>
      </w:r>
      <w:r w:rsidR="00663465">
        <w:t xml:space="preserve">is projected to be the second slowest </w:t>
      </w:r>
      <w:r w:rsidR="00A830B3">
        <w:t>growing</w:t>
      </w:r>
      <w:r w:rsidR="00663465">
        <w:t xml:space="preserve"> rest</w:t>
      </w:r>
      <w:r w:rsidR="004B14AB">
        <w:noBreakHyphen/>
      </w:r>
      <w:r w:rsidR="00663465">
        <w:t>of</w:t>
      </w:r>
      <w:r w:rsidR="004B14AB">
        <w:noBreakHyphen/>
      </w:r>
      <w:r w:rsidR="00663465">
        <w:t xml:space="preserve">state area over most of the </w:t>
      </w:r>
      <w:r>
        <w:t xml:space="preserve">projection </w:t>
      </w:r>
      <w:r w:rsidR="00663465">
        <w:t>period.</w:t>
      </w:r>
      <w:r>
        <w:t xml:space="preserve"> </w:t>
      </w:r>
      <w:r w:rsidR="004918D7">
        <w:t>This is because, u</w:t>
      </w:r>
      <w:r w:rsidR="00F86077">
        <w:t xml:space="preserve">nlike most </w:t>
      </w:r>
      <w:r w:rsidR="00C91DF3">
        <w:t>rest</w:t>
      </w:r>
      <w:r w:rsidR="00943CF1">
        <w:t>-</w:t>
      </w:r>
      <w:r w:rsidR="00C91DF3">
        <w:t>of</w:t>
      </w:r>
      <w:r w:rsidR="00943CF1">
        <w:t>-</w:t>
      </w:r>
      <w:r w:rsidR="00C91DF3">
        <w:t>state</w:t>
      </w:r>
      <w:r w:rsidR="00F86077">
        <w:t xml:space="preserve"> areas</w:t>
      </w:r>
      <w:r w:rsidR="001B7559">
        <w:t xml:space="preserve"> which</w:t>
      </w:r>
      <w:r w:rsidR="00F86077">
        <w:t xml:space="preserve"> benefit </w:t>
      </w:r>
      <w:r w:rsidR="00C91DF3">
        <w:t>significantly from net internal migration,</w:t>
      </w:r>
      <w:r w:rsidR="00F86077">
        <w:t xml:space="preserve"> </w:t>
      </w:r>
      <w:r w:rsidR="00CE719D">
        <w:t>internal migration outflows</w:t>
      </w:r>
      <w:r w:rsidR="00317837">
        <w:t xml:space="preserve"> </w:t>
      </w:r>
      <w:r w:rsidR="00156E85">
        <w:t xml:space="preserve">will detract from population growth in the rest of </w:t>
      </w:r>
      <w:r w:rsidR="007527CF">
        <w:t xml:space="preserve">the </w:t>
      </w:r>
      <w:r w:rsidR="009A01A5">
        <w:t>Northern Territory.</w:t>
      </w:r>
      <w:r>
        <w:t xml:space="preserve"> </w:t>
      </w:r>
      <w:r w:rsidR="007527CF">
        <w:t>The</w:t>
      </w:r>
      <w:r w:rsidR="00697156">
        <w:t> </w:t>
      </w:r>
      <w:r w:rsidR="007527CF">
        <w:t>r</w:t>
      </w:r>
      <w:r w:rsidDel="00EA63CC">
        <w:t xml:space="preserve">est of </w:t>
      </w:r>
      <w:r w:rsidR="007527CF">
        <w:t>the</w:t>
      </w:r>
      <w:r>
        <w:t xml:space="preserve"> </w:t>
      </w:r>
      <w:r w:rsidR="00387FF1">
        <w:t>Northern Territory</w:t>
      </w:r>
      <w:r w:rsidR="004B14AB">
        <w:t>’</w:t>
      </w:r>
      <w:r>
        <w:t xml:space="preserve">s population is projected to be </w:t>
      </w:r>
      <w:r w:rsidR="007A733D">
        <w:t>105</w:t>
      </w:r>
      <w:r>
        <w:t>,000 in 2033</w:t>
      </w:r>
      <w:r w:rsidR="00E54F9C" w:rsidDel="00EA63CC">
        <w:t>–</w:t>
      </w:r>
      <w:r>
        <w:t xml:space="preserve">34. </w:t>
      </w:r>
    </w:p>
    <w:p w14:paraId="219DB9C4" w14:textId="79407F29" w:rsidR="00301B61" w:rsidRPr="001D20C5" w:rsidRDefault="00301B61" w:rsidP="00B44302">
      <w:pPr>
        <w:pStyle w:val="ChartMainHeading"/>
      </w:pPr>
      <w:r w:rsidRPr="001D20C5">
        <w:lastRenderedPageBreak/>
        <w:t xml:space="preserve">Population growth in the Northern Territory, Greater Darwin and the </w:t>
      </w:r>
      <w:r w:rsidR="002E6C7F" w:rsidRPr="001D20C5">
        <w:t>r</w:t>
      </w:r>
      <w:r w:rsidRPr="001D20C5">
        <w:t>est of the Northern Territory</w:t>
      </w:r>
    </w:p>
    <w:p w14:paraId="1B5874C9" w14:textId="1AF6CF53" w:rsidR="003B0923" w:rsidRDefault="004D2B17" w:rsidP="001D20C5">
      <w:pPr>
        <w:pStyle w:val="ChartGraphic"/>
      </w:pPr>
      <w:r w:rsidRPr="004D2B17">
        <w:rPr>
          <w:noProof/>
        </w:rPr>
        <w:drawing>
          <wp:inline distT="0" distB="0" distL="0" distR="0" wp14:anchorId="57A24D50" wp14:editId="416F2E13">
            <wp:extent cx="5581650" cy="2897505"/>
            <wp:effectExtent l="0" t="0" r="0" b="0"/>
            <wp:docPr id="39" name="Picture 39" descr="This chart shows population growth for Darwin, Northern Territory and rest of Northern Territory. Population growth will recover from 2023-24 to 2025-26 and decrease over the projections period for Darwin and the Northern Territory. The rest of the Northern Territory will decrease from 2021-22 until 2023-24, then increase slightly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population growth for Darwin, Northern Territory and rest of Northern Territory. Population growth will recover from 2023-24 to 2025-26 and decrease over the projections period for Darwin and the Northern Territory. The rest of the Northern Territory will decrease from 2021-22 until 2023-24, then increase slightly over the projection peri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897505"/>
                    </a:xfrm>
                    <a:prstGeom prst="rect">
                      <a:avLst/>
                    </a:prstGeom>
                    <a:noFill/>
                    <a:ln>
                      <a:noFill/>
                    </a:ln>
                  </pic:spPr>
                </pic:pic>
              </a:graphicData>
            </a:graphic>
          </wp:inline>
        </w:drawing>
      </w:r>
    </w:p>
    <w:p w14:paraId="159ACEFB" w14:textId="2A9CAA7A" w:rsidR="00301B61" w:rsidRPr="00AA5FB0" w:rsidRDefault="00301B61" w:rsidP="00C14BAE">
      <w:pPr>
        <w:pStyle w:val="Source"/>
        <w:rPr>
          <w:rStyle w:val="Hyperlink"/>
          <w:color w:val="000000"/>
          <w:sz w:val="20"/>
        </w:rPr>
      </w:pPr>
      <w:r w:rsidRPr="005A0A25">
        <w:t xml:space="preserve">Source: </w:t>
      </w:r>
      <w:r w:rsidR="001D20C5" w:rsidRPr="005A0A25">
        <w:tab/>
      </w:r>
      <w:r w:rsidR="00DD1DCF" w:rsidRPr="005A0A25">
        <w:t>ABS</w:t>
      </w:r>
      <w:r w:rsidRPr="005A0A25">
        <w:t>, Regional population 2021–22</w:t>
      </w:r>
      <w:r w:rsidR="00DC6E4E">
        <w:t xml:space="preserve">, </w:t>
      </w:r>
      <w:r w:rsidR="00DD1DCF" w:rsidRPr="005A0A25">
        <w:t>ABS</w:t>
      </w:r>
      <w:r w:rsidRPr="005A0A25">
        <w:t>, National, state and territory population, March 2023</w:t>
      </w:r>
      <w:r w:rsidR="007F1745">
        <w:t>,</w:t>
      </w:r>
      <w:r w:rsidRPr="005A0A25">
        <w:t xml:space="preserve"> and Centre for Population projections.</w:t>
      </w:r>
    </w:p>
    <w:p w14:paraId="000793F7" w14:textId="7DFA9449" w:rsidR="005A0A25" w:rsidRDefault="005A0A25">
      <w:pPr>
        <w:spacing w:before="0" w:after="160" w:line="259" w:lineRule="auto"/>
        <w:rPr>
          <w:lang w:eastAsia="en-AU"/>
        </w:rPr>
      </w:pPr>
      <w:r>
        <w:rPr>
          <w:lang w:eastAsia="en-AU"/>
        </w:rPr>
        <w:br w:type="page"/>
      </w:r>
    </w:p>
    <w:p w14:paraId="4DE23EEB" w14:textId="77777777" w:rsidR="00AA7A30" w:rsidRPr="00485E58" w:rsidRDefault="00AA7A30" w:rsidP="00AA5FB0">
      <w:pPr>
        <w:pStyle w:val="TableMainHeading"/>
      </w:pPr>
      <w:r w:rsidRPr="00485E58">
        <w:lastRenderedPageBreak/>
        <w:t>Population projections, Northern Territory</w:t>
      </w:r>
    </w:p>
    <w:tbl>
      <w:tblPr>
        <w:tblStyle w:val="CPOPTable"/>
        <w:tblW w:w="0" w:type="auto"/>
        <w:tblLayout w:type="fixed"/>
        <w:tblLook w:val="04A0" w:firstRow="1" w:lastRow="0" w:firstColumn="1" w:lastColumn="0" w:noHBand="0" w:noVBand="1"/>
      </w:tblPr>
      <w:tblGrid>
        <w:gridCol w:w="2772"/>
        <w:gridCol w:w="1050"/>
        <w:gridCol w:w="1050"/>
        <w:gridCol w:w="1050"/>
        <w:gridCol w:w="1050"/>
        <w:gridCol w:w="1050"/>
        <w:gridCol w:w="1050"/>
      </w:tblGrid>
      <w:tr w:rsidR="00AA7A30" w:rsidRPr="00485E58" w14:paraId="03B5EC09" w14:textId="77777777" w:rsidTr="00733847">
        <w:trPr>
          <w:cnfStyle w:val="100000000000" w:firstRow="1" w:lastRow="0" w:firstColumn="0" w:lastColumn="0" w:oddVBand="0" w:evenVBand="0" w:oddHBand="0" w:evenHBand="0" w:firstRowFirstColumn="0" w:firstRowLastColumn="0" w:lastRowFirstColumn="0" w:lastRowLastColumn="0"/>
        </w:trPr>
        <w:tc>
          <w:tcPr>
            <w:tcW w:w="2772" w:type="dxa"/>
          </w:tcPr>
          <w:p w14:paraId="7B949004" w14:textId="77777777" w:rsidR="00AA7A30" w:rsidRPr="00485E58" w:rsidRDefault="00AA7A30" w:rsidP="00AA7A30">
            <w:pPr>
              <w:spacing w:after="0"/>
            </w:pPr>
          </w:p>
        </w:tc>
        <w:tc>
          <w:tcPr>
            <w:tcW w:w="1050" w:type="dxa"/>
          </w:tcPr>
          <w:p w14:paraId="0D65D0B5" w14:textId="5658BAD7" w:rsidR="00AA7A30" w:rsidRPr="00485E58" w:rsidRDefault="00AA7A30" w:rsidP="004C567F">
            <w:pPr>
              <w:pStyle w:val="TableColumnHeadingRight"/>
            </w:pPr>
            <w:r w:rsidRPr="0080495D">
              <w:t>202</w:t>
            </w:r>
            <w:r>
              <w:t>1–</w:t>
            </w:r>
            <w:r w:rsidRPr="0080495D">
              <w:t>2</w:t>
            </w:r>
            <w:r>
              <w:t>2</w:t>
            </w:r>
          </w:p>
        </w:tc>
        <w:tc>
          <w:tcPr>
            <w:tcW w:w="1050" w:type="dxa"/>
            <w:shd w:val="clear" w:color="auto" w:fill="D2EDFF" w:themeFill="accent1" w:themeFillTint="1A"/>
          </w:tcPr>
          <w:p w14:paraId="16046EEC" w14:textId="6BD1A3C4" w:rsidR="00AA7A30" w:rsidRPr="00485E58" w:rsidRDefault="00AA7A30" w:rsidP="004C567F">
            <w:pPr>
              <w:pStyle w:val="TableColumnHeadingRight"/>
            </w:pPr>
            <w:r w:rsidRPr="0080495D">
              <w:t>202</w:t>
            </w:r>
            <w:r>
              <w:t>2–</w:t>
            </w:r>
            <w:r w:rsidRPr="0080495D">
              <w:t>2</w:t>
            </w:r>
            <w:r>
              <w:t>3</w:t>
            </w:r>
          </w:p>
        </w:tc>
        <w:tc>
          <w:tcPr>
            <w:tcW w:w="1050" w:type="dxa"/>
          </w:tcPr>
          <w:p w14:paraId="43200BEE" w14:textId="32F8A16C" w:rsidR="00AA7A30" w:rsidRPr="00485E58" w:rsidRDefault="00AA7A30" w:rsidP="004C567F">
            <w:pPr>
              <w:pStyle w:val="TableColumnHeadingRight"/>
            </w:pPr>
            <w:r w:rsidRPr="0080495D">
              <w:t>202</w:t>
            </w:r>
            <w:r>
              <w:t>3–</w:t>
            </w:r>
            <w:r w:rsidRPr="0080495D">
              <w:t>2</w:t>
            </w:r>
            <w:r>
              <w:t>4</w:t>
            </w:r>
          </w:p>
        </w:tc>
        <w:tc>
          <w:tcPr>
            <w:tcW w:w="1050" w:type="dxa"/>
          </w:tcPr>
          <w:p w14:paraId="3F768C24" w14:textId="1A2A80B4" w:rsidR="00AA7A30" w:rsidRPr="00485E58" w:rsidRDefault="00AA7A30" w:rsidP="004C567F">
            <w:pPr>
              <w:pStyle w:val="TableColumnHeadingRight"/>
            </w:pPr>
            <w:r w:rsidRPr="0080495D">
              <w:t>202</w:t>
            </w:r>
            <w:r>
              <w:t>4–</w:t>
            </w:r>
            <w:r w:rsidRPr="0080495D">
              <w:t>2</w:t>
            </w:r>
            <w:r>
              <w:t>5</w:t>
            </w:r>
          </w:p>
        </w:tc>
        <w:tc>
          <w:tcPr>
            <w:tcW w:w="1050" w:type="dxa"/>
          </w:tcPr>
          <w:p w14:paraId="41EB2362" w14:textId="6CAADE1C" w:rsidR="00AA7A30" w:rsidRPr="00485E58" w:rsidRDefault="00AA7A30" w:rsidP="004C567F">
            <w:pPr>
              <w:pStyle w:val="TableColumnHeadingRight"/>
            </w:pPr>
            <w:r w:rsidRPr="0080495D">
              <w:t>202</w:t>
            </w:r>
            <w:r>
              <w:t>5–</w:t>
            </w:r>
            <w:r w:rsidRPr="0080495D">
              <w:t>2</w:t>
            </w:r>
            <w:r>
              <w:t>6</w:t>
            </w:r>
          </w:p>
        </w:tc>
        <w:tc>
          <w:tcPr>
            <w:tcW w:w="1050" w:type="dxa"/>
          </w:tcPr>
          <w:p w14:paraId="74B94C6D" w14:textId="37F9CC24" w:rsidR="00AA7A30" w:rsidRPr="00485E58" w:rsidRDefault="00AA7A30" w:rsidP="004C567F">
            <w:pPr>
              <w:pStyle w:val="TableColumnHeadingRight"/>
            </w:pPr>
            <w:r w:rsidRPr="0080495D">
              <w:t>203</w:t>
            </w:r>
            <w:r>
              <w:t>3–</w:t>
            </w:r>
            <w:r w:rsidRPr="0080495D">
              <w:t>3</w:t>
            </w:r>
            <w:r>
              <w:t>4</w:t>
            </w:r>
          </w:p>
        </w:tc>
      </w:tr>
      <w:tr w:rsidR="001A002F" w:rsidRPr="00485E58" w14:paraId="7DBC8F93" w14:textId="77777777" w:rsidTr="00733847">
        <w:tc>
          <w:tcPr>
            <w:tcW w:w="2772" w:type="dxa"/>
          </w:tcPr>
          <w:p w14:paraId="752CC140" w14:textId="597D9860" w:rsidR="00AA7A30" w:rsidRPr="004C567F" w:rsidRDefault="00AA7A30" w:rsidP="004C567F">
            <w:pPr>
              <w:pStyle w:val="TableColumnHeadingLeft"/>
            </w:pPr>
            <w:r w:rsidRPr="004C567F">
              <w:t>Population (</w:t>
            </w:r>
            <w:r w:rsidR="004B14AB" w:rsidRPr="004C567F">
              <w:t>‘</w:t>
            </w:r>
            <w:r w:rsidRPr="004C567F">
              <w:t>000)</w:t>
            </w:r>
          </w:p>
        </w:tc>
        <w:tc>
          <w:tcPr>
            <w:tcW w:w="1050" w:type="dxa"/>
            <w:vAlign w:val="center"/>
          </w:tcPr>
          <w:p w14:paraId="50FEA5FE" w14:textId="77777777" w:rsidR="00AA7A30" w:rsidRPr="00E20618" w:rsidRDefault="00AA7A30" w:rsidP="00AA7A30">
            <w:pPr>
              <w:spacing w:after="0"/>
              <w:jc w:val="right"/>
            </w:pPr>
          </w:p>
        </w:tc>
        <w:tc>
          <w:tcPr>
            <w:tcW w:w="1050" w:type="dxa"/>
            <w:shd w:val="clear" w:color="auto" w:fill="D2EDFF" w:themeFill="accent1" w:themeFillTint="1A"/>
            <w:vAlign w:val="center"/>
          </w:tcPr>
          <w:p w14:paraId="5432D0EC" w14:textId="6370DDA7" w:rsidR="00AA7A30" w:rsidRPr="00E20618" w:rsidRDefault="00E40062" w:rsidP="00AA7A30">
            <w:pPr>
              <w:spacing w:after="0"/>
              <w:jc w:val="right"/>
            </w:pPr>
            <w:r>
              <w:rPr>
                <w:rFonts w:ascii="Calibri" w:hAnsi="Calibri" w:cs="Calibri"/>
                <w:color w:val="000000"/>
              </w:rPr>
              <w:t> </w:t>
            </w:r>
          </w:p>
        </w:tc>
        <w:tc>
          <w:tcPr>
            <w:tcW w:w="1050" w:type="dxa"/>
            <w:vAlign w:val="center"/>
          </w:tcPr>
          <w:p w14:paraId="3C85CACC" w14:textId="77777777" w:rsidR="00AA7A30" w:rsidRPr="00E20618" w:rsidRDefault="00AA7A30" w:rsidP="00AA7A30">
            <w:pPr>
              <w:spacing w:after="0"/>
              <w:jc w:val="right"/>
            </w:pPr>
          </w:p>
        </w:tc>
        <w:tc>
          <w:tcPr>
            <w:tcW w:w="1050" w:type="dxa"/>
            <w:vAlign w:val="center"/>
          </w:tcPr>
          <w:p w14:paraId="73C1BE83" w14:textId="77777777" w:rsidR="00AA7A30" w:rsidRPr="00E20618" w:rsidRDefault="00AA7A30" w:rsidP="00AA7A30">
            <w:pPr>
              <w:spacing w:after="0"/>
              <w:jc w:val="right"/>
            </w:pPr>
          </w:p>
        </w:tc>
        <w:tc>
          <w:tcPr>
            <w:tcW w:w="1050" w:type="dxa"/>
            <w:tcBorders>
              <w:right w:val="single" w:sz="4" w:space="0" w:color="auto"/>
            </w:tcBorders>
            <w:vAlign w:val="center"/>
          </w:tcPr>
          <w:p w14:paraId="6AB68F97" w14:textId="7BF43C50" w:rsidR="00AA7A30" w:rsidRPr="00E20618" w:rsidRDefault="00E40062" w:rsidP="00AA7A30">
            <w:pPr>
              <w:spacing w:after="0"/>
              <w:jc w:val="right"/>
            </w:pPr>
            <w:r>
              <w:rPr>
                <w:rFonts w:ascii="Calibri" w:hAnsi="Calibri" w:cs="Calibri"/>
                <w:color w:val="000000"/>
              </w:rPr>
              <w:t> </w:t>
            </w:r>
          </w:p>
        </w:tc>
        <w:tc>
          <w:tcPr>
            <w:tcW w:w="1050" w:type="dxa"/>
            <w:tcBorders>
              <w:top w:val="single" w:sz="4" w:space="0" w:color="000000" w:themeColor="text1"/>
              <w:left w:val="single" w:sz="4" w:space="0" w:color="auto"/>
              <w:bottom w:val="nil"/>
            </w:tcBorders>
            <w:vAlign w:val="center"/>
          </w:tcPr>
          <w:p w14:paraId="78AF7230" w14:textId="77777777" w:rsidR="00AA7A30" w:rsidRPr="00E20618" w:rsidRDefault="00AA7A30" w:rsidP="00AA7A30">
            <w:pPr>
              <w:spacing w:after="0"/>
              <w:jc w:val="right"/>
            </w:pPr>
          </w:p>
        </w:tc>
      </w:tr>
      <w:tr w:rsidR="001A002F" w:rsidRPr="00485E58" w14:paraId="5BC69B43" w14:textId="77777777" w:rsidTr="00733847">
        <w:tc>
          <w:tcPr>
            <w:tcW w:w="2772" w:type="dxa"/>
          </w:tcPr>
          <w:p w14:paraId="45DCE939"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46EBFC0F" w14:textId="63BAB170" w:rsidR="00AA7A30" w:rsidRPr="00E20618" w:rsidRDefault="00E40062" w:rsidP="004C567F">
            <w:pPr>
              <w:pStyle w:val="TableTextRight"/>
            </w:pPr>
            <w:r w:rsidRPr="00396FDF">
              <w:t>250</w:t>
            </w:r>
          </w:p>
        </w:tc>
        <w:tc>
          <w:tcPr>
            <w:tcW w:w="1050" w:type="dxa"/>
            <w:tcBorders>
              <w:top w:val="nil"/>
              <w:left w:val="nil"/>
              <w:bottom w:val="nil"/>
              <w:right w:val="nil"/>
            </w:tcBorders>
            <w:shd w:val="clear" w:color="auto" w:fill="D2EDFF" w:themeFill="accent1" w:themeFillTint="1A"/>
            <w:vAlign w:val="center"/>
          </w:tcPr>
          <w:p w14:paraId="6631A8CF" w14:textId="0C35F094" w:rsidR="00AA7A30" w:rsidRPr="00E20618" w:rsidRDefault="00E40062" w:rsidP="004C567F">
            <w:pPr>
              <w:pStyle w:val="TableTextRight"/>
            </w:pPr>
            <w:r w:rsidRPr="00396FDF">
              <w:t>253</w:t>
            </w:r>
          </w:p>
        </w:tc>
        <w:tc>
          <w:tcPr>
            <w:tcW w:w="1050" w:type="dxa"/>
            <w:tcBorders>
              <w:top w:val="nil"/>
              <w:left w:val="nil"/>
              <w:bottom w:val="nil"/>
              <w:right w:val="nil"/>
            </w:tcBorders>
            <w:vAlign w:val="center"/>
          </w:tcPr>
          <w:p w14:paraId="1A25F37B" w14:textId="0C5B1DE8" w:rsidR="00AA7A30" w:rsidRPr="00E20618" w:rsidRDefault="00E40062" w:rsidP="004C567F">
            <w:pPr>
              <w:pStyle w:val="TableTextRight"/>
            </w:pPr>
            <w:r w:rsidRPr="00396FDF">
              <w:t>256</w:t>
            </w:r>
          </w:p>
        </w:tc>
        <w:tc>
          <w:tcPr>
            <w:tcW w:w="1050" w:type="dxa"/>
            <w:tcBorders>
              <w:top w:val="nil"/>
              <w:left w:val="nil"/>
              <w:bottom w:val="nil"/>
              <w:right w:val="nil"/>
            </w:tcBorders>
            <w:vAlign w:val="center"/>
          </w:tcPr>
          <w:p w14:paraId="3CFA66D6" w14:textId="1E971357" w:rsidR="00AA7A30" w:rsidRPr="00E20618" w:rsidRDefault="00E40062" w:rsidP="004C567F">
            <w:pPr>
              <w:pStyle w:val="TableTextRight"/>
            </w:pPr>
            <w:r w:rsidRPr="00396FDF">
              <w:t>258</w:t>
            </w:r>
          </w:p>
        </w:tc>
        <w:tc>
          <w:tcPr>
            <w:tcW w:w="1050" w:type="dxa"/>
            <w:tcBorders>
              <w:top w:val="nil"/>
              <w:left w:val="nil"/>
              <w:bottom w:val="nil"/>
              <w:right w:val="single" w:sz="4" w:space="0" w:color="auto"/>
            </w:tcBorders>
            <w:vAlign w:val="center"/>
          </w:tcPr>
          <w:p w14:paraId="6D47FF93" w14:textId="515644AE" w:rsidR="00AA7A30" w:rsidRPr="00E20618" w:rsidRDefault="00992A0A" w:rsidP="004C567F">
            <w:pPr>
              <w:pStyle w:val="TableTextRight"/>
            </w:pPr>
            <w:r>
              <w:rPr>
                <w:rFonts w:ascii="Calibri" w:hAnsi="Calibri" w:cs="Calibri"/>
              </w:rPr>
              <w:t>261</w:t>
            </w:r>
          </w:p>
        </w:tc>
        <w:tc>
          <w:tcPr>
            <w:tcW w:w="1050" w:type="dxa"/>
            <w:tcBorders>
              <w:top w:val="nil"/>
              <w:left w:val="single" w:sz="4" w:space="0" w:color="auto"/>
              <w:bottom w:val="nil"/>
              <w:right w:val="nil"/>
            </w:tcBorders>
            <w:vAlign w:val="center"/>
          </w:tcPr>
          <w:p w14:paraId="7E249074" w14:textId="2AB5ECE4" w:rsidR="00AA7A30" w:rsidRPr="00E20618" w:rsidRDefault="00992A0A" w:rsidP="004C567F">
            <w:pPr>
              <w:pStyle w:val="TableTextRight"/>
            </w:pPr>
            <w:r>
              <w:rPr>
                <w:rFonts w:ascii="Calibri" w:hAnsi="Calibri" w:cs="Calibri"/>
              </w:rPr>
              <w:t>286</w:t>
            </w:r>
          </w:p>
        </w:tc>
      </w:tr>
      <w:tr w:rsidR="001A002F" w:rsidRPr="00485E58" w14:paraId="07C3872F" w14:textId="77777777" w:rsidTr="00733847">
        <w:tc>
          <w:tcPr>
            <w:tcW w:w="2772" w:type="dxa"/>
          </w:tcPr>
          <w:p w14:paraId="6D3F538C"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31750584" w14:textId="518B81AD" w:rsidR="00AA7A30" w:rsidRPr="00E20618" w:rsidRDefault="00E40062" w:rsidP="004C567F">
            <w:pPr>
              <w:pStyle w:val="TableTextRight"/>
            </w:pPr>
            <w:r w:rsidRPr="00396FDF">
              <w:t>149</w:t>
            </w:r>
          </w:p>
        </w:tc>
        <w:tc>
          <w:tcPr>
            <w:tcW w:w="1050" w:type="dxa"/>
            <w:tcBorders>
              <w:top w:val="nil"/>
              <w:left w:val="nil"/>
              <w:bottom w:val="nil"/>
              <w:right w:val="nil"/>
            </w:tcBorders>
            <w:shd w:val="clear" w:color="auto" w:fill="D2EDFF" w:themeFill="accent1" w:themeFillTint="1A"/>
            <w:vAlign w:val="center"/>
          </w:tcPr>
          <w:p w14:paraId="716162E8" w14:textId="6FFA9E97" w:rsidR="00AA7A30" w:rsidRPr="00E20618" w:rsidRDefault="00E40062" w:rsidP="004C567F">
            <w:pPr>
              <w:pStyle w:val="TableTextRight"/>
            </w:pPr>
            <w:r w:rsidRPr="00396FDF">
              <w:t>151</w:t>
            </w:r>
          </w:p>
        </w:tc>
        <w:tc>
          <w:tcPr>
            <w:tcW w:w="1050" w:type="dxa"/>
            <w:tcBorders>
              <w:top w:val="nil"/>
              <w:left w:val="nil"/>
              <w:bottom w:val="nil"/>
              <w:right w:val="nil"/>
            </w:tcBorders>
            <w:vAlign w:val="center"/>
          </w:tcPr>
          <w:p w14:paraId="401C42D6" w14:textId="7CA2F166" w:rsidR="00AA7A30" w:rsidRPr="00E20618" w:rsidRDefault="00E40062" w:rsidP="004C567F">
            <w:pPr>
              <w:pStyle w:val="TableTextRight"/>
            </w:pPr>
            <w:r w:rsidRPr="00396FDF">
              <w:t>154</w:t>
            </w:r>
          </w:p>
        </w:tc>
        <w:tc>
          <w:tcPr>
            <w:tcW w:w="1050" w:type="dxa"/>
            <w:tcBorders>
              <w:top w:val="nil"/>
              <w:left w:val="nil"/>
              <w:bottom w:val="nil"/>
              <w:right w:val="nil"/>
            </w:tcBorders>
            <w:vAlign w:val="center"/>
          </w:tcPr>
          <w:p w14:paraId="173CDC98" w14:textId="1213E1A6" w:rsidR="00AA7A30" w:rsidRPr="00E20618" w:rsidRDefault="00E40062" w:rsidP="004C567F">
            <w:pPr>
              <w:pStyle w:val="TableTextRight"/>
            </w:pPr>
            <w:r w:rsidRPr="00396FDF">
              <w:t>156</w:t>
            </w:r>
          </w:p>
        </w:tc>
        <w:tc>
          <w:tcPr>
            <w:tcW w:w="1050" w:type="dxa"/>
            <w:tcBorders>
              <w:top w:val="nil"/>
              <w:left w:val="nil"/>
              <w:bottom w:val="nil"/>
              <w:right w:val="single" w:sz="4" w:space="0" w:color="auto"/>
            </w:tcBorders>
            <w:vAlign w:val="center"/>
          </w:tcPr>
          <w:p w14:paraId="14E76653" w14:textId="1FC46011" w:rsidR="00AA7A30" w:rsidRPr="00E20618" w:rsidRDefault="00E40062" w:rsidP="004C567F">
            <w:pPr>
              <w:pStyle w:val="TableTextRight"/>
            </w:pPr>
            <w:r w:rsidRPr="00396FDF">
              <w:t>159</w:t>
            </w:r>
          </w:p>
        </w:tc>
        <w:tc>
          <w:tcPr>
            <w:tcW w:w="1050" w:type="dxa"/>
            <w:tcBorders>
              <w:top w:val="nil"/>
              <w:left w:val="single" w:sz="4" w:space="0" w:color="auto"/>
              <w:bottom w:val="nil"/>
              <w:right w:val="nil"/>
            </w:tcBorders>
            <w:vAlign w:val="center"/>
          </w:tcPr>
          <w:p w14:paraId="0C4D2CFC" w14:textId="285046B9" w:rsidR="00AA7A30" w:rsidRPr="00E20618" w:rsidRDefault="00992A0A" w:rsidP="004C567F">
            <w:pPr>
              <w:pStyle w:val="TableTextRight"/>
            </w:pPr>
            <w:r>
              <w:rPr>
                <w:rFonts w:ascii="Calibri" w:hAnsi="Calibri" w:cs="Calibri"/>
              </w:rPr>
              <w:t>181</w:t>
            </w:r>
          </w:p>
        </w:tc>
      </w:tr>
      <w:tr w:rsidR="00A5125A" w:rsidRPr="00485E58" w14:paraId="1A8328A1" w14:textId="77777777" w:rsidTr="00733847">
        <w:tc>
          <w:tcPr>
            <w:tcW w:w="2772" w:type="dxa"/>
            <w:tcBorders>
              <w:bottom w:val="nil"/>
            </w:tcBorders>
          </w:tcPr>
          <w:p w14:paraId="7325BC0F" w14:textId="77777777" w:rsidR="00AA7A30" w:rsidRPr="004C567F" w:rsidRDefault="00AA7A30" w:rsidP="004C567F">
            <w:pPr>
              <w:pStyle w:val="Tabletextleftindent"/>
            </w:pPr>
            <w:r w:rsidRPr="004C567F">
              <w:t>Rest of Northern Territory</w:t>
            </w:r>
          </w:p>
        </w:tc>
        <w:tc>
          <w:tcPr>
            <w:tcW w:w="1050" w:type="dxa"/>
            <w:tcBorders>
              <w:top w:val="nil"/>
              <w:left w:val="nil"/>
              <w:bottom w:val="nil"/>
              <w:right w:val="nil"/>
            </w:tcBorders>
            <w:vAlign w:val="center"/>
          </w:tcPr>
          <w:p w14:paraId="09AC8F2D" w14:textId="43F0039A" w:rsidR="00AA7A30" w:rsidRPr="00E20618" w:rsidRDefault="00E40062" w:rsidP="004C567F">
            <w:pPr>
              <w:pStyle w:val="TableTextRight"/>
            </w:pPr>
            <w:r w:rsidRPr="00396FDF">
              <w:t>101</w:t>
            </w:r>
          </w:p>
        </w:tc>
        <w:tc>
          <w:tcPr>
            <w:tcW w:w="1050" w:type="dxa"/>
            <w:tcBorders>
              <w:top w:val="nil"/>
              <w:left w:val="nil"/>
              <w:bottom w:val="nil"/>
              <w:right w:val="nil"/>
            </w:tcBorders>
            <w:shd w:val="clear" w:color="auto" w:fill="D2EDFF" w:themeFill="accent1" w:themeFillTint="1A"/>
            <w:vAlign w:val="center"/>
          </w:tcPr>
          <w:p w14:paraId="3BFD7169" w14:textId="69C6F8DE" w:rsidR="00AA7A30" w:rsidRPr="00E20618" w:rsidRDefault="00E40062" w:rsidP="004C567F">
            <w:pPr>
              <w:pStyle w:val="TableTextRight"/>
            </w:pPr>
            <w:r w:rsidRPr="00396FDF">
              <w:t>101</w:t>
            </w:r>
          </w:p>
        </w:tc>
        <w:tc>
          <w:tcPr>
            <w:tcW w:w="1050" w:type="dxa"/>
            <w:tcBorders>
              <w:top w:val="nil"/>
              <w:left w:val="nil"/>
              <w:bottom w:val="nil"/>
              <w:right w:val="nil"/>
            </w:tcBorders>
            <w:vAlign w:val="center"/>
          </w:tcPr>
          <w:p w14:paraId="04F4AE9A" w14:textId="11465942" w:rsidR="00AA7A30" w:rsidRPr="00E20618" w:rsidRDefault="00E40062" w:rsidP="004C567F">
            <w:pPr>
              <w:pStyle w:val="TableTextRight"/>
            </w:pPr>
            <w:r w:rsidRPr="00396FDF">
              <w:t>102</w:t>
            </w:r>
          </w:p>
        </w:tc>
        <w:tc>
          <w:tcPr>
            <w:tcW w:w="1050" w:type="dxa"/>
            <w:tcBorders>
              <w:top w:val="nil"/>
              <w:left w:val="nil"/>
              <w:bottom w:val="nil"/>
              <w:right w:val="nil"/>
            </w:tcBorders>
            <w:vAlign w:val="center"/>
          </w:tcPr>
          <w:p w14:paraId="39DAFB2D" w14:textId="52DAEF13" w:rsidR="00AA7A30" w:rsidRPr="00E20618" w:rsidRDefault="00E40062" w:rsidP="004C567F">
            <w:pPr>
              <w:pStyle w:val="TableTextRight"/>
            </w:pPr>
            <w:r w:rsidRPr="00396FDF">
              <w:t>102</w:t>
            </w:r>
          </w:p>
        </w:tc>
        <w:tc>
          <w:tcPr>
            <w:tcW w:w="1050" w:type="dxa"/>
            <w:tcBorders>
              <w:top w:val="nil"/>
              <w:left w:val="nil"/>
              <w:bottom w:val="nil"/>
              <w:right w:val="single" w:sz="4" w:space="0" w:color="auto"/>
            </w:tcBorders>
            <w:vAlign w:val="center"/>
          </w:tcPr>
          <w:p w14:paraId="20E2ADCA" w14:textId="34128B4A" w:rsidR="00AA7A30" w:rsidRPr="00E20618" w:rsidRDefault="00E40062" w:rsidP="004C567F">
            <w:pPr>
              <w:pStyle w:val="TableTextRight"/>
            </w:pPr>
            <w:r w:rsidRPr="00396FDF">
              <w:t>102</w:t>
            </w:r>
          </w:p>
        </w:tc>
        <w:tc>
          <w:tcPr>
            <w:tcW w:w="1050" w:type="dxa"/>
            <w:tcBorders>
              <w:top w:val="nil"/>
              <w:left w:val="single" w:sz="4" w:space="0" w:color="auto"/>
              <w:bottom w:val="nil"/>
              <w:right w:val="nil"/>
            </w:tcBorders>
            <w:vAlign w:val="center"/>
          </w:tcPr>
          <w:p w14:paraId="3331D9F4" w14:textId="64F1B8ED" w:rsidR="00AA7A30" w:rsidRPr="00E20618" w:rsidRDefault="00992A0A" w:rsidP="004C567F">
            <w:pPr>
              <w:pStyle w:val="TableTextRight"/>
            </w:pPr>
            <w:r>
              <w:rPr>
                <w:rFonts w:ascii="Calibri" w:hAnsi="Calibri" w:cs="Calibri"/>
              </w:rPr>
              <w:t>105</w:t>
            </w:r>
          </w:p>
        </w:tc>
      </w:tr>
      <w:tr w:rsidR="00396FDF" w:rsidRPr="00485E58" w14:paraId="4EDB87CF" w14:textId="77777777" w:rsidTr="00733847">
        <w:tc>
          <w:tcPr>
            <w:tcW w:w="2772" w:type="dxa"/>
            <w:tcBorders>
              <w:bottom w:val="nil"/>
            </w:tcBorders>
          </w:tcPr>
          <w:p w14:paraId="34BA6ACD" w14:textId="77777777" w:rsidR="00AA7A30" w:rsidRPr="004C567F" w:rsidRDefault="00AA7A30" w:rsidP="004C567F">
            <w:pPr>
              <w:pStyle w:val="TableColumnHeadingLeft"/>
            </w:pPr>
            <w:r w:rsidRPr="004C567F">
              <w:t>Population growth (per cent)</w:t>
            </w:r>
          </w:p>
        </w:tc>
        <w:tc>
          <w:tcPr>
            <w:tcW w:w="1050" w:type="dxa"/>
            <w:tcBorders>
              <w:top w:val="nil"/>
              <w:left w:val="nil"/>
              <w:bottom w:val="nil"/>
              <w:right w:val="nil"/>
            </w:tcBorders>
            <w:vAlign w:val="center"/>
          </w:tcPr>
          <w:p w14:paraId="6EA00ACB" w14:textId="77777777" w:rsidR="00AA7A30" w:rsidRPr="00E20618" w:rsidRDefault="00AA7A30" w:rsidP="004C567F">
            <w:pPr>
              <w:pStyle w:val="TableTextRight"/>
            </w:pPr>
          </w:p>
        </w:tc>
        <w:tc>
          <w:tcPr>
            <w:tcW w:w="1050" w:type="dxa"/>
            <w:tcBorders>
              <w:top w:val="nil"/>
              <w:left w:val="nil"/>
              <w:bottom w:val="nil"/>
              <w:right w:val="nil"/>
            </w:tcBorders>
            <w:shd w:val="clear" w:color="auto" w:fill="D2EDFF" w:themeFill="accent1" w:themeFillTint="1A"/>
            <w:vAlign w:val="center"/>
          </w:tcPr>
          <w:p w14:paraId="0CCB032A" w14:textId="443970F6" w:rsidR="00AA7A30" w:rsidRPr="00E20618" w:rsidRDefault="00E40062" w:rsidP="004C567F">
            <w:pPr>
              <w:pStyle w:val="TableTextRight"/>
            </w:pPr>
            <w:r w:rsidRPr="00396FDF">
              <w:t> </w:t>
            </w:r>
          </w:p>
        </w:tc>
        <w:tc>
          <w:tcPr>
            <w:tcW w:w="1050" w:type="dxa"/>
            <w:tcBorders>
              <w:top w:val="nil"/>
              <w:left w:val="nil"/>
              <w:bottom w:val="nil"/>
              <w:right w:val="nil"/>
            </w:tcBorders>
            <w:vAlign w:val="center"/>
          </w:tcPr>
          <w:p w14:paraId="634507A5" w14:textId="77777777" w:rsidR="00AA7A30" w:rsidRPr="00E20618" w:rsidRDefault="00AA7A30" w:rsidP="004C567F">
            <w:pPr>
              <w:pStyle w:val="TableTextRight"/>
            </w:pPr>
          </w:p>
        </w:tc>
        <w:tc>
          <w:tcPr>
            <w:tcW w:w="1050" w:type="dxa"/>
            <w:tcBorders>
              <w:top w:val="nil"/>
              <w:left w:val="nil"/>
              <w:bottom w:val="nil"/>
              <w:right w:val="nil"/>
            </w:tcBorders>
            <w:vAlign w:val="center"/>
          </w:tcPr>
          <w:p w14:paraId="6A433748" w14:textId="77777777" w:rsidR="00AA7A30" w:rsidRPr="00E20618" w:rsidRDefault="00AA7A30" w:rsidP="004C567F">
            <w:pPr>
              <w:pStyle w:val="TableTextRight"/>
            </w:pPr>
          </w:p>
        </w:tc>
        <w:tc>
          <w:tcPr>
            <w:tcW w:w="1050" w:type="dxa"/>
            <w:tcBorders>
              <w:top w:val="nil"/>
              <w:left w:val="nil"/>
              <w:bottom w:val="nil"/>
              <w:right w:val="single" w:sz="4" w:space="0" w:color="auto"/>
            </w:tcBorders>
            <w:vAlign w:val="center"/>
          </w:tcPr>
          <w:p w14:paraId="2FACA60A" w14:textId="6AAF7750" w:rsidR="00AA7A30" w:rsidRPr="00E20618" w:rsidRDefault="00E40062" w:rsidP="004C567F">
            <w:pPr>
              <w:pStyle w:val="TableTextRight"/>
            </w:pPr>
            <w:r w:rsidRPr="00396FDF">
              <w:t> </w:t>
            </w:r>
          </w:p>
        </w:tc>
        <w:tc>
          <w:tcPr>
            <w:tcW w:w="1050" w:type="dxa"/>
            <w:tcBorders>
              <w:top w:val="nil"/>
              <w:left w:val="single" w:sz="4" w:space="0" w:color="auto"/>
              <w:bottom w:val="nil"/>
              <w:right w:val="nil"/>
            </w:tcBorders>
            <w:vAlign w:val="center"/>
          </w:tcPr>
          <w:p w14:paraId="0D6AA228" w14:textId="77777777" w:rsidR="00AA7A30" w:rsidRPr="00E20618" w:rsidRDefault="00AA7A30" w:rsidP="004C567F">
            <w:pPr>
              <w:pStyle w:val="TableTextRight"/>
            </w:pPr>
          </w:p>
        </w:tc>
      </w:tr>
      <w:tr w:rsidR="00A5125A" w:rsidRPr="00485E58" w14:paraId="5AA21CE0" w14:textId="77777777" w:rsidTr="00733847">
        <w:tc>
          <w:tcPr>
            <w:tcW w:w="2772" w:type="dxa"/>
            <w:tcBorders>
              <w:top w:val="nil"/>
            </w:tcBorders>
          </w:tcPr>
          <w:p w14:paraId="56F601A4"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36A9CA91" w14:textId="6881321E" w:rsidR="00AA7A30" w:rsidRPr="00E20618" w:rsidRDefault="00E40062" w:rsidP="004C567F">
            <w:pPr>
              <w:pStyle w:val="TableTextRight"/>
            </w:pPr>
            <w:r w:rsidRPr="00396FDF">
              <w:t>0.8</w:t>
            </w:r>
          </w:p>
        </w:tc>
        <w:tc>
          <w:tcPr>
            <w:tcW w:w="1050" w:type="dxa"/>
            <w:tcBorders>
              <w:top w:val="nil"/>
              <w:left w:val="nil"/>
              <w:bottom w:val="nil"/>
              <w:right w:val="nil"/>
            </w:tcBorders>
            <w:shd w:val="clear" w:color="auto" w:fill="D2EDFF" w:themeFill="accent1" w:themeFillTint="1A"/>
            <w:vAlign w:val="center"/>
          </w:tcPr>
          <w:p w14:paraId="2ACCFC49" w14:textId="3F6CA4FB" w:rsidR="00AA7A30" w:rsidRPr="00E20618" w:rsidRDefault="00E40062" w:rsidP="004C567F">
            <w:pPr>
              <w:pStyle w:val="TableTextRight"/>
            </w:pPr>
            <w:r w:rsidRPr="00396FDF">
              <w:t>1.1</w:t>
            </w:r>
          </w:p>
        </w:tc>
        <w:tc>
          <w:tcPr>
            <w:tcW w:w="1050" w:type="dxa"/>
            <w:tcBorders>
              <w:top w:val="nil"/>
              <w:left w:val="nil"/>
              <w:bottom w:val="nil"/>
              <w:right w:val="nil"/>
            </w:tcBorders>
            <w:vAlign w:val="center"/>
          </w:tcPr>
          <w:p w14:paraId="14F74DAB" w14:textId="09D4AF3D" w:rsidR="00AA7A30" w:rsidRPr="00E20618" w:rsidRDefault="00E40062" w:rsidP="004C567F">
            <w:pPr>
              <w:pStyle w:val="TableTextRight"/>
            </w:pPr>
            <w:r w:rsidRPr="00A5125A">
              <w:rPr>
                <w:rFonts w:ascii="Calibri" w:hAnsi="Calibri"/>
              </w:rPr>
              <w:t>1.</w:t>
            </w:r>
            <w:r w:rsidR="00992A0A">
              <w:rPr>
                <w:rFonts w:ascii="Calibri" w:hAnsi="Calibri" w:cs="Calibri"/>
              </w:rPr>
              <w:t>0</w:t>
            </w:r>
          </w:p>
        </w:tc>
        <w:tc>
          <w:tcPr>
            <w:tcW w:w="1050" w:type="dxa"/>
            <w:tcBorders>
              <w:top w:val="nil"/>
              <w:left w:val="nil"/>
              <w:bottom w:val="nil"/>
              <w:right w:val="nil"/>
            </w:tcBorders>
            <w:vAlign w:val="center"/>
          </w:tcPr>
          <w:p w14:paraId="6E6B6818" w14:textId="52405A4A" w:rsidR="00AA7A30" w:rsidRPr="00E20618" w:rsidRDefault="00E40062" w:rsidP="004C567F">
            <w:pPr>
              <w:pStyle w:val="TableTextRight"/>
            </w:pPr>
            <w:r w:rsidRPr="00A5125A">
              <w:rPr>
                <w:rFonts w:ascii="Calibri" w:hAnsi="Calibri"/>
              </w:rPr>
              <w:t>1.</w:t>
            </w:r>
            <w:r w:rsidR="00992A0A">
              <w:rPr>
                <w:rFonts w:ascii="Calibri" w:hAnsi="Calibri" w:cs="Calibri"/>
              </w:rPr>
              <w:t>0</w:t>
            </w:r>
          </w:p>
        </w:tc>
        <w:tc>
          <w:tcPr>
            <w:tcW w:w="1050" w:type="dxa"/>
            <w:tcBorders>
              <w:top w:val="nil"/>
              <w:left w:val="nil"/>
              <w:bottom w:val="nil"/>
              <w:right w:val="single" w:sz="4" w:space="0" w:color="auto"/>
            </w:tcBorders>
            <w:vAlign w:val="center"/>
          </w:tcPr>
          <w:p w14:paraId="29854BCB" w14:textId="7830030B" w:rsidR="00AA7A30" w:rsidRPr="00E20618" w:rsidRDefault="00E40062" w:rsidP="004C567F">
            <w:pPr>
              <w:pStyle w:val="TableTextRight"/>
            </w:pPr>
            <w:r w:rsidRPr="00A5125A">
              <w:rPr>
                <w:rFonts w:ascii="Calibri" w:hAnsi="Calibri"/>
              </w:rPr>
              <w:t>1.</w:t>
            </w:r>
            <w:r w:rsidR="00992A0A">
              <w:rPr>
                <w:rFonts w:ascii="Calibri" w:hAnsi="Calibri" w:cs="Calibri"/>
              </w:rPr>
              <w:t>2</w:t>
            </w:r>
          </w:p>
        </w:tc>
        <w:tc>
          <w:tcPr>
            <w:tcW w:w="1050" w:type="dxa"/>
            <w:tcBorders>
              <w:top w:val="nil"/>
              <w:left w:val="single" w:sz="4" w:space="0" w:color="auto"/>
              <w:bottom w:val="nil"/>
              <w:right w:val="nil"/>
            </w:tcBorders>
            <w:vAlign w:val="center"/>
          </w:tcPr>
          <w:p w14:paraId="79B973F3" w14:textId="53C58DA1" w:rsidR="00AA7A30" w:rsidRPr="00E20618" w:rsidRDefault="00E40062" w:rsidP="004C567F">
            <w:pPr>
              <w:pStyle w:val="TableTextRight"/>
            </w:pPr>
            <w:r w:rsidRPr="00396FDF">
              <w:t>1.1</w:t>
            </w:r>
          </w:p>
        </w:tc>
      </w:tr>
      <w:tr w:rsidR="001A002F" w:rsidRPr="00485E58" w14:paraId="34C9901F" w14:textId="77777777" w:rsidTr="00733847">
        <w:tc>
          <w:tcPr>
            <w:tcW w:w="2772" w:type="dxa"/>
          </w:tcPr>
          <w:p w14:paraId="183A90EC"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19D67585" w14:textId="5CD73A38" w:rsidR="00AA7A30" w:rsidRPr="00E20618" w:rsidRDefault="00E40062" w:rsidP="004C567F">
            <w:pPr>
              <w:pStyle w:val="TableTextRight"/>
            </w:pPr>
            <w:r w:rsidRPr="00396FDF">
              <w:t>0.8</w:t>
            </w:r>
          </w:p>
        </w:tc>
        <w:tc>
          <w:tcPr>
            <w:tcW w:w="1050" w:type="dxa"/>
            <w:tcBorders>
              <w:top w:val="nil"/>
              <w:left w:val="nil"/>
              <w:bottom w:val="nil"/>
              <w:right w:val="nil"/>
            </w:tcBorders>
            <w:shd w:val="clear" w:color="auto" w:fill="D2EDFF" w:themeFill="accent1" w:themeFillTint="1A"/>
            <w:vAlign w:val="center"/>
          </w:tcPr>
          <w:p w14:paraId="5367233E" w14:textId="47E1634A" w:rsidR="00AA7A30" w:rsidRPr="00E20618" w:rsidRDefault="00E40062" w:rsidP="004C567F">
            <w:pPr>
              <w:pStyle w:val="TableTextRight"/>
            </w:pPr>
            <w:r w:rsidRPr="00396FDF">
              <w:t>1.6</w:t>
            </w:r>
          </w:p>
        </w:tc>
        <w:tc>
          <w:tcPr>
            <w:tcW w:w="1050" w:type="dxa"/>
            <w:tcBorders>
              <w:top w:val="nil"/>
              <w:left w:val="nil"/>
              <w:bottom w:val="nil"/>
              <w:right w:val="nil"/>
            </w:tcBorders>
            <w:vAlign w:val="center"/>
          </w:tcPr>
          <w:p w14:paraId="36BFD6A5" w14:textId="2CAAEBC5" w:rsidR="00AA7A30" w:rsidRPr="00E20618" w:rsidRDefault="00E40062" w:rsidP="004C567F">
            <w:pPr>
              <w:pStyle w:val="TableTextRight"/>
            </w:pPr>
            <w:r w:rsidRPr="00396FDF">
              <w:t>1.6</w:t>
            </w:r>
          </w:p>
        </w:tc>
        <w:tc>
          <w:tcPr>
            <w:tcW w:w="1050" w:type="dxa"/>
            <w:tcBorders>
              <w:top w:val="nil"/>
              <w:left w:val="nil"/>
              <w:bottom w:val="nil"/>
              <w:right w:val="nil"/>
            </w:tcBorders>
            <w:vAlign w:val="center"/>
          </w:tcPr>
          <w:p w14:paraId="789A389A" w14:textId="6177F6B5" w:rsidR="00AA7A30" w:rsidRPr="00E20618" w:rsidRDefault="00E40062" w:rsidP="004C567F">
            <w:pPr>
              <w:pStyle w:val="TableTextRight"/>
            </w:pPr>
            <w:r w:rsidRPr="00A5125A">
              <w:rPr>
                <w:rFonts w:ascii="Calibri" w:hAnsi="Calibri"/>
              </w:rPr>
              <w:t>1.</w:t>
            </w:r>
            <w:r w:rsidR="00992A0A">
              <w:rPr>
                <w:rFonts w:ascii="Calibri" w:hAnsi="Calibri" w:cs="Calibri"/>
              </w:rPr>
              <w:t>5</w:t>
            </w:r>
          </w:p>
        </w:tc>
        <w:tc>
          <w:tcPr>
            <w:tcW w:w="1050" w:type="dxa"/>
            <w:tcBorders>
              <w:top w:val="nil"/>
              <w:left w:val="nil"/>
              <w:bottom w:val="nil"/>
              <w:right w:val="single" w:sz="4" w:space="0" w:color="auto"/>
            </w:tcBorders>
            <w:vAlign w:val="center"/>
          </w:tcPr>
          <w:p w14:paraId="4F7A62C8" w14:textId="08532145" w:rsidR="00AA7A30" w:rsidRPr="00E20618" w:rsidRDefault="00E40062" w:rsidP="004C567F">
            <w:pPr>
              <w:pStyle w:val="TableTextRight"/>
            </w:pPr>
            <w:r w:rsidRPr="00A5125A">
              <w:rPr>
                <w:rFonts w:ascii="Calibri" w:hAnsi="Calibri"/>
              </w:rPr>
              <w:t>1.</w:t>
            </w:r>
            <w:r w:rsidR="00992A0A">
              <w:rPr>
                <w:rFonts w:ascii="Calibri" w:hAnsi="Calibri" w:cs="Calibri"/>
              </w:rPr>
              <w:t>8</w:t>
            </w:r>
          </w:p>
        </w:tc>
        <w:tc>
          <w:tcPr>
            <w:tcW w:w="1050" w:type="dxa"/>
            <w:tcBorders>
              <w:top w:val="nil"/>
              <w:left w:val="single" w:sz="4" w:space="0" w:color="auto"/>
              <w:bottom w:val="nil"/>
              <w:right w:val="nil"/>
            </w:tcBorders>
            <w:vAlign w:val="center"/>
          </w:tcPr>
          <w:p w14:paraId="252C6FCB" w14:textId="1620352A" w:rsidR="00AA7A30" w:rsidRPr="00E20618" w:rsidRDefault="00E40062" w:rsidP="004C567F">
            <w:pPr>
              <w:pStyle w:val="TableTextRight"/>
            </w:pPr>
            <w:r w:rsidRPr="00396FDF">
              <w:t>1.5</w:t>
            </w:r>
          </w:p>
        </w:tc>
      </w:tr>
      <w:tr w:rsidR="001A002F" w:rsidRPr="00485E58" w14:paraId="2EB6DB9B" w14:textId="77777777" w:rsidTr="00733847">
        <w:tc>
          <w:tcPr>
            <w:tcW w:w="2772" w:type="dxa"/>
          </w:tcPr>
          <w:p w14:paraId="33AAB2C7" w14:textId="77777777" w:rsidR="00AA7A30" w:rsidRPr="004C567F" w:rsidRDefault="00AA7A30" w:rsidP="004C567F">
            <w:pPr>
              <w:pStyle w:val="Tabletextleftindent"/>
            </w:pPr>
            <w:r w:rsidRPr="004C567F">
              <w:t>Rest of Northern Territory</w:t>
            </w:r>
          </w:p>
        </w:tc>
        <w:tc>
          <w:tcPr>
            <w:tcW w:w="1050" w:type="dxa"/>
            <w:tcBorders>
              <w:top w:val="nil"/>
              <w:left w:val="nil"/>
              <w:bottom w:val="nil"/>
              <w:right w:val="nil"/>
            </w:tcBorders>
            <w:vAlign w:val="center"/>
          </w:tcPr>
          <w:p w14:paraId="36995B01" w14:textId="6CA459A8" w:rsidR="00AA7A30" w:rsidRPr="00E20618" w:rsidRDefault="00E40062" w:rsidP="004C567F">
            <w:pPr>
              <w:pStyle w:val="TableTextRight"/>
            </w:pPr>
            <w:r w:rsidRPr="00396FDF">
              <w:t>0.9</w:t>
            </w:r>
          </w:p>
        </w:tc>
        <w:tc>
          <w:tcPr>
            <w:tcW w:w="1050" w:type="dxa"/>
            <w:tcBorders>
              <w:top w:val="nil"/>
              <w:left w:val="nil"/>
              <w:bottom w:val="nil"/>
              <w:right w:val="nil"/>
            </w:tcBorders>
            <w:shd w:val="clear" w:color="auto" w:fill="D2EDFF" w:themeFill="accent1" w:themeFillTint="1A"/>
            <w:vAlign w:val="center"/>
          </w:tcPr>
          <w:p w14:paraId="3444FF9E" w14:textId="78107438" w:rsidR="00AA7A30" w:rsidRPr="00E20618" w:rsidRDefault="00E40062" w:rsidP="004C567F">
            <w:pPr>
              <w:pStyle w:val="TableTextRight"/>
            </w:pPr>
            <w:r w:rsidRPr="00396FDF">
              <w:t>0.3</w:t>
            </w:r>
          </w:p>
        </w:tc>
        <w:tc>
          <w:tcPr>
            <w:tcW w:w="1050" w:type="dxa"/>
            <w:tcBorders>
              <w:top w:val="nil"/>
              <w:left w:val="nil"/>
              <w:bottom w:val="nil"/>
              <w:right w:val="nil"/>
            </w:tcBorders>
            <w:vAlign w:val="center"/>
          </w:tcPr>
          <w:p w14:paraId="560F2A76" w14:textId="2A4781A8" w:rsidR="00AA7A30" w:rsidRPr="00E20618" w:rsidRDefault="00E40062" w:rsidP="004C567F">
            <w:pPr>
              <w:pStyle w:val="TableTextRight"/>
            </w:pPr>
            <w:r w:rsidRPr="00396FDF">
              <w:t>0.3</w:t>
            </w:r>
          </w:p>
        </w:tc>
        <w:tc>
          <w:tcPr>
            <w:tcW w:w="1050" w:type="dxa"/>
            <w:tcBorders>
              <w:top w:val="nil"/>
              <w:left w:val="nil"/>
              <w:bottom w:val="nil"/>
              <w:right w:val="nil"/>
            </w:tcBorders>
            <w:vAlign w:val="center"/>
          </w:tcPr>
          <w:p w14:paraId="1EDCD772" w14:textId="204DBDD2" w:rsidR="00AA7A30" w:rsidRPr="00E20618" w:rsidRDefault="00E40062" w:rsidP="004C567F">
            <w:pPr>
              <w:pStyle w:val="TableTextRight"/>
            </w:pPr>
            <w:r w:rsidRPr="00A5125A">
              <w:rPr>
                <w:rFonts w:ascii="Calibri" w:hAnsi="Calibri"/>
              </w:rPr>
              <w:t>0.</w:t>
            </w:r>
            <w:r w:rsidR="00992A0A">
              <w:rPr>
                <w:rFonts w:ascii="Calibri" w:hAnsi="Calibri" w:cs="Calibri"/>
              </w:rPr>
              <w:t>2</w:t>
            </w:r>
          </w:p>
        </w:tc>
        <w:tc>
          <w:tcPr>
            <w:tcW w:w="1050" w:type="dxa"/>
            <w:tcBorders>
              <w:top w:val="nil"/>
              <w:left w:val="nil"/>
              <w:bottom w:val="nil"/>
              <w:right w:val="single" w:sz="4" w:space="0" w:color="auto"/>
            </w:tcBorders>
            <w:vAlign w:val="center"/>
          </w:tcPr>
          <w:p w14:paraId="1941FD71" w14:textId="7595A11F" w:rsidR="00AA7A30" w:rsidRPr="00E20618" w:rsidRDefault="00E40062" w:rsidP="004C567F">
            <w:pPr>
              <w:pStyle w:val="TableTextRight"/>
            </w:pPr>
            <w:r w:rsidRPr="00A5125A">
              <w:rPr>
                <w:rFonts w:ascii="Calibri" w:hAnsi="Calibri"/>
              </w:rPr>
              <w:t>0.</w:t>
            </w:r>
            <w:r w:rsidR="00992A0A">
              <w:rPr>
                <w:rFonts w:ascii="Calibri" w:hAnsi="Calibri" w:cs="Calibri"/>
              </w:rPr>
              <w:t>3</w:t>
            </w:r>
          </w:p>
        </w:tc>
        <w:tc>
          <w:tcPr>
            <w:tcW w:w="1050" w:type="dxa"/>
            <w:tcBorders>
              <w:top w:val="nil"/>
              <w:left w:val="single" w:sz="4" w:space="0" w:color="auto"/>
              <w:bottom w:val="nil"/>
              <w:right w:val="nil"/>
            </w:tcBorders>
            <w:vAlign w:val="center"/>
          </w:tcPr>
          <w:p w14:paraId="13A4A767" w14:textId="667DDD92" w:rsidR="00AA7A30" w:rsidRPr="00E20618" w:rsidRDefault="00E40062" w:rsidP="004C567F">
            <w:pPr>
              <w:pStyle w:val="TableTextRight"/>
            </w:pPr>
            <w:r w:rsidRPr="00396FDF">
              <w:t>0.4</w:t>
            </w:r>
          </w:p>
        </w:tc>
      </w:tr>
      <w:tr w:rsidR="00396FDF" w:rsidRPr="00485E58" w14:paraId="46C0BE72" w14:textId="77777777" w:rsidTr="00733847">
        <w:tc>
          <w:tcPr>
            <w:tcW w:w="2772" w:type="dxa"/>
          </w:tcPr>
          <w:p w14:paraId="3813A433" w14:textId="67A91588" w:rsidR="00AA7A30" w:rsidRPr="004C567F" w:rsidRDefault="00AA7A30" w:rsidP="004C567F">
            <w:pPr>
              <w:pStyle w:val="TableColumnHeadingLeft"/>
            </w:pPr>
            <w:r w:rsidRPr="004C567F">
              <w:t>Population growth (</w:t>
            </w:r>
            <w:r w:rsidR="004B14AB" w:rsidRPr="004C567F">
              <w:t>‘</w:t>
            </w:r>
            <w:r w:rsidRPr="004C567F">
              <w:t>000)</w:t>
            </w:r>
          </w:p>
        </w:tc>
        <w:tc>
          <w:tcPr>
            <w:tcW w:w="1050" w:type="dxa"/>
            <w:tcBorders>
              <w:top w:val="nil"/>
              <w:left w:val="nil"/>
              <w:bottom w:val="nil"/>
              <w:right w:val="nil"/>
            </w:tcBorders>
            <w:vAlign w:val="center"/>
          </w:tcPr>
          <w:p w14:paraId="648EF8AA" w14:textId="77777777" w:rsidR="00AA7A30" w:rsidRPr="00E20618" w:rsidRDefault="00AA7A30" w:rsidP="004C567F">
            <w:pPr>
              <w:pStyle w:val="TableTextRight"/>
            </w:pPr>
          </w:p>
        </w:tc>
        <w:tc>
          <w:tcPr>
            <w:tcW w:w="1050" w:type="dxa"/>
            <w:tcBorders>
              <w:top w:val="nil"/>
              <w:left w:val="nil"/>
              <w:bottom w:val="nil"/>
              <w:right w:val="nil"/>
            </w:tcBorders>
            <w:shd w:val="clear" w:color="auto" w:fill="D2EDFF" w:themeFill="accent1" w:themeFillTint="1A"/>
            <w:vAlign w:val="center"/>
          </w:tcPr>
          <w:p w14:paraId="5BE67E2D" w14:textId="05AA0741" w:rsidR="00AA7A30" w:rsidRPr="00E20618" w:rsidRDefault="00E40062" w:rsidP="004C567F">
            <w:pPr>
              <w:pStyle w:val="TableTextRight"/>
            </w:pPr>
            <w:r w:rsidRPr="00396FDF">
              <w:t> </w:t>
            </w:r>
          </w:p>
        </w:tc>
        <w:tc>
          <w:tcPr>
            <w:tcW w:w="1050" w:type="dxa"/>
            <w:tcBorders>
              <w:top w:val="nil"/>
              <w:left w:val="nil"/>
              <w:bottom w:val="nil"/>
              <w:right w:val="nil"/>
            </w:tcBorders>
            <w:vAlign w:val="center"/>
          </w:tcPr>
          <w:p w14:paraId="34837E2F" w14:textId="77777777" w:rsidR="00AA7A30" w:rsidRPr="00E20618" w:rsidRDefault="00AA7A30" w:rsidP="004C567F">
            <w:pPr>
              <w:pStyle w:val="TableTextRight"/>
            </w:pPr>
          </w:p>
        </w:tc>
        <w:tc>
          <w:tcPr>
            <w:tcW w:w="1050" w:type="dxa"/>
            <w:tcBorders>
              <w:top w:val="nil"/>
              <w:left w:val="nil"/>
              <w:bottom w:val="nil"/>
              <w:right w:val="nil"/>
            </w:tcBorders>
            <w:vAlign w:val="center"/>
          </w:tcPr>
          <w:p w14:paraId="338C91E3" w14:textId="77777777" w:rsidR="00AA7A30" w:rsidRPr="00E20618" w:rsidRDefault="00AA7A30" w:rsidP="004C567F">
            <w:pPr>
              <w:pStyle w:val="TableTextRight"/>
            </w:pPr>
          </w:p>
        </w:tc>
        <w:tc>
          <w:tcPr>
            <w:tcW w:w="1050" w:type="dxa"/>
            <w:tcBorders>
              <w:top w:val="nil"/>
              <w:left w:val="nil"/>
              <w:bottom w:val="nil"/>
              <w:right w:val="single" w:sz="4" w:space="0" w:color="auto"/>
            </w:tcBorders>
            <w:vAlign w:val="center"/>
          </w:tcPr>
          <w:p w14:paraId="32C58FE0" w14:textId="66E4FA97" w:rsidR="00AA7A30" w:rsidRPr="00E20618" w:rsidRDefault="00E40062" w:rsidP="004C567F">
            <w:pPr>
              <w:pStyle w:val="TableTextRight"/>
            </w:pPr>
            <w:r w:rsidRPr="00396FDF">
              <w:t> </w:t>
            </w:r>
          </w:p>
        </w:tc>
        <w:tc>
          <w:tcPr>
            <w:tcW w:w="1050" w:type="dxa"/>
            <w:tcBorders>
              <w:top w:val="nil"/>
              <w:left w:val="single" w:sz="4" w:space="0" w:color="auto"/>
              <w:bottom w:val="nil"/>
              <w:right w:val="nil"/>
            </w:tcBorders>
            <w:vAlign w:val="center"/>
          </w:tcPr>
          <w:p w14:paraId="602D591E" w14:textId="77777777" w:rsidR="00AA7A30" w:rsidRPr="00E20618" w:rsidRDefault="00AA7A30" w:rsidP="004C567F">
            <w:pPr>
              <w:pStyle w:val="TableTextRight"/>
            </w:pPr>
          </w:p>
        </w:tc>
      </w:tr>
      <w:tr w:rsidR="001A002F" w:rsidRPr="00485E58" w14:paraId="70B72E18" w14:textId="77777777" w:rsidTr="00733847">
        <w:tc>
          <w:tcPr>
            <w:tcW w:w="2772" w:type="dxa"/>
          </w:tcPr>
          <w:p w14:paraId="6B57007D"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03BABCE4" w14:textId="796E529C" w:rsidR="00AA7A30" w:rsidRPr="00E20618" w:rsidRDefault="00E40062" w:rsidP="004C567F">
            <w:pPr>
              <w:pStyle w:val="TableTextRight"/>
            </w:pPr>
            <w:r w:rsidRPr="00396FDF">
              <w:t>2.1</w:t>
            </w:r>
          </w:p>
        </w:tc>
        <w:tc>
          <w:tcPr>
            <w:tcW w:w="1050" w:type="dxa"/>
            <w:tcBorders>
              <w:top w:val="nil"/>
              <w:left w:val="nil"/>
              <w:bottom w:val="nil"/>
              <w:right w:val="nil"/>
            </w:tcBorders>
            <w:shd w:val="clear" w:color="auto" w:fill="D2EDFF" w:themeFill="accent1" w:themeFillTint="1A"/>
            <w:vAlign w:val="center"/>
          </w:tcPr>
          <w:p w14:paraId="2DED2583" w14:textId="1864301F" w:rsidR="00AA7A30" w:rsidRPr="00E20618" w:rsidRDefault="00E40062" w:rsidP="004C567F">
            <w:pPr>
              <w:pStyle w:val="TableTextRight"/>
            </w:pPr>
            <w:r w:rsidRPr="00396FDF">
              <w:t>2.6</w:t>
            </w:r>
          </w:p>
        </w:tc>
        <w:tc>
          <w:tcPr>
            <w:tcW w:w="1050" w:type="dxa"/>
            <w:tcBorders>
              <w:top w:val="nil"/>
              <w:left w:val="nil"/>
              <w:bottom w:val="nil"/>
              <w:right w:val="nil"/>
            </w:tcBorders>
            <w:vAlign w:val="center"/>
          </w:tcPr>
          <w:p w14:paraId="7DC4CC48" w14:textId="6A9FD23F" w:rsidR="00AA7A30" w:rsidRPr="00E20618" w:rsidRDefault="00E40062" w:rsidP="004C567F">
            <w:pPr>
              <w:pStyle w:val="TableTextRight"/>
            </w:pPr>
            <w:r w:rsidRPr="00A5125A">
              <w:rPr>
                <w:rFonts w:ascii="Calibri" w:hAnsi="Calibri"/>
              </w:rPr>
              <w:t>2.</w:t>
            </w:r>
            <w:r w:rsidR="00992A0A">
              <w:rPr>
                <w:rFonts w:ascii="Calibri" w:hAnsi="Calibri" w:cs="Calibri"/>
              </w:rPr>
              <w:t>6</w:t>
            </w:r>
          </w:p>
        </w:tc>
        <w:tc>
          <w:tcPr>
            <w:tcW w:w="1050" w:type="dxa"/>
            <w:tcBorders>
              <w:top w:val="nil"/>
              <w:left w:val="nil"/>
              <w:bottom w:val="nil"/>
              <w:right w:val="nil"/>
            </w:tcBorders>
            <w:vAlign w:val="center"/>
          </w:tcPr>
          <w:p w14:paraId="01DDE11E" w14:textId="17B84314" w:rsidR="00AA7A30" w:rsidRPr="00E20618" w:rsidRDefault="00E40062" w:rsidP="004C567F">
            <w:pPr>
              <w:pStyle w:val="TableTextRight"/>
            </w:pPr>
            <w:r w:rsidRPr="00A5125A">
              <w:rPr>
                <w:rFonts w:ascii="Calibri" w:hAnsi="Calibri"/>
              </w:rPr>
              <w:t>2.</w:t>
            </w:r>
            <w:r w:rsidR="00992A0A">
              <w:rPr>
                <w:rFonts w:ascii="Calibri" w:hAnsi="Calibri" w:cs="Calibri"/>
              </w:rPr>
              <w:t>6</w:t>
            </w:r>
          </w:p>
        </w:tc>
        <w:tc>
          <w:tcPr>
            <w:tcW w:w="1050" w:type="dxa"/>
            <w:tcBorders>
              <w:top w:val="nil"/>
              <w:left w:val="nil"/>
              <w:bottom w:val="nil"/>
              <w:right w:val="single" w:sz="4" w:space="0" w:color="auto"/>
            </w:tcBorders>
            <w:vAlign w:val="center"/>
          </w:tcPr>
          <w:p w14:paraId="3811F239" w14:textId="3E9EBC05" w:rsidR="00AA7A30" w:rsidRPr="00E20618" w:rsidRDefault="00E40062" w:rsidP="004C567F">
            <w:pPr>
              <w:pStyle w:val="TableTextRight"/>
            </w:pPr>
            <w:r w:rsidRPr="00A5125A">
              <w:rPr>
                <w:rFonts w:ascii="Calibri" w:hAnsi="Calibri"/>
              </w:rPr>
              <w:t>3.</w:t>
            </w:r>
            <w:r w:rsidR="00992A0A">
              <w:rPr>
                <w:rFonts w:ascii="Calibri" w:hAnsi="Calibri" w:cs="Calibri"/>
              </w:rPr>
              <w:t>1</w:t>
            </w:r>
          </w:p>
        </w:tc>
        <w:tc>
          <w:tcPr>
            <w:tcW w:w="1050" w:type="dxa"/>
            <w:tcBorders>
              <w:top w:val="nil"/>
              <w:left w:val="single" w:sz="4" w:space="0" w:color="auto"/>
              <w:bottom w:val="nil"/>
              <w:right w:val="nil"/>
            </w:tcBorders>
            <w:vAlign w:val="center"/>
          </w:tcPr>
          <w:p w14:paraId="238642A3" w14:textId="12F2156F" w:rsidR="00AA7A30" w:rsidRPr="00E20618" w:rsidRDefault="00E40062" w:rsidP="004C567F">
            <w:pPr>
              <w:pStyle w:val="TableTextRight"/>
            </w:pPr>
            <w:r w:rsidRPr="00A5125A">
              <w:rPr>
                <w:rFonts w:ascii="Calibri" w:hAnsi="Calibri"/>
              </w:rPr>
              <w:t>3.</w:t>
            </w:r>
            <w:r w:rsidR="00992A0A">
              <w:rPr>
                <w:rFonts w:ascii="Calibri" w:hAnsi="Calibri" w:cs="Calibri"/>
              </w:rPr>
              <w:t>1</w:t>
            </w:r>
          </w:p>
        </w:tc>
      </w:tr>
      <w:tr w:rsidR="001A002F" w:rsidRPr="00485E58" w14:paraId="27522389" w14:textId="77777777" w:rsidTr="00733847">
        <w:tc>
          <w:tcPr>
            <w:tcW w:w="2772" w:type="dxa"/>
          </w:tcPr>
          <w:p w14:paraId="3E70487A"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7499509A" w14:textId="586E2912" w:rsidR="00AA7A30" w:rsidRPr="00E20618" w:rsidRDefault="00E40062" w:rsidP="004C567F">
            <w:pPr>
              <w:pStyle w:val="TableTextRight"/>
            </w:pPr>
            <w:r w:rsidRPr="00396FDF">
              <w:t>1.2</w:t>
            </w:r>
          </w:p>
        </w:tc>
        <w:tc>
          <w:tcPr>
            <w:tcW w:w="1050" w:type="dxa"/>
            <w:tcBorders>
              <w:top w:val="nil"/>
              <w:left w:val="nil"/>
              <w:bottom w:val="nil"/>
              <w:right w:val="nil"/>
            </w:tcBorders>
            <w:shd w:val="clear" w:color="auto" w:fill="D2EDFF" w:themeFill="accent1" w:themeFillTint="1A"/>
            <w:vAlign w:val="center"/>
          </w:tcPr>
          <w:p w14:paraId="38B60D72" w14:textId="152A6FE2" w:rsidR="00AA7A30" w:rsidRPr="00E20618" w:rsidRDefault="00E40062" w:rsidP="004C567F">
            <w:pPr>
              <w:pStyle w:val="TableTextRight"/>
            </w:pPr>
            <w:r w:rsidRPr="00396FDF">
              <w:t>2.3</w:t>
            </w:r>
          </w:p>
        </w:tc>
        <w:tc>
          <w:tcPr>
            <w:tcW w:w="1050" w:type="dxa"/>
            <w:tcBorders>
              <w:top w:val="nil"/>
              <w:left w:val="nil"/>
              <w:bottom w:val="nil"/>
              <w:right w:val="nil"/>
            </w:tcBorders>
            <w:vAlign w:val="center"/>
          </w:tcPr>
          <w:p w14:paraId="3B2E9EAA" w14:textId="1812EA80" w:rsidR="00AA7A30" w:rsidRPr="00E20618" w:rsidRDefault="00E40062" w:rsidP="004C567F">
            <w:pPr>
              <w:pStyle w:val="TableTextRight"/>
            </w:pPr>
            <w:r w:rsidRPr="00396FDF">
              <w:t>2.4</w:t>
            </w:r>
          </w:p>
        </w:tc>
        <w:tc>
          <w:tcPr>
            <w:tcW w:w="1050" w:type="dxa"/>
            <w:tcBorders>
              <w:top w:val="nil"/>
              <w:left w:val="nil"/>
              <w:bottom w:val="nil"/>
              <w:right w:val="nil"/>
            </w:tcBorders>
            <w:vAlign w:val="center"/>
          </w:tcPr>
          <w:p w14:paraId="0689A7D8" w14:textId="7EE0F8DD" w:rsidR="00AA7A30" w:rsidRPr="00E20618" w:rsidRDefault="00E40062" w:rsidP="004C567F">
            <w:pPr>
              <w:pStyle w:val="TableTextRight"/>
            </w:pPr>
            <w:r w:rsidRPr="00A5125A">
              <w:rPr>
                <w:rFonts w:ascii="Calibri" w:hAnsi="Calibri"/>
              </w:rPr>
              <w:t>2.</w:t>
            </w:r>
            <w:r w:rsidR="00992A0A">
              <w:rPr>
                <w:rFonts w:ascii="Calibri" w:hAnsi="Calibri" w:cs="Calibri"/>
              </w:rPr>
              <w:t>4</w:t>
            </w:r>
          </w:p>
        </w:tc>
        <w:tc>
          <w:tcPr>
            <w:tcW w:w="1050" w:type="dxa"/>
            <w:tcBorders>
              <w:top w:val="nil"/>
              <w:left w:val="nil"/>
              <w:bottom w:val="nil"/>
              <w:right w:val="single" w:sz="4" w:space="0" w:color="auto"/>
            </w:tcBorders>
            <w:vAlign w:val="center"/>
          </w:tcPr>
          <w:p w14:paraId="69F8B2E7" w14:textId="14BA0000" w:rsidR="00AA7A30" w:rsidRPr="00E20618" w:rsidRDefault="00992A0A" w:rsidP="004C567F">
            <w:pPr>
              <w:pStyle w:val="TableTextRight"/>
            </w:pPr>
            <w:r>
              <w:rPr>
                <w:rFonts w:ascii="Calibri" w:hAnsi="Calibri" w:cs="Calibri"/>
              </w:rPr>
              <w:t>2.8</w:t>
            </w:r>
          </w:p>
        </w:tc>
        <w:tc>
          <w:tcPr>
            <w:tcW w:w="1050" w:type="dxa"/>
            <w:tcBorders>
              <w:top w:val="nil"/>
              <w:left w:val="single" w:sz="4" w:space="0" w:color="auto"/>
              <w:bottom w:val="nil"/>
              <w:right w:val="nil"/>
            </w:tcBorders>
            <w:vAlign w:val="center"/>
          </w:tcPr>
          <w:p w14:paraId="04F432EB" w14:textId="6BA81282" w:rsidR="00AA7A30" w:rsidRPr="00E20618" w:rsidRDefault="00E40062" w:rsidP="004C567F">
            <w:pPr>
              <w:pStyle w:val="TableTextRight"/>
            </w:pPr>
            <w:r w:rsidRPr="00396FDF">
              <w:t>2.7</w:t>
            </w:r>
          </w:p>
        </w:tc>
      </w:tr>
      <w:tr w:rsidR="00A5125A" w:rsidRPr="00485E58" w14:paraId="17D1E946" w14:textId="77777777" w:rsidTr="00733847">
        <w:tc>
          <w:tcPr>
            <w:tcW w:w="2772" w:type="dxa"/>
            <w:tcBorders>
              <w:bottom w:val="single" w:sz="4" w:space="0" w:color="auto"/>
            </w:tcBorders>
          </w:tcPr>
          <w:p w14:paraId="152A0129" w14:textId="77777777" w:rsidR="00AA7A30" w:rsidRPr="004C567F" w:rsidRDefault="00AA7A30" w:rsidP="004C567F">
            <w:pPr>
              <w:pStyle w:val="Tabletextleftindent"/>
            </w:pPr>
            <w:r w:rsidRPr="004C567F">
              <w:t>Rest of Northern Territory</w:t>
            </w:r>
          </w:p>
        </w:tc>
        <w:tc>
          <w:tcPr>
            <w:tcW w:w="1050" w:type="dxa"/>
            <w:tcBorders>
              <w:top w:val="nil"/>
              <w:left w:val="nil"/>
              <w:bottom w:val="single" w:sz="4" w:space="0" w:color="auto"/>
              <w:right w:val="nil"/>
            </w:tcBorders>
            <w:vAlign w:val="center"/>
          </w:tcPr>
          <w:p w14:paraId="077B32D4" w14:textId="29DAEDAE" w:rsidR="00AA7A30" w:rsidRPr="00E20618" w:rsidRDefault="00E40062" w:rsidP="004C567F">
            <w:pPr>
              <w:pStyle w:val="TableTextRight"/>
            </w:pPr>
            <w:r w:rsidRPr="00396FDF">
              <w:t>0.9</w:t>
            </w:r>
          </w:p>
        </w:tc>
        <w:tc>
          <w:tcPr>
            <w:tcW w:w="1050" w:type="dxa"/>
            <w:tcBorders>
              <w:top w:val="nil"/>
              <w:left w:val="nil"/>
              <w:bottom w:val="single" w:sz="4" w:space="0" w:color="auto"/>
              <w:right w:val="nil"/>
            </w:tcBorders>
            <w:shd w:val="clear" w:color="auto" w:fill="D2EDFF" w:themeFill="accent1" w:themeFillTint="1A"/>
            <w:vAlign w:val="center"/>
          </w:tcPr>
          <w:p w14:paraId="1C599395" w14:textId="4EDCE7C7" w:rsidR="00AA7A30" w:rsidRPr="00E20618" w:rsidRDefault="00E40062" w:rsidP="004C567F">
            <w:pPr>
              <w:pStyle w:val="TableTextRight"/>
            </w:pPr>
            <w:r w:rsidRPr="00396FDF">
              <w:t>0.3</w:t>
            </w:r>
          </w:p>
        </w:tc>
        <w:tc>
          <w:tcPr>
            <w:tcW w:w="1050" w:type="dxa"/>
            <w:tcBorders>
              <w:top w:val="nil"/>
              <w:left w:val="nil"/>
              <w:bottom w:val="single" w:sz="4" w:space="0" w:color="auto"/>
              <w:right w:val="nil"/>
            </w:tcBorders>
            <w:vAlign w:val="center"/>
          </w:tcPr>
          <w:p w14:paraId="337F872F" w14:textId="0BB4A6A5" w:rsidR="00AA7A30" w:rsidRPr="00E20618" w:rsidRDefault="00E40062" w:rsidP="004C567F">
            <w:pPr>
              <w:pStyle w:val="TableTextRight"/>
            </w:pPr>
            <w:r w:rsidRPr="00396FDF">
              <w:t>0.3</w:t>
            </w:r>
          </w:p>
        </w:tc>
        <w:tc>
          <w:tcPr>
            <w:tcW w:w="1050" w:type="dxa"/>
            <w:tcBorders>
              <w:top w:val="nil"/>
              <w:left w:val="nil"/>
              <w:bottom w:val="single" w:sz="4" w:space="0" w:color="auto"/>
              <w:right w:val="nil"/>
            </w:tcBorders>
            <w:vAlign w:val="center"/>
          </w:tcPr>
          <w:p w14:paraId="3E71D790" w14:textId="3F536F48" w:rsidR="00AA7A30" w:rsidRPr="00E20618" w:rsidRDefault="00E40062" w:rsidP="004C567F">
            <w:pPr>
              <w:pStyle w:val="TableTextRight"/>
            </w:pPr>
            <w:r w:rsidRPr="00A5125A">
              <w:rPr>
                <w:rFonts w:ascii="Calibri" w:hAnsi="Calibri"/>
              </w:rPr>
              <w:t>0.</w:t>
            </w:r>
            <w:r w:rsidR="00992A0A">
              <w:rPr>
                <w:rFonts w:ascii="Calibri" w:hAnsi="Calibri" w:cs="Calibri"/>
              </w:rPr>
              <w:t>2</w:t>
            </w:r>
          </w:p>
        </w:tc>
        <w:tc>
          <w:tcPr>
            <w:tcW w:w="1050" w:type="dxa"/>
            <w:tcBorders>
              <w:top w:val="nil"/>
              <w:left w:val="nil"/>
              <w:bottom w:val="single" w:sz="4" w:space="0" w:color="auto"/>
              <w:right w:val="single" w:sz="4" w:space="0" w:color="auto"/>
            </w:tcBorders>
            <w:vAlign w:val="center"/>
          </w:tcPr>
          <w:p w14:paraId="30677FB6" w14:textId="6C2CFB85" w:rsidR="00AA7A30" w:rsidRPr="00E20618" w:rsidRDefault="00E40062" w:rsidP="004C567F">
            <w:pPr>
              <w:pStyle w:val="TableTextRight"/>
            </w:pPr>
            <w:r w:rsidRPr="00A5125A">
              <w:rPr>
                <w:rFonts w:ascii="Calibri" w:hAnsi="Calibri"/>
              </w:rPr>
              <w:t>0.</w:t>
            </w:r>
            <w:r w:rsidR="00992A0A">
              <w:rPr>
                <w:rFonts w:ascii="Calibri" w:hAnsi="Calibri" w:cs="Calibri"/>
              </w:rPr>
              <w:t>3</w:t>
            </w:r>
          </w:p>
        </w:tc>
        <w:tc>
          <w:tcPr>
            <w:tcW w:w="1050" w:type="dxa"/>
            <w:tcBorders>
              <w:top w:val="nil"/>
              <w:left w:val="single" w:sz="4" w:space="0" w:color="auto"/>
              <w:bottom w:val="single" w:sz="4" w:space="0" w:color="auto"/>
              <w:right w:val="nil"/>
            </w:tcBorders>
            <w:vAlign w:val="center"/>
          </w:tcPr>
          <w:p w14:paraId="0D9B3F23" w14:textId="7A81993C" w:rsidR="00AA7A30" w:rsidRPr="00E20618" w:rsidRDefault="00E40062" w:rsidP="004C567F">
            <w:pPr>
              <w:pStyle w:val="TableTextRight"/>
            </w:pPr>
            <w:r w:rsidRPr="00396FDF">
              <w:t>0.4</w:t>
            </w:r>
          </w:p>
        </w:tc>
      </w:tr>
      <w:tr w:rsidR="00F67DB6" w:rsidRPr="00485E58" w14:paraId="4B9304F7" w14:textId="77777777" w:rsidTr="00733847">
        <w:tc>
          <w:tcPr>
            <w:tcW w:w="2772" w:type="dxa"/>
            <w:tcBorders>
              <w:top w:val="single" w:sz="4" w:space="0" w:color="auto"/>
              <w:bottom w:val="nil"/>
            </w:tcBorders>
          </w:tcPr>
          <w:p w14:paraId="6AEEE7D0" w14:textId="4D829121" w:rsidR="00AA7A30" w:rsidRPr="004C567F" w:rsidRDefault="00AA7A30" w:rsidP="004C567F">
            <w:pPr>
              <w:pStyle w:val="TableColumnHeadingLeft"/>
            </w:pPr>
            <w:r w:rsidRPr="004C567F">
              <w:t>Natural increase (</w:t>
            </w:r>
            <w:r w:rsidR="004B14AB" w:rsidRPr="004C567F">
              <w:t>‘</w:t>
            </w:r>
            <w:r w:rsidRPr="004C567F">
              <w:t>000)</w:t>
            </w:r>
          </w:p>
        </w:tc>
        <w:tc>
          <w:tcPr>
            <w:tcW w:w="1050" w:type="dxa"/>
            <w:tcBorders>
              <w:top w:val="single" w:sz="4" w:space="0" w:color="auto"/>
              <w:left w:val="nil"/>
              <w:bottom w:val="nil"/>
              <w:right w:val="nil"/>
            </w:tcBorders>
            <w:vAlign w:val="center"/>
          </w:tcPr>
          <w:p w14:paraId="6A3FF80B" w14:textId="77777777" w:rsidR="00AA7A30" w:rsidRPr="00E20618" w:rsidRDefault="00AA7A30" w:rsidP="004C567F">
            <w:pPr>
              <w:pStyle w:val="TableTextRight"/>
            </w:pPr>
          </w:p>
        </w:tc>
        <w:tc>
          <w:tcPr>
            <w:tcW w:w="1050" w:type="dxa"/>
            <w:tcBorders>
              <w:top w:val="single" w:sz="4" w:space="0" w:color="auto"/>
              <w:left w:val="nil"/>
              <w:bottom w:val="nil"/>
              <w:right w:val="nil"/>
            </w:tcBorders>
            <w:shd w:val="clear" w:color="auto" w:fill="D2EDFF" w:themeFill="accent1" w:themeFillTint="1A"/>
            <w:vAlign w:val="center"/>
          </w:tcPr>
          <w:p w14:paraId="331BA3FA" w14:textId="58E084E9" w:rsidR="00AA7A30" w:rsidRPr="00E20618" w:rsidRDefault="00E40062" w:rsidP="004C567F">
            <w:pPr>
              <w:pStyle w:val="TableTextRight"/>
            </w:pPr>
            <w:r w:rsidRPr="00396FDF">
              <w:t> </w:t>
            </w:r>
          </w:p>
        </w:tc>
        <w:tc>
          <w:tcPr>
            <w:tcW w:w="1050" w:type="dxa"/>
            <w:tcBorders>
              <w:top w:val="single" w:sz="4" w:space="0" w:color="auto"/>
              <w:left w:val="nil"/>
              <w:bottom w:val="nil"/>
              <w:right w:val="nil"/>
            </w:tcBorders>
            <w:vAlign w:val="center"/>
          </w:tcPr>
          <w:p w14:paraId="466E6977" w14:textId="77777777" w:rsidR="00AA7A30" w:rsidRPr="00E20618" w:rsidRDefault="00AA7A30" w:rsidP="004C567F">
            <w:pPr>
              <w:pStyle w:val="TableTextRight"/>
            </w:pPr>
          </w:p>
        </w:tc>
        <w:tc>
          <w:tcPr>
            <w:tcW w:w="1050" w:type="dxa"/>
            <w:tcBorders>
              <w:top w:val="single" w:sz="4" w:space="0" w:color="auto"/>
              <w:left w:val="nil"/>
              <w:bottom w:val="nil"/>
              <w:right w:val="nil"/>
            </w:tcBorders>
            <w:vAlign w:val="center"/>
          </w:tcPr>
          <w:p w14:paraId="14D0C430" w14:textId="77777777" w:rsidR="00AA7A30" w:rsidRPr="00E20618" w:rsidRDefault="00AA7A30" w:rsidP="004C567F">
            <w:pPr>
              <w:pStyle w:val="TableTextRight"/>
            </w:pPr>
          </w:p>
        </w:tc>
        <w:tc>
          <w:tcPr>
            <w:tcW w:w="1050" w:type="dxa"/>
            <w:tcBorders>
              <w:top w:val="single" w:sz="4" w:space="0" w:color="auto"/>
              <w:left w:val="nil"/>
              <w:bottom w:val="nil"/>
              <w:right w:val="single" w:sz="4" w:space="0" w:color="auto"/>
            </w:tcBorders>
            <w:vAlign w:val="center"/>
          </w:tcPr>
          <w:p w14:paraId="280323A1" w14:textId="3857D110" w:rsidR="00AA7A30" w:rsidRPr="00E20618" w:rsidRDefault="00E40062" w:rsidP="004C567F">
            <w:pPr>
              <w:pStyle w:val="TableTextRight"/>
            </w:pPr>
            <w:r w:rsidRPr="00396FDF">
              <w:t> </w:t>
            </w:r>
          </w:p>
        </w:tc>
        <w:tc>
          <w:tcPr>
            <w:tcW w:w="1050" w:type="dxa"/>
            <w:tcBorders>
              <w:top w:val="single" w:sz="4" w:space="0" w:color="auto"/>
              <w:left w:val="single" w:sz="4" w:space="0" w:color="auto"/>
              <w:bottom w:val="nil"/>
              <w:right w:val="nil"/>
            </w:tcBorders>
            <w:vAlign w:val="center"/>
          </w:tcPr>
          <w:p w14:paraId="1B7AA830" w14:textId="77777777" w:rsidR="00AA7A30" w:rsidRPr="00E20618" w:rsidRDefault="00AA7A30" w:rsidP="004C567F">
            <w:pPr>
              <w:pStyle w:val="TableTextRight"/>
            </w:pPr>
          </w:p>
        </w:tc>
      </w:tr>
      <w:tr w:rsidR="00396FDF" w:rsidRPr="00485E58" w14:paraId="2D33186F" w14:textId="77777777" w:rsidTr="00733847">
        <w:tc>
          <w:tcPr>
            <w:tcW w:w="2772" w:type="dxa"/>
            <w:tcBorders>
              <w:top w:val="nil"/>
            </w:tcBorders>
          </w:tcPr>
          <w:p w14:paraId="6232552A"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3FFA1981" w14:textId="1BFC144D" w:rsidR="00AA7A30" w:rsidRPr="00E20618" w:rsidRDefault="00E40062" w:rsidP="004C567F">
            <w:pPr>
              <w:pStyle w:val="TableTextRight"/>
            </w:pPr>
            <w:r w:rsidRPr="00396FDF">
              <w:t>2.3</w:t>
            </w:r>
          </w:p>
        </w:tc>
        <w:tc>
          <w:tcPr>
            <w:tcW w:w="1050" w:type="dxa"/>
            <w:tcBorders>
              <w:top w:val="nil"/>
              <w:left w:val="nil"/>
              <w:bottom w:val="nil"/>
              <w:right w:val="nil"/>
            </w:tcBorders>
            <w:shd w:val="clear" w:color="auto" w:fill="D2EDFF" w:themeFill="accent1" w:themeFillTint="1A"/>
            <w:vAlign w:val="center"/>
          </w:tcPr>
          <w:p w14:paraId="78B13D41" w14:textId="30A39E5F" w:rsidR="00AA7A30" w:rsidRPr="00E20618" w:rsidRDefault="00E40062" w:rsidP="004C567F">
            <w:pPr>
              <w:pStyle w:val="TableTextRight"/>
            </w:pPr>
            <w:r w:rsidRPr="00396FDF">
              <w:t>2.4</w:t>
            </w:r>
          </w:p>
        </w:tc>
        <w:tc>
          <w:tcPr>
            <w:tcW w:w="1050" w:type="dxa"/>
            <w:tcBorders>
              <w:top w:val="nil"/>
              <w:left w:val="nil"/>
              <w:bottom w:val="nil"/>
              <w:right w:val="nil"/>
            </w:tcBorders>
            <w:vAlign w:val="center"/>
          </w:tcPr>
          <w:p w14:paraId="4287ED2F" w14:textId="0FFF7888" w:rsidR="00AA7A30" w:rsidRPr="00E20618" w:rsidRDefault="00E40062" w:rsidP="004C567F">
            <w:pPr>
              <w:pStyle w:val="TableTextRight"/>
            </w:pPr>
            <w:r w:rsidRPr="00396FDF">
              <w:t>2.5</w:t>
            </w:r>
          </w:p>
        </w:tc>
        <w:tc>
          <w:tcPr>
            <w:tcW w:w="1050" w:type="dxa"/>
            <w:tcBorders>
              <w:top w:val="nil"/>
              <w:left w:val="nil"/>
              <w:bottom w:val="nil"/>
              <w:right w:val="nil"/>
            </w:tcBorders>
            <w:vAlign w:val="center"/>
          </w:tcPr>
          <w:p w14:paraId="73A3069A" w14:textId="56BFC0F6" w:rsidR="00AA7A30" w:rsidRPr="00E20618" w:rsidRDefault="00E40062" w:rsidP="004C567F">
            <w:pPr>
              <w:pStyle w:val="TableTextRight"/>
            </w:pPr>
            <w:r w:rsidRPr="00396FDF">
              <w:t>2.5</w:t>
            </w:r>
          </w:p>
        </w:tc>
        <w:tc>
          <w:tcPr>
            <w:tcW w:w="1050" w:type="dxa"/>
            <w:tcBorders>
              <w:top w:val="nil"/>
              <w:left w:val="nil"/>
              <w:bottom w:val="nil"/>
              <w:right w:val="single" w:sz="4" w:space="0" w:color="auto"/>
            </w:tcBorders>
            <w:vAlign w:val="center"/>
          </w:tcPr>
          <w:p w14:paraId="50413CAD" w14:textId="155A891E" w:rsidR="00AA7A30" w:rsidRPr="00E20618" w:rsidRDefault="00E40062" w:rsidP="004C567F">
            <w:pPr>
              <w:pStyle w:val="TableTextRight"/>
            </w:pPr>
            <w:r w:rsidRPr="00396FDF">
              <w:t>2.5</w:t>
            </w:r>
          </w:p>
        </w:tc>
        <w:tc>
          <w:tcPr>
            <w:tcW w:w="1050" w:type="dxa"/>
            <w:tcBorders>
              <w:top w:val="nil"/>
              <w:left w:val="single" w:sz="4" w:space="0" w:color="auto"/>
              <w:bottom w:val="nil"/>
              <w:right w:val="nil"/>
            </w:tcBorders>
            <w:vAlign w:val="center"/>
          </w:tcPr>
          <w:p w14:paraId="71C1A711" w14:textId="4D4AFF04" w:rsidR="00AA7A30" w:rsidRPr="00E20618" w:rsidRDefault="00E40062" w:rsidP="004C567F">
            <w:pPr>
              <w:pStyle w:val="TableTextRight"/>
            </w:pPr>
            <w:r w:rsidRPr="00396FDF">
              <w:t>2.5</w:t>
            </w:r>
          </w:p>
        </w:tc>
      </w:tr>
      <w:tr w:rsidR="001A002F" w:rsidRPr="00485E58" w14:paraId="63E13757" w14:textId="77777777" w:rsidTr="00733847">
        <w:tc>
          <w:tcPr>
            <w:tcW w:w="2772" w:type="dxa"/>
          </w:tcPr>
          <w:p w14:paraId="1C3D2B79"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71B98FEE" w14:textId="5126225B" w:rsidR="00AA7A30" w:rsidRPr="00E20618" w:rsidRDefault="00E40062" w:rsidP="004C567F">
            <w:pPr>
              <w:pStyle w:val="TableTextRight"/>
            </w:pPr>
            <w:r w:rsidRPr="00396FDF">
              <w:t>1.5</w:t>
            </w:r>
          </w:p>
        </w:tc>
        <w:tc>
          <w:tcPr>
            <w:tcW w:w="1050" w:type="dxa"/>
            <w:tcBorders>
              <w:top w:val="nil"/>
              <w:left w:val="nil"/>
              <w:bottom w:val="nil"/>
              <w:right w:val="nil"/>
            </w:tcBorders>
            <w:shd w:val="clear" w:color="auto" w:fill="D2EDFF" w:themeFill="accent1" w:themeFillTint="1A"/>
            <w:vAlign w:val="center"/>
          </w:tcPr>
          <w:p w14:paraId="76D38888" w14:textId="3F00D819" w:rsidR="00AA7A30" w:rsidRPr="00E20618" w:rsidRDefault="00E40062" w:rsidP="004C567F">
            <w:pPr>
              <w:pStyle w:val="TableTextRight"/>
            </w:pPr>
            <w:r w:rsidRPr="00396FDF">
              <w:t>1.5</w:t>
            </w:r>
          </w:p>
        </w:tc>
        <w:tc>
          <w:tcPr>
            <w:tcW w:w="1050" w:type="dxa"/>
            <w:tcBorders>
              <w:top w:val="nil"/>
              <w:left w:val="nil"/>
              <w:bottom w:val="nil"/>
              <w:right w:val="nil"/>
            </w:tcBorders>
            <w:vAlign w:val="center"/>
          </w:tcPr>
          <w:p w14:paraId="2C29B8FA" w14:textId="1E6F0529" w:rsidR="00AA7A30" w:rsidRPr="00E20618" w:rsidRDefault="00E40062" w:rsidP="004C567F">
            <w:pPr>
              <w:pStyle w:val="TableTextRight"/>
            </w:pPr>
            <w:r w:rsidRPr="00396FDF">
              <w:t>1.5</w:t>
            </w:r>
          </w:p>
        </w:tc>
        <w:tc>
          <w:tcPr>
            <w:tcW w:w="1050" w:type="dxa"/>
            <w:tcBorders>
              <w:top w:val="nil"/>
              <w:left w:val="nil"/>
              <w:bottom w:val="nil"/>
              <w:right w:val="nil"/>
            </w:tcBorders>
            <w:vAlign w:val="center"/>
          </w:tcPr>
          <w:p w14:paraId="57AA1421" w14:textId="2425B3B6" w:rsidR="00AA7A30" w:rsidRPr="00E20618" w:rsidRDefault="00E40062" w:rsidP="004C567F">
            <w:pPr>
              <w:pStyle w:val="TableTextRight"/>
            </w:pPr>
            <w:r w:rsidRPr="00396FDF">
              <w:t>1.5</w:t>
            </w:r>
          </w:p>
        </w:tc>
        <w:tc>
          <w:tcPr>
            <w:tcW w:w="1050" w:type="dxa"/>
            <w:tcBorders>
              <w:top w:val="nil"/>
              <w:left w:val="nil"/>
              <w:bottom w:val="nil"/>
              <w:right w:val="single" w:sz="4" w:space="0" w:color="auto"/>
            </w:tcBorders>
            <w:vAlign w:val="center"/>
          </w:tcPr>
          <w:p w14:paraId="32D31081" w14:textId="1051B134" w:rsidR="00AA7A30" w:rsidRPr="00E20618" w:rsidRDefault="00E40062" w:rsidP="004C567F">
            <w:pPr>
              <w:pStyle w:val="TableTextRight"/>
            </w:pPr>
            <w:r w:rsidRPr="00A5125A">
              <w:rPr>
                <w:rFonts w:ascii="Calibri" w:hAnsi="Calibri"/>
              </w:rPr>
              <w:t>1.</w:t>
            </w:r>
            <w:r w:rsidR="00992A0A">
              <w:rPr>
                <w:rFonts w:ascii="Calibri" w:hAnsi="Calibri" w:cs="Calibri"/>
              </w:rPr>
              <w:t>5</w:t>
            </w:r>
          </w:p>
        </w:tc>
        <w:tc>
          <w:tcPr>
            <w:tcW w:w="1050" w:type="dxa"/>
            <w:tcBorders>
              <w:top w:val="nil"/>
              <w:left w:val="single" w:sz="4" w:space="0" w:color="auto"/>
              <w:bottom w:val="nil"/>
              <w:right w:val="nil"/>
            </w:tcBorders>
            <w:vAlign w:val="center"/>
          </w:tcPr>
          <w:p w14:paraId="662CE886" w14:textId="3047C060" w:rsidR="00AA7A30" w:rsidRPr="00E20618" w:rsidRDefault="00E40062" w:rsidP="004C567F">
            <w:pPr>
              <w:pStyle w:val="TableTextRight"/>
            </w:pPr>
            <w:r w:rsidRPr="00396FDF">
              <w:t>1.6</w:t>
            </w:r>
          </w:p>
        </w:tc>
      </w:tr>
      <w:tr w:rsidR="00396FDF" w:rsidRPr="00485E58" w14:paraId="5FE925D8" w14:textId="77777777" w:rsidTr="00733847">
        <w:tc>
          <w:tcPr>
            <w:tcW w:w="2772" w:type="dxa"/>
          </w:tcPr>
          <w:p w14:paraId="5214FC91" w14:textId="77777777" w:rsidR="00AA7A30" w:rsidRPr="004C567F" w:rsidRDefault="00AA7A30" w:rsidP="004C567F">
            <w:pPr>
              <w:pStyle w:val="Tabletextleftindent"/>
            </w:pPr>
            <w:r w:rsidRPr="004C567F">
              <w:t>Rest of Northern Territory</w:t>
            </w:r>
          </w:p>
        </w:tc>
        <w:tc>
          <w:tcPr>
            <w:tcW w:w="1050" w:type="dxa"/>
            <w:tcBorders>
              <w:top w:val="nil"/>
              <w:left w:val="nil"/>
              <w:bottom w:val="nil"/>
              <w:right w:val="nil"/>
            </w:tcBorders>
            <w:vAlign w:val="center"/>
          </w:tcPr>
          <w:p w14:paraId="0A2A191A" w14:textId="4BABFE70" w:rsidR="00AA7A30" w:rsidRPr="00E20618" w:rsidRDefault="00E40062" w:rsidP="004C567F">
            <w:pPr>
              <w:pStyle w:val="TableTextRight"/>
            </w:pPr>
            <w:r w:rsidRPr="00396FDF">
              <w:t>0.9</w:t>
            </w:r>
          </w:p>
        </w:tc>
        <w:tc>
          <w:tcPr>
            <w:tcW w:w="1050" w:type="dxa"/>
            <w:tcBorders>
              <w:top w:val="nil"/>
              <w:left w:val="nil"/>
              <w:bottom w:val="nil"/>
              <w:right w:val="nil"/>
            </w:tcBorders>
            <w:shd w:val="clear" w:color="auto" w:fill="D2EDFF" w:themeFill="accent1" w:themeFillTint="1A"/>
            <w:vAlign w:val="center"/>
          </w:tcPr>
          <w:p w14:paraId="0C11A66F" w14:textId="204CE72E" w:rsidR="00AA7A30" w:rsidRPr="00E20618" w:rsidRDefault="00E40062" w:rsidP="004C567F">
            <w:pPr>
              <w:pStyle w:val="TableTextRight"/>
            </w:pPr>
            <w:r w:rsidRPr="00396FDF">
              <w:t>1.0</w:t>
            </w:r>
          </w:p>
        </w:tc>
        <w:tc>
          <w:tcPr>
            <w:tcW w:w="1050" w:type="dxa"/>
            <w:tcBorders>
              <w:top w:val="nil"/>
              <w:left w:val="nil"/>
              <w:bottom w:val="nil"/>
              <w:right w:val="nil"/>
            </w:tcBorders>
            <w:vAlign w:val="center"/>
          </w:tcPr>
          <w:p w14:paraId="1C2A9557" w14:textId="414D970B" w:rsidR="00AA7A30" w:rsidRPr="00E20618" w:rsidRDefault="00E40062" w:rsidP="004C567F">
            <w:pPr>
              <w:pStyle w:val="TableTextRight"/>
            </w:pPr>
            <w:r w:rsidRPr="00396FDF">
              <w:t>1.0</w:t>
            </w:r>
          </w:p>
        </w:tc>
        <w:tc>
          <w:tcPr>
            <w:tcW w:w="1050" w:type="dxa"/>
            <w:tcBorders>
              <w:top w:val="nil"/>
              <w:left w:val="nil"/>
              <w:bottom w:val="nil"/>
              <w:right w:val="nil"/>
            </w:tcBorders>
            <w:vAlign w:val="center"/>
          </w:tcPr>
          <w:p w14:paraId="28AFFA1B" w14:textId="58A857D6" w:rsidR="00AA7A30" w:rsidRPr="00E20618" w:rsidRDefault="00E40062" w:rsidP="004C567F">
            <w:pPr>
              <w:pStyle w:val="TableTextRight"/>
            </w:pPr>
            <w:r w:rsidRPr="00396FDF">
              <w:t>1.0</w:t>
            </w:r>
          </w:p>
        </w:tc>
        <w:tc>
          <w:tcPr>
            <w:tcW w:w="1050" w:type="dxa"/>
            <w:tcBorders>
              <w:top w:val="nil"/>
              <w:left w:val="nil"/>
              <w:bottom w:val="nil"/>
              <w:right w:val="single" w:sz="4" w:space="0" w:color="auto"/>
            </w:tcBorders>
            <w:vAlign w:val="center"/>
          </w:tcPr>
          <w:p w14:paraId="021AACF0" w14:textId="4D3E9A96" w:rsidR="00AA7A30" w:rsidRPr="00E20618" w:rsidRDefault="00E40062" w:rsidP="004C567F">
            <w:pPr>
              <w:pStyle w:val="TableTextRight"/>
            </w:pPr>
            <w:r w:rsidRPr="00396FDF">
              <w:t>1.0</w:t>
            </w:r>
          </w:p>
        </w:tc>
        <w:tc>
          <w:tcPr>
            <w:tcW w:w="1050" w:type="dxa"/>
            <w:tcBorders>
              <w:top w:val="nil"/>
              <w:left w:val="single" w:sz="4" w:space="0" w:color="auto"/>
              <w:bottom w:val="nil"/>
              <w:right w:val="nil"/>
            </w:tcBorders>
            <w:vAlign w:val="center"/>
          </w:tcPr>
          <w:p w14:paraId="54691F78" w14:textId="75BD5145" w:rsidR="00AA7A30" w:rsidRPr="00E20618" w:rsidRDefault="00E40062" w:rsidP="004C567F">
            <w:pPr>
              <w:pStyle w:val="TableTextRight"/>
            </w:pPr>
            <w:r w:rsidRPr="00396FDF">
              <w:t>0.9</w:t>
            </w:r>
          </w:p>
        </w:tc>
      </w:tr>
      <w:tr w:rsidR="00396FDF" w:rsidRPr="00485E58" w14:paraId="6898D796" w14:textId="77777777" w:rsidTr="00733847">
        <w:tc>
          <w:tcPr>
            <w:tcW w:w="2772" w:type="dxa"/>
          </w:tcPr>
          <w:p w14:paraId="0E5DCBDA" w14:textId="041F9126" w:rsidR="00AA7A30" w:rsidRPr="004C567F" w:rsidRDefault="00AA7A30" w:rsidP="004C567F">
            <w:pPr>
              <w:pStyle w:val="TableColumnHeadingLeft"/>
            </w:pPr>
            <w:r w:rsidRPr="004C567F">
              <w:t>Net overseas migration (</w:t>
            </w:r>
            <w:r w:rsidR="004B14AB" w:rsidRPr="004C567F">
              <w:t>‘</w:t>
            </w:r>
            <w:r w:rsidRPr="004C567F">
              <w:t>000)</w:t>
            </w:r>
          </w:p>
        </w:tc>
        <w:tc>
          <w:tcPr>
            <w:tcW w:w="1050" w:type="dxa"/>
            <w:tcBorders>
              <w:top w:val="nil"/>
              <w:left w:val="nil"/>
              <w:bottom w:val="nil"/>
              <w:right w:val="nil"/>
            </w:tcBorders>
            <w:vAlign w:val="center"/>
          </w:tcPr>
          <w:p w14:paraId="3F6231C1" w14:textId="77777777" w:rsidR="00AA7A30" w:rsidRPr="00E20618" w:rsidRDefault="00AA7A30" w:rsidP="004C567F">
            <w:pPr>
              <w:pStyle w:val="TableTextRight"/>
            </w:pPr>
          </w:p>
        </w:tc>
        <w:tc>
          <w:tcPr>
            <w:tcW w:w="1050" w:type="dxa"/>
            <w:tcBorders>
              <w:top w:val="nil"/>
              <w:left w:val="nil"/>
              <w:bottom w:val="nil"/>
              <w:right w:val="nil"/>
            </w:tcBorders>
            <w:shd w:val="clear" w:color="auto" w:fill="D2EDFF" w:themeFill="accent1" w:themeFillTint="1A"/>
            <w:vAlign w:val="center"/>
          </w:tcPr>
          <w:p w14:paraId="351B7E7F" w14:textId="7AE3A9AA" w:rsidR="00AA7A30" w:rsidRPr="00E20618" w:rsidRDefault="00E40062" w:rsidP="004C567F">
            <w:pPr>
              <w:pStyle w:val="TableTextRight"/>
            </w:pPr>
            <w:r w:rsidRPr="00396FDF">
              <w:t> </w:t>
            </w:r>
          </w:p>
        </w:tc>
        <w:tc>
          <w:tcPr>
            <w:tcW w:w="1050" w:type="dxa"/>
            <w:tcBorders>
              <w:top w:val="nil"/>
              <w:left w:val="nil"/>
              <w:bottom w:val="nil"/>
              <w:right w:val="nil"/>
            </w:tcBorders>
            <w:vAlign w:val="center"/>
          </w:tcPr>
          <w:p w14:paraId="7AD0AF9D" w14:textId="77777777" w:rsidR="00AA7A30" w:rsidRPr="00E20618" w:rsidRDefault="00AA7A30" w:rsidP="004C567F">
            <w:pPr>
              <w:pStyle w:val="TableTextRight"/>
            </w:pPr>
          </w:p>
        </w:tc>
        <w:tc>
          <w:tcPr>
            <w:tcW w:w="1050" w:type="dxa"/>
            <w:tcBorders>
              <w:top w:val="nil"/>
              <w:left w:val="nil"/>
              <w:bottom w:val="nil"/>
              <w:right w:val="nil"/>
            </w:tcBorders>
            <w:vAlign w:val="center"/>
          </w:tcPr>
          <w:p w14:paraId="32EE264D" w14:textId="77777777" w:rsidR="00AA7A30" w:rsidRPr="00E20618" w:rsidRDefault="00AA7A30" w:rsidP="004C567F">
            <w:pPr>
              <w:pStyle w:val="TableTextRight"/>
            </w:pPr>
          </w:p>
        </w:tc>
        <w:tc>
          <w:tcPr>
            <w:tcW w:w="1050" w:type="dxa"/>
            <w:tcBorders>
              <w:top w:val="nil"/>
              <w:left w:val="nil"/>
              <w:bottom w:val="nil"/>
              <w:right w:val="single" w:sz="4" w:space="0" w:color="auto"/>
            </w:tcBorders>
            <w:vAlign w:val="center"/>
          </w:tcPr>
          <w:p w14:paraId="75403302" w14:textId="0AF0EAA7" w:rsidR="00AA7A30" w:rsidRPr="00E20618" w:rsidRDefault="00E40062" w:rsidP="004C567F">
            <w:pPr>
              <w:pStyle w:val="TableTextRight"/>
            </w:pPr>
            <w:r w:rsidRPr="00396FDF">
              <w:t> </w:t>
            </w:r>
          </w:p>
        </w:tc>
        <w:tc>
          <w:tcPr>
            <w:tcW w:w="1050" w:type="dxa"/>
            <w:tcBorders>
              <w:top w:val="nil"/>
              <w:left w:val="single" w:sz="4" w:space="0" w:color="auto"/>
              <w:bottom w:val="nil"/>
              <w:right w:val="nil"/>
            </w:tcBorders>
            <w:vAlign w:val="center"/>
          </w:tcPr>
          <w:p w14:paraId="3AF1C82A" w14:textId="77777777" w:rsidR="00AA7A30" w:rsidRPr="00E20618" w:rsidRDefault="00AA7A30" w:rsidP="004C567F">
            <w:pPr>
              <w:pStyle w:val="TableTextRight"/>
            </w:pPr>
          </w:p>
        </w:tc>
      </w:tr>
      <w:tr w:rsidR="001A002F" w:rsidRPr="00485E58" w14:paraId="4AAF84D8" w14:textId="77777777" w:rsidTr="00733847">
        <w:tc>
          <w:tcPr>
            <w:tcW w:w="2772" w:type="dxa"/>
          </w:tcPr>
          <w:p w14:paraId="4A9377A6"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1661F333" w14:textId="5766C0F0" w:rsidR="00AA7A30" w:rsidRPr="00E20618" w:rsidRDefault="00E40062" w:rsidP="004C567F">
            <w:pPr>
              <w:pStyle w:val="TableTextRight"/>
            </w:pPr>
            <w:r w:rsidRPr="00396FDF">
              <w:t>2.3</w:t>
            </w:r>
          </w:p>
        </w:tc>
        <w:tc>
          <w:tcPr>
            <w:tcW w:w="1050" w:type="dxa"/>
            <w:tcBorders>
              <w:top w:val="nil"/>
              <w:left w:val="nil"/>
              <w:bottom w:val="nil"/>
              <w:right w:val="nil"/>
            </w:tcBorders>
            <w:shd w:val="clear" w:color="auto" w:fill="D2EDFF" w:themeFill="accent1" w:themeFillTint="1A"/>
            <w:vAlign w:val="center"/>
          </w:tcPr>
          <w:p w14:paraId="46BBA17A" w14:textId="1C04A0D7" w:rsidR="00AA7A30" w:rsidRPr="00E20618" w:rsidRDefault="00E40062" w:rsidP="004C567F">
            <w:pPr>
              <w:pStyle w:val="TableTextRight"/>
            </w:pPr>
            <w:r w:rsidRPr="00396FDF">
              <w:t>3.3</w:t>
            </w:r>
          </w:p>
        </w:tc>
        <w:tc>
          <w:tcPr>
            <w:tcW w:w="1050" w:type="dxa"/>
            <w:tcBorders>
              <w:top w:val="nil"/>
              <w:left w:val="nil"/>
              <w:bottom w:val="nil"/>
              <w:right w:val="nil"/>
            </w:tcBorders>
            <w:vAlign w:val="center"/>
          </w:tcPr>
          <w:p w14:paraId="272E96C5" w14:textId="6FCB80F1" w:rsidR="00AA7A30" w:rsidRPr="00E20618" w:rsidRDefault="00E40062" w:rsidP="004C567F">
            <w:pPr>
              <w:pStyle w:val="TableTextRight"/>
            </w:pPr>
            <w:r w:rsidRPr="00396FDF">
              <w:t>2.</w:t>
            </w:r>
            <w:r w:rsidR="00992A0A">
              <w:rPr>
                <w:rFonts w:ascii="Calibri" w:hAnsi="Calibri" w:cs="Calibri"/>
              </w:rPr>
              <w:t>7</w:t>
            </w:r>
          </w:p>
        </w:tc>
        <w:tc>
          <w:tcPr>
            <w:tcW w:w="1050" w:type="dxa"/>
            <w:tcBorders>
              <w:top w:val="nil"/>
              <w:left w:val="nil"/>
              <w:bottom w:val="nil"/>
              <w:right w:val="nil"/>
            </w:tcBorders>
            <w:vAlign w:val="center"/>
          </w:tcPr>
          <w:p w14:paraId="415AC80D" w14:textId="3C10E91B" w:rsidR="00AA7A30" w:rsidRPr="00E20618" w:rsidRDefault="00E40062" w:rsidP="004C567F">
            <w:pPr>
              <w:pStyle w:val="TableTextRight"/>
            </w:pPr>
            <w:r w:rsidRPr="00A5125A">
              <w:rPr>
                <w:rFonts w:ascii="Calibri" w:hAnsi="Calibri"/>
              </w:rPr>
              <w:t>2.</w:t>
            </w:r>
            <w:r w:rsidR="00992A0A">
              <w:rPr>
                <w:rFonts w:ascii="Calibri" w:hAnsi="Calibri" w:cs="Calibri"/>
              </w:rPr>
              <w:t>0</w:t>
            </w:r>
          </w:p>
        </w:tc>
        <w:tc>
          <w:tcPr>
            <w:tcW w:w="1050" w:type="dxa"/>
            <w:tcBorders>
              <w:top w:val="nil"/>
              <w:left w:val="nil"/>
              <w:bottom w:val="nil"/>
              <w:right w:val="single" w:sz="4" w:space="0" w:color="auto"/>
            </w:tcBorders>
            <w:vAlign w:val="center"/>
          </w:tcPr>
          <w:p w14:paraId="52B9754F" w14:textId="15E538E0" w:rsidR="00AA7A30" w:rsidRPr="00E20618" w:rsidRDefault="56BF3B93" w:rsidP="004C567F">
            <w:pPr>
              <w:pStyle w:val="TableTextRight"/>
            </w:pPr>
            <w:r>
              <w:t>1.9</w:t>
            </w:r>
          </w:p>
        </w:tc>
        <w:tc>
          <w:tcPr>
            <w:tcW w:w="1050" w:type="dxa"/>
            <w:tcBorders>
              <w:top w:val="nil"/>
              <w:left w:val="single" w:sz="4" w:space="0" w:color="auto"/>
              <w:bottom w:val="nil"/>
              <w:right w:val="nil"/>
            </w:tcBorders>
            <w:vAlign w:val="center"/>
          </w:tcPr>
          <w:p w14:paraId="2FD648B1" w14:textId="195A0959" w:rsidR="00AA7A30" w:rsidRPr="00E20618" w:rsidRDefault="00E40062" w:rsidP="004C567F">
            <w:pPr>
              <w:pStyle w:val="TableTextRight"/>
            </w:pPr>
            <w:r w:rsidRPr="00396FDF">
              <w:t>1.8</w:t>
            </w:r>
          </w:p>
        </w:tc>
      </w:tr>
      <w:tr w:rsidR="001A002F" w:rsidRPr="00485E58" w14:paraId="01DA43F7" w14:textId="77777777" w:rsidTr="00733847">
        <w:tc>
          <w:tcPr>
            <w:tcW w:w="2772" w:type="dxa"/>
          </w:tcPr>
          <w:p w14:paraId="4A882471"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63EAD1F3" w14:textId="2E25619E" w:rsidR="00AA7A30" w:rsidRPr="00E20618" w:rsidRDefault="00E40062" w:rsidP="004C567F">
            <w:pPr>
              <w:pStyle w:val="TableTextRight"/>
            </w:pPr>
            <w:r w:rsidRPr="00396FDF">
              <w:t>1.6</w:t>
            </w:r>
          </w:p>
        </w:tc>
        <w:tc>
          <w:tcPr>
            <w:tcW w:w="1050" w:type="dxa"/>
            <w:tcBorders>
              <w:top w:val="nil"/>
              <w:left w:val="nil"/>
              <w:bottom w:val="nil"/>
              <w:right w:val="nil"/>
            </w:tcBorders>
            <w:shd w:val="clear" w:color="auto" w:fill="D2EDFF" w:themeFill="accent1" w:themeFillTint="1A"/>
            <w:vAlign w:val="center"/>
          </w:tcPr>
          <w:p w14:paraId="42853B62" w14:textId="6B1EAC68" w:rsidR="00AA7A30" w:rsidRPr="00E20618" w:rsidRDefault="00E40062" w:rsidP="004C567F">
            <w:pPr>
              <w:pStyle w:val="TableTextRight"/>
            </w:pPr>
            <w:r w:rsidRPr="00396FDF">
              <w:t>2.5</w:t>
            </w:r>
          </w:p>
        </w:tc>
        <w:tc>
          <w:tcPr>
            <w:tcW w:w="1050" w:type="dxa"/>
            <w:tcBorders>
              <w:top w:val="nil"/>
              <w:left w:val="nil"/>
              <w:bottom w:val="nil"/>
              <w:right w:val="nil"/>
            </w:tcBorders>
            <w:vAlign w:val="center"/>
          </w:tcPr>
          <w:p w14:paraId="0C43EBDB" w14:textId="29FAD35E" w:rsidR="00AA7A30" w:rsidRPr="00E20618" w:rsidRDefault="00E40062" w:rsidP="004C567F">
            <w:pPr>
              <w:pStyle w:val="TableTextRight"/>
            </w:pPr>
            <w:r w:rsidRPr="00396FDF">
              <w:t>2</w:t>
            </w:r>
            <w:r w:rsidRPr="00A5125A">
              <w:rPr>
                <w:rFonts w:ascii="Calibri" w:hAnsi="Calibri"/>
              </w:rPr>
              <w:t>.</w:t>
            </w:r>
            <w:r w:rsidR="00992A0A">
              <w:rPr>
                <w:rFonts w:ascii="Calibri" w:hAnsi="Calibri" w:cs="Calibri"/>
              </w:rPr>
              <w:t>0</w:t>
            </w:r>
          </w:p>
        </w:tc>
        <w:tc>
          <w:tcPr>
            <w:tcW w:w="1050" w:type="dxa"/>
            <w:tcBorders>
              <w:top w:val="nil"/>
              <w:left w:val="nil"/>
              <w:bottom w:val="nil"/>
              <w:right w:val="nil"/>
            </w:tcBorders>
            <w:vAlign w:val="center"/>
          </w:tcPr>
          <w:p w14:paraId="24BBEE74" w14:textId="168B8049" w:rsidR="00AA7A30" w:rsidRPr="00E20618" w:rsidRDefault="00E40062" w:rsidP="004C567F">
            <w:pPr>
              <w:pStyle w:val="TableTextRight"/>
            </w:pPr>
            <w:r w:rsidRPr="00A5125A">
              <w:rPr>
                <w:rFonts w:ascii="Calibri" w:hAnsi="Calibri"/>
              </w:rPr>
              <w:t>1.</w:t>
            </w:r>
            <w:r w:rsidR="00992A0A">
              <w:rPr>
                <w:rFonts w:ascii="Calibri" w:hAnsi="Calibri" w:cs="Calibri"/>
              </w:rPr>
              <w:t>5</w:t>
            </w:r>
          </w:p>
        </w:tc>
        <w:tc>
          <w:tcPr>
            <w:tcW w:w="1050" w:type="dxa"/>
            <w:tcBorders>
              <w:top w:val="nil"/>
              <w:left w:val="nil"/>
              <w:bottom w:val="nil"/>
              <w:right w:val="single" w:sz="4" w:space="0" w:color="auto"/>
            </w:tcBorders>
            <w:vAlign w:val="center"/>
          </w:tcPr>
          <w:p w14:paraId="58B78CF7" w14:textId="2A528DA6" w:rsidR="00AA7A30" w:rsidRPr="00E20618" w:rsidRDefault="00E40062" w:rsidP="004C567F">
            <w:pPr>
              <w:pStyle w:val="TableTextRight"/>
            </w:pPr>
            <w:r w:rsidRPr="00A5125A">
              <w:rPr>
                <w:rFonts w:ascii="Calibri" w:hAnsi="Calibri"/>
              </w:rPr>
              <w:t>1.</w:t>
            </w:r>
            <w:r w:rsidR="00992A0A">
              <w:rPr>
                <w:rFonts w:ascii="Calibri" w:hAnsi="Calibri" w:cs="Calibri"/>
              </w:rPr>
              <w:t>4</w:t>
            </w:r>
          </w:p>
        </w:tc>
        <w:tc>
          <w:tcPr>
            <w:tcW w:w="1050" w:type="dxa"/>
            <w:tcBorders>
              <w:top w:val="nil"/>
              <w:left w:val="single" w:sz="4" w:space="0" w:color="auto"/>
              <w:bottom w:val="nil"/>
              <w:right w:val="nil"/>
            </w:tcBorders>
            <w:vAlign w:val="center"/>
          </w:tcPr>
          <w:p w14:paraId="14A7BBBF" w14:textId="17BB8829" w:rsidR="00AA7A30" w:rsidRPr="00E20618" w:rsidRDefault="00E40062" w:rsidP="004C567F">
            <w:pPr>
              <w:pStyle w:val="TableTextRight"/>
            </w:pPr>
            <w:r w:rsidRPr="00396FDF">
              <w:t>1.4</w:t>
            </w:r>
          </w:p>
        </w:tc>
      </w:tr>
      <w:tr w:rsidR="001A002F" w:rsidRPr="00485E58" w14:paraId="6C21DE65" w14:textId="77777777" w:rsidTr="00733847">
        <w:tc>
          <w:tcPr>
            <w:tcW w:w="2772" w:type="dxa"/>
          </w:tcPr>
          <w:p w14:paraId="2D6E0956" w14:textId="77777777" w:rsidR="00AA7A30" w:rsidRPr="004C567F" w:rsidRDefault="00AA7A30" w:rsidP="004C567F">
            <w:pPr>
              <w:pStyle w:val="Tabletextleftindent"/>
            </w:pPr>
            <w:r w:rsidRPr="004C567F">
              <w:t>Rest of Northern Territory</w:t>
            </w:r>
          </w:p>
        </w:tc>
        <w:tc>
          <w:tcPr>
            <w:tcW w:w="1050" w:type="dxa"/>
            <w:tcBorders>
              <w:top w:val="nil"/>
              <w:left w:val="nil"/>
              <w:bottom w:val="nil"/>
              <w:right w:val="nil"/>
            </w:tcBorders>
            <w:vAlign w:val="center"/>
          </w:tcPr>
          <w:p w14:paraId="71690155" w14:textId="1063514F" w:rsidR="00AA7A30" w:rsidRPr="00E20618" w:rsidRDefault="00E40062" w:rsidP="004C567F">
            <w:pPr>
              <w:pStyle w:val="TableTextRight"/>
            </w:pPr>
            <w:r w:rsidRPr="00396FDF">
              <w:t>0.6</w:t>
            </w:r>
          </w:p>
        </w:tc>
        <w:tc>
          <w:tcPr>
            <w:tcW w:w="1050" w:type="dxa"/>
            <w:tcBorders>
              <w:top w:val="nil"/>
              <w:left w:val="nil"/>
              <w:bottom w:val="nil"/>
              <w:right w:val="nil"/>
            </w:tcBorders>
            <w:shd w:val="clear" w:color="auto" w:fill="D2EDFF" w:themeFill="accent1" w:themeFillTint="1A"/>
            <w:vAlign w:val="center"/>
          </w:tcPr>
          <w:p w14:paraId="64650998" w14:textId="4D32F0F5" w:rsidR="00AA7A30" w:rsidRPr="00E20618" w:rsidRDefault="00E40062" w:rsidP="004C567F">
            <w:pPr>
              <w:pStyle w:val="TableTextRight"/>
            </w:pPr>
            <w:r w:rsidRPr="00396FDF">
              <w:t>0.8</w:t>
            </w:r>
          </w:p>
        </w:tc>
        <w:tc>
          <w:tcPr>
            <w:tcW w:w="1050" w:type="dxa"/>
            <w:tcBorders>
              <w:top w:val="nil"/>
              <w:left w:val="nil"/>
              <w:bottom w:val="nil"/>
              <w:right w:val="nil"/>
            </w:tcBorders>
            <w:vAlign w:val="center"/>
          </w:tcPr>
          <w:p w14:paraId="132E05D5" w14:textId="2907C41A" w:rsidR="00AA7A30" w:rsidRPr="00E20618" w:rsidRDefault="00E40062" w:rsidP="004C567F">
            <w:pPr>
              <w:pStyle w:val="TableTextRight"/>
            </w:pPr>
            <w:r w:rsidRPr="00396FDF">
              <w:t>0</w:t>
            </w:r>
            <w:r w:rsidRPr="00A5125A">
              <w:rPr>
                <w:rFonts w:ascii="Calibri" w:hAnsi="Calibri"/>
              </w:rPr>
              <w:t>.</w:t>
            </w:r>
            <w:r w:rsidR="00992A0A">
              <w:rPr>
                <w:rFonts w:ascii="Calibri" w:hAnsi="Calibri" w:cs="Calibri"/>
              </w:rPr>
              <w:t>6</w:t>
            </w:r>
          </w:p>
        </w:tc>
        <w:tc>
          <w:tcPr>
            <w:tcW w:w="1050" w:type="dxa"/>
            <w:tcBorders>
              <w:top w:val="nil"/>
              <w:left w:val="nil"/>
              <w:bottom w:val="nil"/>
              <w:right w:val="nil"/>
            </w:tcBorders>
            <w:vAlign w:val="center"/>
          </w:tcPr>
          <w:p w14:paraId="67A26849" w14:textId="1E138349" w:rsidR="00AA7A30" w:rsidRPr="00E20618" w:rsidRDefault="00E40062" w:rsidP="004C567F">
            <w:pPr>
              <w:pStyle w:val="TableTextRight"/>
            </w:pPr>
            <w:r w:rsidRPr="00396FDF">
              <w:t>0.5</w:t>
            </w:r>
          </w:p>
        </w:tc>
        <w:tc>
          <w:tcPr>
            <w:tcW w:w="1050" w:type="dxa"/>
            <w:tcBorders>
              <w:top w:val="nil"/>
              <w:left w:val="nil"/>
              <w:bottom w:val="nil"/>
              <w:right w:val="single" w:sz="4" w:space="0" w:color="auto"/>
            </w:tcBorders>
            <w:vAlign w:val="center"/>
          </w:tcPr>
          <w:p w14:paraId="5C87A34A" w14:textId="00C540C6" w:rsidR="00AA7A30" w:rsidRPr="00E20618" w:rsidRDefault="00E40062" w:rsidP="004C567F">
            <w:pPr>
              <w:pStyle w:val="TableTextRight"/>
            </w:pPr>
            <w:r w:rsidRPr="00A5125A">
              <w:rPr>
                <w:rFonts w:ascii="Calibri" w:hAnsi="Calibri"/>
              </w:rPr>
              <w:t>0.</w:t>
            </w:r>
            <w:r w:rsidR="00992A0A">
              <w:rPr>
                <w:rFonts w:ascii="Calibri" w:hAnsi="Calibri" w:cs="Calibri"/>
              </w:rPr>
              <w:t>4</w:t>
            </w:r>
          </w:p>
        </w:tc>
        <w:tc>
          <w:tcPr>
            <w:tcW w:w="1050" w:type="dxa"/>
            <w:tcBorders>
              <w:top w:val="nil"/>
              <w:left w:val="single" w:sz="4" w:space="0" w:color="auto"/>
              <w:bottom w:val="nil"/>
              <w:right w:val="nil"/>
            </w:tcBorders>
            <w:vAlign w:val="center"/>
          </w:tcPr>
          <w:p w14:paraId="5A9047DD" w14:textId="365D61CF" w:rsidR="00AA7A30" w:rsidRPr="00E20618" w:rsidRDefault="00E40062" w:rsidP="004C567F">
            <w:pPr>
              <w:pStyle w:val="TableTextRight"/>
            </w:pPr>
            <w:r w:rsidRPr="00396FDF">
              <w:t>0.4</w:t>
            </w:r>
          </w:p>
        </w:tc>
      </w:tr>
      <w:tr w:rsidR="00396FDF" w:rsidRPr="00485E58" w14:paraId="3C4C9A24" w14:textId="77777777" w:rsidTr="00733847">
        <w:tc>
          <w:tcPr>
            <w:tcW w:w="2772" w:type="dxa"/>
          </w:tcPr>
          <w:p w14:paraId="6A5DC538" w14:textId="65C543E3" w:rsidR="00AA7A30" w:rsidRPr="004C567F" w:rsidRDefault="00AA7A30" w:rsidP="004C567F">
            <w:pPr>
              <w:pStyle w:val="TableColumnHeadingLeft"/>
            </w:pPr>
            <w:r w:rsidRPr="004C567F">
              <w:t>Net internal migration (</w:t>
            </w:r>
            <w:r w:rsidR="004B14AB" w:rsidRPr="004C567F">
              <w:t>‘</w:t>
            </w:r>
            <w:r w:rsidRPr="004C567F">
              <w:t>000)</w:t>
            </w:r>
          </w:p>
        </w:tc>
        <w:tc>
          <w:tcPr>
            <w:tcW w:w="1050" w:type="dxa"/>
            <w:tcBorders>
              <w:top w:val="nil"/>
              <w:left w:val="nil"/>
              <w:bottom w:val="nil"/>
              <w:right w:val="nil"/>
            </w:tcBorders>
            <w:vAlign w:val="center"/>
          </w:tcPr>
          <w:p w14:paraId="2A63F15A" w14:textId="77777777" w:rsidR="00AA7A30" w:rsidRPr="00E20618" w:rsidRDefault="00AA7A30" w:rsidP="004C567F">
            <w:pPr>
              <w:pStyle w:val="TableTextRight"/>
            </w:pPr>
          </w:p>
        </w:tc>
        <w:tc>
          <w:tcPr>
            <w:tcW w:w="1050" w:type="dxa"/>
            <w:tcBorders>
              <w:top w:val="nil"/>
              <w:left w:val="nil"/>
              <w:bottom w:val="nil"/>
              <w:right w:val="nil"/>
            </w:tcBorders>
            <w:shd w:val="clear" w:color="auto" w:fill="D2EDFF" w:themeFill="accent1" w:themeFillTint="1A"/>
            <w:vAlign w:val="center"/>
          </w:tcPr>
          <w:p w14:paraId="572ED4C6" w14:textId="377E246E" w:rsidR="00AA7A30" w:rsidRPr="00E20618" w:rsidRDefault="00E40062" w:rsidP="004C567F">
            <w:pPr>
              <w:pStyle w:val="TableTextRight"/>
            </w:pPr>
            <w:r w:rsidRPr="00396FDF">
              <w:t> </w:t>
            </w:r>
          </w:p>
        </w:tc>
        <w:tc>
          <w:tcPr>
            <w:tcW w:w="1050" w:type="dxa"/>
            <w:tcBorders>
              <w:top w:val="nil"/>
              <w:left w:val="nil"/>
              <w:bottom w:val="nil"/>
              <w:right w:val="nil"/>
            </w:tcBorders>
            <w:vAlign w:val="center"/>
          </w:tcPr>
          <w:p w14:paraId="3AA589EB" w14:textId="77777777" w:rsidR="00AA7A30" w:rsidRPr="00E20618" w:rsidRDefault="00AA7A30" w:rsidP="004C567F">
            <w:pPr>
              <w:pStyle w:val="TableTextRight"/>
            </w:pPr>
          </w:p>
        </w:tc>
        <w:tc>
          <w:tcPr>
            <w:tcW w:w="1050" w:type="dxa"/>
            <w:tcBorders>
              <w:top w:val="nil"/>
              <w:left w:val="nil"/>
              <w:bottom w:val="nil"/>
              <w:right w:val="nil"/>
            </w:tcBorders>
            <w:vAlign w:val="center"/>
          </w:tcPr>
          <w:p w14:paraId="7BA8DBFA" w14:textId="77777777" w:rsidR="00AA7A30" w:rsidRPr="00E20618" w:rsidRDefault="00AA7A30" w:rsidP="004C567F">
            <w:pPr>
              <w:pStyle w:val="TableTextRight"/>
            </w:pPr>
          </w:p>
        </w:tc>
        <w:tc>
          <w:tcPr>
            <w:tcW w:w="1050" w:type="dxa"/>
            <w:tcBorders>
              <w:top w:val="nil"/>
              <w:left w:val="nil"/>
              <w:bottom w:val="nil"/>
              <w:right w:val="single" w:sz="4" w:space="0" w:color="auto"/>
            </w:tcBorders>
            <w:vAlign w:val="center"/>
          </w:tcPr>
          <w:p w14:paraId="180BFD55" w14:textId="7D486ED1" w:rsidR="00AA7A30" w:rsidRPr="00E20618" w:rsidRDefault="00E40062" w:rsidP="004C567F">
            <w:pPr>
              <w:pStyle w:val="TableTextRight"/>
            </w:pPr>
            <w:r w:rsidRPr="00396FDF">
              <w:t> </w:t>
            </w:r>
          </w:p>
        </w:tc>
        <w:tc>
          <w:tcPr>
            <w:tcW w:w="1050" w:type="dxa"/>
            <w:tcBorders>
              <w:top w:val="nil"/>
              <w:left w:val="single" w:sz="4" w:space="0" w:color="auto"/>
              <w:bottom w:val="nil"/>
              <w:right w:val="nil"/>
            </w:tcBorders>
            <w:vAlign w:val="center"/>
          </w:tcPr>
          <w:p w14:paraId="1F0274EE" w14:textId="77777777" w:rsidR="00AA7A30" w:rsidRPr="00E20618" w:rsidRDefault="00AA7A30" w:rsidP="004C567F">
            <w:pPr>
              <w:pStyle w:val="TableTextRight"/>
            </w:pPr>
          </w:p>
        </w:tc>
      </w:tr>
      <w:tr w:rsidR="001A002F" w:rsidRPr="00485E58" w14:paraId="6814A44C" w14:textId="77777777" w:rsidTr="00733847">
        <w:tc>
          <w:tcPr>
            <w:tcW w:w="2772" w:type="dxa"/>
          </w:tcPr>
          <w:p w14:paraId="61C21C16"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6EBC5CFE" w14:textId="024CE043" w:rsidR="00AA7A30" w:rsidRPr="00E20618" w:rsidRDefault="004B14AB" w:rsidP="004C567F">
            <w:pPr>
              <w:pStyle w:val="TableTextRight"/>
            </w:pPr>
            <w:r>
              <w:noBreakHyphen/>
            </w:r>
            <w:r w:rsidR="00E40062" w:rsidRPr="00396FDF">
              <w:t>2.6</w:t>
            </w:r>
          </w:p>
        </w:tc>
        <w:tc>
          <w:tcPr>
            <w:tcW w:w="1050" w:type="dxa"/>
            <w:tcBorders>
              <w:top w:val="nil"/>
              <w:left w:val="nil"/>
              <w:bottom w:val="nil"/>
              <w:right w:val="nil"/>
            </w:tcBorders>
            <w:shd w:val="clear" w:color="auto" w:fill="D2EDFF" w:themeFill="accent1" w:themeFillTint="1A"/>
            <w:vAlign w:val="center"/>
          </w:tcPr>
          <w:p w14:paraId="4B4876C8" w14:textId="5A442109" w:rsidR="00AA7A30" w:rsidRPr="00E20618" w:rsidRDefault="004B14AB" w:rsidP="004C567F">
            <w:pPr>
              <w:pStyle w:val="TableTextRight"/>
            </w:pPr>
            <w:r>
              <w:noBreakHyphen/>
            </w:r>
            <w:r w:rsidR="00E40062" w:rsidRPr="00396FDF">
              <w:t>3.1</w:t>
            </w:r>
          </w:p>
        </w:tc>
        <w:tc>
          <w:tcPr>
            <w:tcW w:w="1050" w:type="dxa"/>
            <w:tcBorders>
              <w:top w:val="nil"/>
              <w:left w:val="nil"/>
              <w:bottom w:val="nil"/>
              <w:right w:val="nil"/>
            </w:tcBorders>
            <w:vAlign w:val="center"/>
          </w:tcPr>
          <w:p w14:paraId="3601AFE6" w14:textId="02B4470B" w:rsidR="00AA7A30" w:rsidRPr="00E20618" w:rsidRDefault="004B14AB" w:rsidP="004C567F">
            <w:pPr>
              <w:pStyle w:val="TableTextRight"/>
            </w:pPr>
            <w:r>
              <w:noBreakHyphen/>
            </w:r>
            <w:r w:rsidR="00E40062" w:rsidRPr="00396FDF">
              <w:t>2.5</w:t>
            </w:r>
          </w:p>
        </w:tc>
        <w:tc>
          <w:tcPr>
            <w:tcW w:w="1050" w:type="dxa"/>
            <w:tcBorders>
              <w:top w:val="nil"/>
              <w:left w:val="nil"/>
              <w:bottom w:val="nil"/>
              <w:right w:val="nil"/>
            </w:tcBorders>
            <w:vAlign w:val="center"/>
          </w:tcPr>
          <w:p w14:paraId="79C5CAD7" w14:textId="59162346" w:rsidR="00AA7A30" w:rsidRPr="00E20618" w:rsidRDefault="004B14AB" w:rsidP="004C567F">
            <w:pPr>
              <w:pStyle w:val="TableTextRight"/>
            </w:pPr>
            <w:r>
              <w:noBreakHyphen/>
            </w:r>
            <w:r w:rsidR="00E40062" w:rsidRPr="00396FDF">
              <w:t>1.9</w:t>
            </w:r>
          </w:p>
        </w:tc>
        <w:tc>
          <w:tcPr>
            <w:tcW w:w="1050" w:type="dxa"/>
            <w:tcBorders>
              <w:top w:val="nil"/>
              <w:left w:val="nil"/>
              <w:bottom w:val="nil"/>
              <w:right w:val="single" w:sz="4" w:space="0" w:color="auto"/>
            </w:tcBorders>
            <w:vAlign w:val="center"/>
          </w:tcPr>
          <w:p w14:paraId="34039477" w14:textId="5461553D" w:rsidR="00AA7A30" w:rsidRPr="00E20618" w:rsidRDefault="00992A0A" w:rsidP="004C567F">
            <w:pPr>
              <w:pStyle w:val="TableTextRight"/>
            </w:pPr>
            <w:r>
              <w:rPr>
                <w:rFonts w:ascii="Calibri" w:hAnsi="Calibri" w:cs="Calibri"/>
              </w:rPr>
              <w:t>-</w:t>
            </w:r>
            <w:r w:rsidR="00E40062" w:rsidRPr="00A5125A">
              <w:rPr>
                <w:rFonts w:ascii="Calibri" w:hAnsi="Calibri"/>
              </w:rPr>
              <w:t>1.</w:t>
            </w:r>
            <w:r>
              <w:rPr>
                <w:rFonts w:ascii="Calibri" w:hAnsi="Calibri" w:cs="Calibri"/>
              </w:rPr>
              <w:t>3</w:t>
            </w:r>
          </w:p>
        </w:tc>
        <w:tc>
          <w:tcPr>
            <w:tcW w:w="1050" w:type="dxa"/>
            <w:tcBorders>
              <w:top w:val="nil"/>
              <w:left w:val="single" w:sz="4" w:space="0" w:color="auto"/>
              <w:bottom w:val="nil"/>
              <w:right w:val="nil"/>
            </w:tcBorders>
            <w:vAlign w:val="center"/>
          </w:tcPr>
          <w:p w14:paraId="0863648A" w14:textId="5195BF2A" w:rsidR="00AA7A30" w:rsidRPr="00E20618" w:rsidRDefault="00992A0A" w:rsidP="004C567F">
            <w:pPr>
              <w:pStyle w:val="TableTextRight"/>
            </w:pPr>
            <w:r>
              <w:rPr>
                <w:rFonts w:ascii="Calibri" w:hAnsi="Calibri" w:cs="Calibri"/>
              </w:rPr>
              <w:t>-</w:t>
            </w:r>
            <w:r w:rsidR="00E40062" w:rsidRPr="00A5125A">
              <w:rPr>
                <w:rFonts w:ascii="Calibri" w:hAnsi="Calibri"/>
              </w:rPr>
              <w:t>1.</w:t>
            </w:r>
            <w:r>
              <w:rPr>
                <w:rFonts w:ascii="Calibri" w:hAnsi="Calibri" w:cs="Calibri"/>
              </w:rPr>
              <w:t>2</w:t>
            </w:r>
          </w:p>
        </w:tc>
      </w:tr>
      <w:tr w:rsidR="001A002F" w:rsidRPr="00485E58" w14:paraId="7881DD0C" w14:textId="77777777" w:rsidTr="00733847">
        <w:tc>
          <w:tcPr>
            <w:tcW w:w="2772" w:type="dxa"/>
          </w:tcPr>
          <w:p w14:paraId="7AEFF137"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6205C39D" w14:textId="415409B3" w:rsidR="00AA7A30" w:rsidRPr="00E20618" w:rsidRDefault="004B14AB" w:rsidP="004C567F">
            <w:pPr>
              <w:pStyle w:val="TableTextRight"/>
            </w:pPr>
            <w:r>
              <w:noBreakHyphen/>
            </w:r>
            <w:r w:rsidR="00E40062" w:rsidRPr="00396FDF">
              <w:t>2.0</w:t>
            </w:r>
          </w:p>
        </w:tc>
        <w:tc>
          <w:tcPr>
            <w:tcW w:w="1050" w:type="dxa"/>
            <w:tcBorders>
              <w:top w:val="nil"/>
              <w:left w:val="nil"/>
              <w:bottom w:val="nil"/>
              <w:right w:val="nil"/>
            </w:tcBorders>
            <w:shd w:val="clear" w:color="auto" w:fill="D2EDFF" w:themeFill="accent1" w:themeFillTint="1A"/>
            <w:vAlign w:val="center"/>
          </w:tcPr>
          <w:p w14:paraId="122E48F6" w14:textId="5004FDA1" w:rsidR="00AA7A30" w:rsidRPr="00E20618" w:rsidRDefault="004B14AB" w:rsidP="004C567F">
            <w:pPr>
              <w:pStyle w:val="TableTextRight"/>
            </w:pPr>
            <w:r>
              <w:noBreakHyphen/>
            </w:r>
            <w:r w:rsidR="00E40062" w:rsidRPr="00396FDF">
              <w:t>1.7</w:t>
            </w:r>
          </w:p>
        </w:tc>
        <w:tc>
          <w:tcPr>
            <w:tcW w:w="1050" w:type="dxa"/>
            <w:tcBorders>
              <w:top w:val="nil"/>
              <w:left w:val="nil"/>
              <w:bottom w:val="nil"/>
              <w:right w:val="nil"/>
            </w:tcBorders>
            <w:vAlign w:val="center"/>
          </w:tcPr>
          <w:p w14:paraId="14B1C090" w14:textId="6A82EF04" w:rsidR="00AA7A30" w:rsidRPr="00E20618" w:rsidRDefault="004B14AB" w:rsidP="004C567F">
            <w:pPr>
              <w:pStyle w:val="TableTextRight"/>
            </w:pPr>
            <w:r>
              <w:noBreakHyphen/>
            </w:r>
            <w:r w:rsidR="00E40062" w:rsidRPr="00396FDF">
              <w:t>1.2</w:t>
            </w:r>
          </w:p>
        </w:tc>
        <w:tc>
          <w:tcPr>
            <w:tcW w:w="1050" w:type="dxa"/>
            <w:tcBorders>
              <w:top w:val="nil"/>
              <w:left w:val="nil"/>
              <w:bottom w:val="nil"/>
              <w:right w:val="nil"/>
            </w:tcBorders>
            <w:vAlign w:val="center"/>
          </w:tcPr>
          <w:p w14:paraId="02351AD3" w14:textId="3C184B03" w:rsidR="00AA7A30" w:rsidRPr="00E20618" w:rsidRDefault="004B14AB" w:rsidP="004C567F">
            <w:pPr>
              <w:pStyle w:val="TableTextRight"/>
            </w:pPr>
            <w:r>
              <w:noBreakHyphen/>
            </w:r>
            <w:r w:rsidR="00E40062" w:rsidRPr="00396FDF">
              <w:t>0.7</w:t>
            </w:r>
          </w:p>
        </w:tc>
        <w:tc>
          <w:tcPr>
            <w:tcW w:w="1050" w:type="dxa"/>
            <w:tcBorders>
              <w:top w:val="nil"/>
              <w:left w:val="nil"/>
              <w:bottom w:val="nil"/>
              <w:right w:val="single" w:sz="4" w:space="0" w:color="auto"/>
            </w:tcBorders>
            <w:vAlign w:val="center"/>
          </w:tcPr>
          <w:p w14:paraId="4A52C135" w14:textId="70F9DBAE" w:rsidR="00AA7A30" w:rsidRPr="00E20618" w:rsidRDefault="00992A0A" w:rsidP="004C567F">
            <w:pPr>
              <w:pStyle w:val="TableTextRight"/>
            </w:pPr>
            <w:r>
              <w:rPr>
                <w:rFonts w:ascii="Calibri" w:hAnsi="Calibri" w:cs="Calibri"/>
              </w:rPr>
              <w:t>-</w:t>
            </w:r>
            <w:r w:rsidR="00E40062" w:rsidRPr="00A5125A">
              <w:rPr>
                <w:rFonts w:ascii="Calibri" w:hAnsi="Calibri"/>
              </w:rPr>
              <w:t>0.</w:t>
            </w:r>
            <w:r>
              <w:rPr>
                <w:rFonts w:ascii="Calibri" w:hAnsi="Calibri" w:cs="Calibri"/>
              </w:rPr>
              <w:t>2</w:t>
            </w:r>
          </w:p>
        </w:tc>
        <w:tc>
          <w:tcPr>
            <w:tcW w:w="1050" w:type="dxa"/>
            <w:tcBorders>
              <w:top w:val="nil"/>
              <w:left w:val="single" w:sz="4" w:space="0" w:color="auto"/>
              <w:bottom w:val="nil"/>
              <w:right w:val="nil"/>
            </w:tcBorders>
            <w:vAlign w:val="center"/>
          </w:tcPr>
          <w:p w14:paraId="63CADCB4" w14:textId="21CD6F84" w:rsidR="00AA7A30" w:rsidRPr="00E20618" w:rsidRDefault="00992A0A" w:rsidP="004C567F">
            <w:pPr>
              <w:pStyle w:val="TableTextRight"/>
            </w:pPr>
            <w:r>
              <w:rPr>
                <w:rFonts w:ascii="Calibri" w:hAnsi="Calibri" w:cs="Calibri"/>
              </w:rPr>
              <w:t>-</w:t>
            </w:r>
            <w:r w:rsidR="00E40062" w:rsidRPr="00A5125A">
              <w:rPr>
                <w:rFonts w:ascii="Calibri" w:hAnsi="Calibri"/>
              </w:rPr>
              <w:t>0.</w:t>
            </w:r>
            <w:r>
              <w:rPr>
                <w:rFonts w:ascii="Calibri" w:hAnsi="Calibri" w:cs="Calibri"/>
              </w:rPr>
              <w:t>3</w:t>
            </w:r>
          </w:p>
        </w:tc>
      </w:tr>
      <w:tr w:rsidR="00A5125A" w:rsidRPr="00485E58" w14:paraId="31EE1411" w14:textId="77777777" w:rsidTr="00733847">
        <w:tc>
          <w:tcPr>
            <w:tcW w:w="2772" w:type="dxa"/>
            <w:tcBorders>
              <w:bottom w:val="single" w:sz="4" w:space="0" w:color="auto"/>
            </w:tcBorders>
          </w:tcPr>
          <w:p w14:paraId="290A18A3" w14:textId="77777777" w:rsidR="00AA7A30" w:rsidRPr="004C567F" w:rsidRDefault="00AA7A30" w:rsidP="004C567F">
            <w:pPr>
              <w:pStyle w:val="Tabletextleftindent"/>
            </w:pPr>
            <w:r w:rsidRPr="004C567F">
              <w:t>Rest of Northern Territory</w:t>
            </w:r>
          </w:p>
        </w:tc>
        <w:tc>
          <w:tcPr>
            <w:tcW w:w="1050" w:type="dxa"/>
            <w:tcBorders>
              <w:top w:val="nil"/>
              <w:left w:val="nil"/>
              <w:bottom w:val="single" w:sz="4" w:space="0" w:color="auto"/>
              <w:right w:val="nil"/>
            </w:tcBorders>
            <w:vAlign w:val="center"/>
          </w:tcPr>
          <w:p w14:paraId="035FE1B0" w14:textId="0B0294C6" w:rsidR="00AA7A30" w:rsidRPr="00E20618" w:rsidRDefault="004B14AB" w:rsidP="004C567F">
            <w:pPr>
              <w:pStyle w:val="TableTextRight"/>
            </w:pPr>
            <w:r>
              <w:noBreakHyphen/>
            </w:r>
            <w:r w:rsidR="00E40062" w:rsidRPr="00396FDF">
              <w:t>0.6</w:t>
            </w:r>
          </w:p>
        </w:tc>
        <w:tc>
          <w:tcPr>
            <w:tcW w:w="1050" w:type="dxa"/>
            <w:tcBorders>
              <w:top w:val="nil"/>
              <w:left w:val="nil"/>
              <w:bottom w:val="single" w:sz="4" w:space="0" w:color="auto"/>
              <w:right w:val="nil"/>
            </w:tcBorders>
            <w:shd w:val="clear" w:color="auto" w:fill="D2EDFF" w:themeFill="accent1" w:themeFillTint="1A"/>
            <w:vAlign w:val="center"/>
          </w:tcPr>
          <w:p w14:paraId="1061C075" w14:textId="7D122BDE" w:rsidR="00AA7A30" w:rsidRPr="00E20618" w:rsidRDefault="004B14AB" w:rsidP="004C567F">
            <w:pPr>
              <w:pStyle w:val="TableTextRight"/>
            </w:pPr>
            <w:r>
              <w:noBreakHyphen/>
            </w:r>
            <w:r w:rsidR="00E40062" w:rsidRPr="00396FDF">
              <w:t>1.5</w:t>
            </w:r>
          </w:p>
        </w:tc>
        <w:tc>
          <w:tcPr>
            <w:tcW w:w="1050" w:type="dxa"/>
            <w:tcBorders>
              <w:top w:val="nil"/>
              <w:left w:val="nil"/>
              <w:bottom w:val="single" w:sz="4" w:space="0" w:color="auto"/>
              <w:right w:val="nil"/>
            </w:tcBorders>
            <w:vAlign w:val="center"/>
          </w:tcPr>
          <w:p w14:paraId="1120FFBB" w14:textId="3D29EFD7" w:rsidR="00AA7A30" w:rsidRPr="00E20618" w:rsidRDefault="004B14AB" w:rsidP="004C567F">
            <w:pPr>
              <w:pStyle w:val="TableTextRight"/>
            </w:pPr>
            <w:r>
              <w:noBreakHyphen/>
            </w:r>
            <w:r w:rsidR="00E40062" w:rsidRPr="00396FDF">
              <w:t>1.3</w:t>
            </w:r>
          </w:p>
        </w:tc>
        <w:tc>
          <w:tcPr>
            <w:tcW w:w="1050" w:type="dxa"/>
            <w:tcBorders>
              <w:top w:val="nil"/>
              <w:left w:val="nil"/>
              <w:bottom w:val="single" w:sz="4" w:space="0" w:color="auto"/>
              <w:right w:val="nil"/>
            </w:tcBorders>
            <w:vAlign w:val="center"/>
          </w:tcPr>
          <w:p w14:paraId="39FF5764" w14:textId="0CE2DF41" w:rsidR="00AA7A30" w:rsidRPr="00E20618" w:rsidRDefault="004B14AB" w:rsidP="004C567F">
            <w:pPr>
              <w:pStyle w:val="TableTextRight"/>
            </w:pPr>
            <w:r>
              <w:noBreakHyphen/>
            </w:r>
            <w:r w:rsidR="00E40062" w:rsidRPr="00396FDF">
              <w:t>1.2</w:t>
            </w:r>
          </w:p>
        </w:tc>
        <w:tc>
          <w:tcPr>
            <w:tcW w:w="1050" w:type="dxa"/>
            <w:tcBorders>
              <w:top w:val="nil"/>
              <w:left w:val="nil"/>
              <w:bottom w:val="single" w:sz="4" w:space="0" w:color="auto"/>
              <w:right w:val="single" w:sz="4" w:space="0" w:color="auto"/>
            </w:tcBorders>
            <w:vAlign w:val="center"/>
          </w:tcPr>
          <w:p w14:paraId="13C8627C" w14:textId="4295E37D" w:rsidR="00AA7A30" w:rsidRPr="00E20618" w:rsidRDefault="00992A0A" w:rsidP="004C567F">
            <w:pPr>
              <w:pStyle w:val="TableTextRight"/>
            </w:pPr>
            <w:r>
              <w:rPr>
                <w:rFonts w:ascii="Calibri" w:hAnsi="Calibri" w:cs="Calibri"/>
              </w:rPr>
              <w:t>-</w:t>
            </w:r>
            <w:r w:rsidR="00E40062" w:rsidRPr="00A5125A">
              <w:rPr>
                <w:rFonts w:ascii="Calibri" w:hAnsi="Calibri"/>
              </w:rPr>
              <w:t>1.1</w:t>
            </w:r>
          </w:p>
        </w:tc>
        <w:tc>
          <w:tcPr>
            <w:tcW w:w="1050" w:type="dxa"/>
            <w:tcBorders>
              <w:top w:val="nil"/>
              <w:left w:val="single" w:sz="4" w:space="0" w:color="auto"/>
              <w:bottom w:val="single" w:sz="4" w:space="0" w:color="auto"/>
              <w:right w:val="nil"/>
            </w:tcBorders>
            <w:vAlign w:val="center"/>
          </w:tcPr>
          <w:p w14:paraId="0976E9A5" w14:textId="350FDDE0" w:rsidR="00AA7A30" w:rsidRPr="00E20618" w:rsidRDefault="00992A0A" w:rsidP="004C567F">
            <w:pPr>
              <w:pStyle w:val="TableTextRight"/>
            </w:pPr>
            <w:r>
              <w:rPr>
                <w:rFonts w:ascii="Calibri" w:hAnsi="Calibri" w:cs="Calibri"/>
              </w:rPr>
              <w:t>-</w:t>
            </w:r>
            <w:r w:rsidR="00E40062" w:rsidRPr="00A5125A">
              <w:rPr>
                <w:rFonts w:ascii="Calibri" w:hAnsi="Calibri"/>
              </w:rPr>
              <w:t>0.9</w:t>
            </w:r>
          </w:p>
        </w:tc>
      </w:tr>
      <w:tr w:rsidR="00F67DB6" w:rsidRPr="00485E58" w14:paraId="287D6145" w14:textId="77777777" w:rsidTr="00733847">
        <w:tc>
          <w:tcPr>
            <w:tcW w:w="2772" w:type="dxa"/>
            <w:tcBorders>
              <w:top w:val="single" w:sz="4" w:space="0" w:color="auto"/>
              <w:bottom w:val="nil"/>
            </w:tcBorders>
          </w:tcPr>
          <w:p w14:paraId="1584A1B3" w14:textId="77777777" w:rsidR="00AA7A30" w:rsidRPr="004C567F" w:rsidRDefault="00AA7A30" w:rsidP="004C567F">
            <w:pPr>
              <w:pStyle w:val="TableColumnHeadingLeft"/>
            </w:pPr>
            <w:r w:rsidRPr="004C567F">
              <w:t>Median age (years)</w:t>
            </w:r>
          </w:p>
        </w:tc>
        <w:tc>
          <w:tcPr>
            <w:tcW w:w="1050" w:type="dxa"/>
            <w:tcBorders>
              <w:top w:val="single" w:sz="4" w:space="0" w:color="auto"/>
              <w:left w:val="nil"/>
              <w:bottom w:val="nil"/>
              <w:right w:val="nil"/>
            </w:tcBorders>
            <w:vAlign w:val="center"/>
          </w:tcPr>
          <w:p w14:paraId="1C3C1B7C" w14:textId="77777777" w:rsidR="00AA7A30" w:rsidRPr="00E20618" w:rsidRDefault="00AA7A30" w:rsidP="004C567F">
            <w:pPr>
              <w:pStyle w:val="TableTextRight"/>
            </w:pPr>
          </w:p>
        </w:tc>
        <w:tc>
          <w:tcPr>
            <w:tcW w:w="1050" w:type="dxa"/>
            <w:tcBorders>
              <w:top w:val="single" w:sz="4" w:space="0" w:color="auto"/>
              <w:left w:val="nil"/>
              <w:bottom w:val="nil"/>
              <w:right w:val="nil"/>
            </w:tcBorders>
            <w:shd w:val="clear" w:color="auto" w:fill="D2EDFF" w:themeFill="accent1" w:themeFillTint="1A"/>
            <w:vAlign w:val="center"/>
          </w:tcPr>
          <w:p w14:paraId="48F71427" w14:textId="4AD9C267" w:rsidR="00AA7A30" w:rsidRPr="00E20618" w:rsidRDefault="00E40062" w:rsidP="004C567F">
            <w:pPr>
              <w:pStyle w:val="TableTextRight"/>
            </w:pPr>
            <w:r w:rsidRPr="00396FDF">
              <w:t> </w:t>
            </w:r>
          </w:p>
        </w:tc>
        <w:tc>
          <w:tcPr>
            <w:tcW w:w="1050" w:type="dxa"/>
            <w:tcBorders>
              <w:top w:val="single" w:sz="4" w:space="0" w:color="auto"/>
              <w:left w:val="nil"/>
              <w:bottom w:val="nil"/>
              <w:right w:val="nil"/>
            </w:tcBorders>
            <w:vAlign w:val="center"/>
          </w:tcPr>
          <w:p w14:paraId="49CCE72C" w14:textId="77777777" w:rsidR="00AA7A30" w:rsidRPr="00E20618" w:rsidRDefault="00AA7A30" w:rsidP="004C567F">
            <w:pPr>
              <w:pStyle w:val="TableTextRight"/>
            </w:pPr>
          </w:p>
        </w:tc>
        <w:tc>
          <w:tcPr>
            <w:tcW w:w="1050" w:type="dxa"/>
            <w:tcBorders>
              <w:top w:val="single" w:sz="4" w:space="0" w:color="auto"/>
              <w:left w:val="nil"/>
              <w:bottom w:val="nil"/>
              <w:right w:val="nil"/>
            </w:tcBorders>
            <w:vAlign w:val="center"/>
          </w:tcPr>
          <w:p w14:paraId="54CD5601" w14:textId="77777777" w:rsidR="00AA7A30" w:rsidRPr="00E20618" w:rsidRDefault="00AA7A30" w:rsidP="004C567F">
            <w:pPr>
              <w:pStyle w:val="TableTextRight"/>
            </w:pPr>
          </w:p>
        </w:tc>
        <w:tc>
          <w:tcPr>
            <w:tcW w:w="1050" w:type="dxa"/>
            <w:tcBorders>
              <w:top w:val="single" w:sz="4" w:space="0" w:color="auto"/>
              <w:left w:val="nil"/>
              <w:bottom w:val="nil"/>
              <w:right w:val="single" w:sz="4" w:space="0" w:color="auto"/>
            </w:tcBorders>
            <w:vAlign w:val="center"/>
          </w:tcPr>
          <w:p w14:paraId="64694817" w14:textId="1F03D8D7" w:rsidR="00AA7A30" w:rsidRPr="00E20618" w:rsidRDefault="00E40062" w:rsidP="004C567F">
            <w:pPr>
              <w:pStyle w:val="TableTextRight"/>
            </w:pPr>
            <w:r w:rsidRPr="00396FDF">
              <w:t> </w:t>
            </w:r>
          </w:p>
        </w:tc>
        <w:tc>
          <w:tcPr>
            <w:tcW w:w="1050" w:type="dxa"/>
            <w:tcBorders>
              <w:top w:val="single" w:sz="4" w:space="0" w:color="auto"/>
              <w:left w:val="single" w:sz="4" w:space="0" w:color="auto"/>
              <w:bottom w:val="nil"/>
              <w:right w:val="nil"/>
            </w:tcBorders>
            <w:vAlign w:val="center"/>
          </w:tcPr>
          <w:p w14:paraId="35FF917E" w14:textId="77777777" w:rsidR="00AA7A30" w:rsidRPr="00E20618" w:rsidRDefault="00AA7A30" w:rsidP="004C567F">
            <w:pPr>
              <w:pStyle w:val="TableTextRight"/>
            </w:pPr>
          </w:p>
        </w:tc>
      </w:tr>
      <w:tr w:rsidR="00396FDF" w:rsidRPr="00485E58" w14:paraId="1231F24A" w14:textId="77777777" w:rsidTr="00733847">
        <w:tc>
          <w:tcPr>
            <w:tcW w:w="2772" w:type="dxa"/>
            <w:tcBorders>
              <w:bottom w:val="nil"/>
            </w:tcBorders>
          </w:tcPr>
          <w:p w14:paraId="6D096D61" w14:textId="77777777" w:rsidR="00AA7A30" w:rsidRPr="004C567F" w:rsidRDefault="00AA7A30" w:rsidP="004C567F">
            <w:pPr>
              <w:pStyle w:val="TableTextLeft"/>
            </w:pPr>
            <w:r w:rsidRPr="004C567F">
              <w:t>Northern Territory</w:t>
            </w:r>
          </w:p>
        </w:tc>
        <w:tc>
          <w:tcPr>
            <w:tcW w:w="1050" w:type="dxa"/>
            <w:tcBorders>
              <w:top w:val="nil"/>
              <w:left w:val="nil"/>
              <w:bottom w:val="nil"/>
              <w:right w:val="nil"/>
            </w:tcBorders>
            <w:vAlign w:val="center"/>
          </w:tcPr>
          <w:p w14:paraId="1DB60FDC" w14:textId="71A26766" w:rsidR="00AA7A30" w:rsidRPr="00E20618" w:rsidRDefault="00E40062" w:rsidP="004C567F">
            <w:pPr>
              <w:pStyle w:val="TableTextRight"/>
            </w:pPr>
            <w:r w:rsidRPr="00396FDF">
              <w:t>32.5</w:t>
            </w:r>
          </w:p>
        </w:tc>
        <w:tc>
          <w:tcPr>
            <w:tcW w:w="1050" w:type="dxa"/>
            <w:tcBorders>
              <w:top w:val="nil"/>
              <w:left w:val="nil"/>
              <w:bottom w:val="nil"/>
              <w:right w:val="nil"/>
            </w:tcBorders>
            <w:shd w:val="clear" w:color="auto" w:fill="D2EDFF" w:themeFill="accent1" w:themeFillTint="1A"/>
            <w:vAlign w:val="center"/>
          </w:tcPr>
          <w:p w14:paraId="6C8B3ADE" w14:textId="7E65B634" w:rsidR="00AA7A30" w:rsidRPr="00E20618" w:rsidRDefault="00E40062" w:rsidP="004C567F">
            <w:pPr>
              <w:pStyle w:val="TableTextRight"/>
            </w:pPr>
            <w:r w:rsidRPr="00396FDF">
              <w:t>32.7</w:t>
            </w:r>
          </w:p>
        </w:tc>
        <w:tc>
          <w:tcPr>
            <w:tcW w:w="1050" w:type="dxa"/>
            <w:tcBorders>
              <w:top w:val="nil"/>
              <w:left w:val="nil"/>
              <w:bottom w:val="nil"/>
              <w:right w:val="nil"/>
            </w:tcBorders>
            <w:vAlign w:val="center"/>
          </w:tcPr>
          <w:p w14:paraId="345E4F95" w14:textId="1F0BD65D" w:rsidR="00AA7A30" w:rsidRPr="00E20618" w:rsidRDefault="00E40062" w:rsidP="004C567F">
            <w:pPr>
              <w:pStyle w:val="TableTextRight"/>
            </w:pPr>
            <w:r w:rsidRPr="00396FDF">
              <w:t>33.0</w:t>
            </w:r>
          </w:p>
        </w:tc>
        <w:tc>
          <w:tcPr>
            <w:tcW w:w="1050" w:type="dxa"/>
            <w:tcBorders>
              <w:top w:val="nil"/>
              <w:left w:val="nil"/>
              <w:bottom w:val="nil"/>
              <w:right w:val="nil"/>
            </w:tcBorders>
            <w:vAlign w:val="center"/>
          </w:tcPr>
          <w:p w14:paraId="211FE790" w14:textId="242B6FCD" w:rsidR="00AA7A30" w:rsidRPr="00E20618" w:rsidRDefault="00E40062" w:rsidP="004C567F">
            <w:pPr>
              <w:pStyle w:val="TableTextRight"/>
            </w:pPr>
            <w:r w:rsidRPr="00396FDF">
              <w:t>33.2</w:t>
            </w:r>
          </w:p>
        </w:tc>
        <w:tc>
          <w:tcPr>
            <w:tcW w:w="1050" w:type="dxa"/>
            <w:tcBorders>
              <w:top w:val="nil"/>
              <w:left w:val="nil"/>
              <w:bottom w:val="nil"/>
              <w:right w:val="single" w:sz="4" w:space="0" w:color="auto"/>
            </w:tcBorders>
            <w:vAlign w:val="center"/>
          </w:tcPr>
          <w:p w14:paraId="60035062" w14:textId="316CBFEC" w:rsidR="00AA7A30" w:rsidRPr="00E20618" w:rsidRDefault="00E40062" w:rsidP="004C567F">
            <w:pPr>
              <w:pStyle w:val="TableTextRight"/>
            </w:pPr>
            <w:r w:rsidRPr="00396FDF">
              <w:t>33.4</w:t>
            </w:r>
          </w:p>
        </w:tc>
        <w:tc>
          <w:tcPr>
            <w:tcW w:w="1050" w:type="dxa"/>
            <w:tcBorders>
              <w:top w:val="nil"/>
              <w:left w:val="single" w:sz="4" w:space="0" w:color="auto"/>
              <w:bottom w:val="nil"/>
              <w:right w:val="nil"/>
            </w:tcBorders>
            <w:vAlign w:val="center"/>
          </w:tcPr>
          <w:p w14:paraId="7A2FADF8" w14:textId="340BA045" w:rsidR="00AA7A30" w:rsidRPr="00E20618" w:rsidRDefault="00E40062" w:rsidP="004C567F">
            <w:pPr>
              <w:pStyle w:val="TableTextRight"/>
            </w:pPr>
            <w:r w:rsidRPr="00396FDF">
              <w:t>34.6</w:t>
            </w:r>
          </w:p>
        </w:tc>
      </w:tr>
      <w:tr w:rsidR="00A5125A" w:rsidRPr="00485E58" w14:paraId="5153331D" w14:textId="77777777" w:rsidTr="00733847">
        <w:tc>
          <w:tcPr>
            <w:tcW w:w="2772" w:type="dxa"/>
            <w:tcBorders>
              <w:bottom w:val="nil"/>
            </w:tcBorders>
          </w:tcPr>
          <w:p w14:paraId="2128C9A4" w14:textId="77777777" w:rsidR="00AA7A30" w:rsidRPr="004C567F" w:rsidRDefault="00AA7A30" w:rsidP="004C567F">
            <w:pPr>
              <w:pStyle w:val="Tabletextleftindent"/>
            </w:pPr>
            <w:r w:rsidRPr="004C567F">
              <w:t>Greater Darwin</w:t>
            </w:r>
          </w:p>
        </w:tc>
        <w:tc>
          <w:tcPr>
            <w:tcW w:w="1050" w:type="dxa"/>
            <w:tcBorders>
              <w:top w:val="nil"/>
              <w:left w:val="nil"/>
              <w:bottom w:val="nil"/>
              <w:right w:val="nil"/>
            </w:tcBorders>
            <w:vAlign w:val="center"/>
          </w:tcPr>
          <w:p w14:paraId="34CC5A5E" w14:textId="3D10413F" w:rsidR="00AA7A30" w:rsidRPr="00E20618" w:rsidRDefault="00E40062" w:rsidP="004C567F">
            <w:pPr>
              <w:pStyle w:val="TableTextRight"/>
            </w:pPr>
            <w:r w:rsidRPr="00396FDF">
              <w:t>33.5</w:t>
            </w:r>
          </w:p>
        </w:tc>
        <w:tc>
          <w:tcPr>
            <w:tcW w:w="1050" w:type="dxa"/>
            <w:tcBorders>
              <w:top w:val="nil"/>
              <w:left w:val="nil"/>
              <w:bottom w:val="nil"/>
              <w:right w:val="nil"/>
            </w:tcBorders>
            <w:shd w:val="clear" w:color="auto" w:fill="D2EDFF" w:themeFill="accent1" w:themeFillTint="1A"/>
            <w:vAlign w:val="center"/>
          </w:tcPr>
          <w:p w14:paraId="1EB38E0F" w14:textId="33A3E0FC" w:rsidR="00AA7A30" w:rsidRPr="00E20618" w:rsidRDefault="00E40062" w:rsidP="004C567F">
            <w:pPr>
              <w:pStyle w:val="TableTextRight"/>
            </w:pPr>
            <w:r w:rsidRPr="00396FDF">
              <w:t>33.7</w:t>
            </w:r>
          </w:p>
        </w:tc>
        <w:tc>
          <w:tcPr>
            <w:tcW w:w="1050" w:type="dxa"/>
            <w:tcBorders>
              <w:top w:val="nil"/>
              <w:left w:val="nil"/>
              <w:bottom w:val="nil"/>
              <w:right w:val="nil"/>
            </w:tcBorders>
            <w:vAlign w:val="center"/>
          </w:tcPr>
          <w:p w14:paraId="695D9AFB" w14:textId="30FAE7E2" w:rsidR="00AA7A30" w:rsidRPr="00E20618" w:rsidRDefault="00E40062" w:rsidP="004C567F">
            <w:pPr>
              <w:pStyle w:val="TableTextRight"/>
            </w:pPr>
            <w:r w:rsidRPr="00396FDF">
              <w:t>33.9</w:t>
            </w:r>
          </w:p>
        </w:tc>
        <w:tc>
          <w:tcPr>
            <w:tcW w:w="1050" w:type="dxa"/>
            <w:tcBorders>
              <w:top w:val="nil"/>
              <w:left w:val="nil"/>
              <w:bottom w:val="nil"/>
              <w:right w:val="nil"/>
            </w:tcBorders>
            <w:vAlign w:val="center"/>
          </w:tcPr>
          <w:p w14:paraId="470F7E9A" w14:textId="6D1E94AF" w:rsidR="00AA7A30" w:rsidRPr="00E20618" w:rsidRDefault="00E40062" w:rsidP="004C567F">
            <w:pPr>
              <w:pStyle w:val="TableTextRight"/>
            </w:pPr>
            <w:r w:rsidRPr="00A5125A">
              <w:rPr>
                <w:rFonts w:ascii="Calibri" w:hAnsi="Calibri"/>
              </w:rPr>
              <w:t>34.</w:t>
            </w:r>
            <w:r w:rsidR="00992A0A">
              <w:rPr>
                <w:rFonts w:ascii="Calibri" w:hAnsi="Calibri" w:cs="Calibri"/>
              </w:rPr>
              <w:t>2</w:t>
            </w:r>
          </w:p>
        </w:tc>
        <w:tc>
          <w:tcPr>
            <w:tcW w:w="1050" w:type="dxa"/>
            <w:tcBorders>
              <w:top w:val="nil"/>
              <w:left w:val="nil"/>
              <w:bottom w:val="nil"/>
              <w:right w:val="single" w:sz="4" w:space="0" w:color="auto"/>
            </w:tcBorders>
            <w:vAlign w:val="center"/>
          </w:tcPr>
          <w:p w14:paraId="3878B79B" w14:textId="76129974" w:rsidR="00AA7A30" w:rsidRPr="00E20618" w:rsidRDefault="00E40062" w:rsidP="004C567F">
            <w:pPr>
              <w:pStyle w:val="TableTextRight"/>
            </w:pPr>
            <w:r w:rsidRPr="00A5125A">
              <w:rPr>
                <w:rFonts w:ascii="Calibri" w:hAnsi="Calibri"/>
              </w:rPr>
              <w:t>34.</w:t>
            </w:r>
            <w:r w:rsidR="00992A0A">
              <w:rPr>
                <w:rFonts w:ascii="Calibri" w:hAnsi="Calibri" w:cs="Calibri"/>
              </w:rPr>
              <w:t>4</w:t>
            </w:r>
          </w:p>
        </w:tc>
        <w:tc>
          <w:tcPr>
            <w:tcW w:w="1050" w:type="dxa"/>
            <w:tcBorders>
              <w:top w:val="nil"/>
              <w:left w:val="single" w:sz="4" w:space="0" w:color="auto"/>
              <w:bottom w:val="nil"/>
              <w:right w:val="nil"/>
            </w:tcBorders>
            <w:vAlign w:val="center"/>
          </w:tcPr>
          <w:p w14:paraId="0A289119" w14:textId="493AF695" w:rsidR="00AA7A30" w:rsidRPr="00E20618" w:rsidRDefault="00E40062" w:rsidP="004C567F">
            <w:pPr>
              <w:pStyle w:val="TableTextRight"/>
            </w:pPr>
            <w:r w:rsidRPr="00396FDF">
              <w:t>3</w:t>
            </w:r>
            <w:r w:rsidRPr="00A5125A">
              <w:rPr>
                <w:rFonts w:ascii="Calibri" w:hAnsi="Calibri"/>
              </w:rPr>
              <w:t>5.</w:t>
            </w:r>
            <w:r w:rsidR="00992A0A">
              <w:rPr>
                <w:rFonts w:ascii="Calibri" w:hAnsi="Calibri" w:cs="Calibri"/>
              </w:rPr>
              <w:t>6</w:t>
            </w:r>
          </w:p>
        </w:tc>
      </w:tr>
      <w:tr w:rsidR="00396FDF" w:rsidRPr="00485E58" w14:paraId="6DC4B4CF" w14:textId="77777777" w:rsidTr="00733847">
        <w:tc>
          <w:tcPr>
            <w:tcW w:w="2772" w:type="dxa"/>
            <w:tcBorders>
              <w:bottom w:val="single" w:sz="4" w:space="0" w:color="auto"/>
            </w:tcBorders>
          </w:tcPr>
          <w:p w14:paraId="7FDCC0DD" w14:textId="77777777" w:rsidR="00AA7A30" w:rsidRPr="004C567F" w:rsidRDefault="00AA7A30" w:rsidP="004C567F">
            <w:pPr>
              <w:pStyle w:val="Tabletextleftindent"/>
            </w:pPr>
            <w:r w:rsidRPr="004C567F">
              <w:t>Rest of Northern Territory</w:t>
            </w:r>
          </w:p>
        </w:tc>
        <w:tc>
          <w:tcPr>
            <w:tcW w:w="1050" w:type="dxa"/>
            <w:tcBorders>
              <w:top w:val="nil"/>
              <w:left w:val="nil"/>
              <w:bottom w:val="single" w:sz="4" w:space="0" w:color="auto"/>
              <w:right w:val="nil"/>
            </w:tcBorders>
            <w:vAlign w:val="center"/>
          </w:tcPr>
          <w:p w14:paraId="52DFDC9D" w14:textId="50BE8EB2" w:rsidR="00AA7A30" w:rsidRPr="00E20618" w:rsidRDefault="00E40062" w:rsidP="004C567F">
            <w:pPr>
              <w:pStyle w:val="TableTextRight"/>
            </w:pPr>
            <w:r w:rsidRPr="00396FDF">
              <w:t>31.1</w:t>
            </w:r>
          </w:p>
        </w:tc>
        <w:tc>
          <w:tcPr>
            <w:tcW w:w="1050" w:type="dxa"/>
            <w:tcBorders>
              <w:top w:val="nil"/>
              <w:left w:val="nil"/>
              <w:bottom w:val="single" w:sz="4" w:space="0" w:color="auto"/>
              <w:right w:val="nil"/>
            </w:tcBorders>
            <w:shd w:val="clear" w:color="auto" w:fill="D2EDFF" w:themeFill="accent1" w:themeFillTint="1A"/>
            <w:vAlign w:val="center"/>
          </w:tcPr>
          <w:p w14:paraId="711F5676" w14:textId="39751B61" w:rsidR="00AA7A30" w:rsidRPr="00E20618" w:rsidRDefault="00E40062" w:rsidP="004C567F">
            <w:pPr>
              <w:pStyle w:val="TableTextRight"/>
            </w:pPr>
            <w:r w:rsidRPr="00396FDF">
              <w:t>31.3</w:t>
            </w:r>
          </w:p>
        </w:tc>
        <w:tc>
          <w:tcPr>
            <w:tcW w:w="1050" w:type="dxa"/>
            <w:tcBorders>
              <w:top w:val="nil"/>
              <w:left w:val="nil"/>
              <w:bottom w:val="single" w:sz="4" w:space="0" w:color="auto"/>
              <w:right w:val="nil"/>
            </w:tcBorders>
            <w:vAlign w:val="center"/>
          </w:tcPr>
          <w:p w14:paraId="5A44EE7E" w14:textId="5CA83479" w:rsidR="00AA7A30" w:rsidRPr="00E20618" w:rsidRDefault="00E40062" w:rsidP="004C567F">
            <w:pPr>
              <w:pStyle w:val="TableTextRight"/>
            </w:pPr>
            <w:r w:rsidRPr="00396FDF">
              <w:t>31.6</w:t>
            </w:r>
          </w:p>
        </w:tc>
        <w:tc>
          <w:tcPr>
            <w:tcW w:w="1050" w:type="dxa"/>
            <w:tcBorders>
              <w:top w:val="nil"/>
              <w:left w:val="nil"/>
              <w:bottom w:val="single" w:sz="4" w:space="0" w:color="auto"/>
              <w:right w:val="nil"/>
            </w:tcBorders>
            <w:vAlign w:val="center"/>
          </w:tcPr>
          <w:p w14:paraId="217E3AE8" w14:textId="3BF1F6CD" w:rsidR="00AA7A30" w:rsidRPr="00E20618" w:rsidRDefault="00E40062" w:rsidP="004C567F">
            <w:pPr>
              <w:pStyle w:val="TableTextRight"/>
            </w:pPr>
            <w:r w:rsidRPr="00396FDF">
              <w:t>31.8</w:t>
            </w:r>
          </w:p>
        </w:tc>
        <w:tc>
          <w:tcPr>
            <w:tcW w:w="1050" w:type="dxa"/>
            <w:tcBorders>
              <w:top w:val="nil"/>
              <w:left w:val="nil"/>
              <w:bottom w:val="single" w:sz="4" w:space="0" w:color="auto"/>
              <w:right w:val="single" w:sz="4" w:space="0" w:color="auto"/>
            </w:tcBorders>
            <w:vAlign w:val="center"/>
          </w:tcPr>
          <w:p w14:paraId="02A695AD" w14:textId="4C95DF14" w:rsidR="00AA7A30" w:rsidRPr="00E20618" w:rsidRDefault="00E40062" w:rsidP="004C567F">
            <w:pPr>
              <w:pStyle w:val="TableTextRight"/>
            </w:pPr>
            <w:r w:rsidRPr="00396FDF">
              <w:t>32.0</w:t>
            </w:r>
          </w:p>
        </w:tc>
        <w:tc>
          <w:tcPr>
            <w:tcW w:w="1050" w:type="dxa"/>
            <w:tcBorders>
              <w:top w:val="nil"/>
              <w:left w:val="single" w:sz="4" w:space="0" w:color="auto"/>
              <w:bottom w:val="single" w:sz="4" w:space="0" w:color="auto"/>
              <w:right w:val="nil"/>
            </w:tcBorders>
            <w:vAlign w:val="center"/>
          </w:tcPr>
          <w:p w14:paraId="4BC8B496" w14:textId="2C9BDC7B" w:rsidR="00AA7A30" w:rsidRPr="00E20618" w:rsidRDefault="00E40062" w:rsidP="004C567F">
            <w:pPr>
              <w:pStyle w:val="TableTextRight"/>
            </w:pPr>
            <w:r w:rsidRPr="00396FDF">
              <w:t>33.0</w:t>
            </w:r>
          </w:p>
        </w:tc>
      </w:tr>
    </w:tbl>
    <w:p w14:paraId="2E5963A2" w14:textId="64A4D574" w:rsidR="00AA7A30" w:rsidRPr="002253ED" w:rsidRDefault="00AA7A30" w:rsidP="00C14BAE">
      <w:pPr>
        <w:pStyle w:val="Source"/>
        <w:rPr>
          <w:rStyle w:val="Hyperlink"/>
          <w:color w:val="000000"/>
          <w:sz w:val="20"/>
        </w:rPr>
      </w:pPr>
      <w:r w:rsidRPr="001D20C5">
        <w:t xml:space="preserve">Source: </w:t>
      </w:r>
      <w:r w:rsidR="001D20C5">
        <w:tab/>
      </w:r>
      <w:r w:rsidR="00DD1DCF" w:rsidRPr="001D20C5">
        <w:t>ABS</w:t>
      </w:r>
      <w:r w:rsidRPr="001D20C5">
        <w:t>, National, state and territory population, March 2023</w:t>
      </w:r>
      <w:r w:rsidR="00054FA2">
        <w:t>,</w:t>
      </w:r>
      <w:r w:rsidRPr="001D20C5">
        <w:t xml:space="preserve"> </w:t>
      </w:r>
      <w:r w:rsidR="00DD1DCF" w:rsidRPr="001D20C5">
        <w:t>ABS</w:t>
      </w:r>
      <w:r w:rsidRPr="001D20C5">
        <w:t>, Regional population 2021–22</w:t>
      </w:r>
      <w:r w:rsidR="00054FA2">
        <w:t>,</w:t>
      </w:r>
      <w:r w:rsidR="00983CD4">
        <w:t xml:space="preserve"> </w:t>
      </w:r>
      <w:r w:rsidRPr="001D20C5">
        <w:t>and Centre for Population projections.</w:t>
      </w:r>
    </w:p>
    <w:p w14:paraId="332DD1FF" w14:textId="505074FB" w:rsidR="00DD4AAA" w:rsidRDefault="00DD4AAA">
      <w:pPr>
        <w:spacing w:before="0" w:after="160" w:line="259" w:lineRule="auto"/>
        <w:rPr>
          <w:lang w:eastAsia="en-AU"/>
        </w:rPr>
      </w:pPr>
      <w:bookmarkStart w:id="169" w:name="_Toc151994730"/>
      <w:r>
        <w:rPr>
          <w:lang w:eastAsia="en-AU"/>
        </w:rPr>
        <w:br w:type="page"/>
      </w:r>
    </w:p>
    <w:p w14:paraId="5C7D6247" w14:textId="3CE54DFD" w:rsidR="00472C9A" w:rsidRPr="001D20C5" w:rsidRDefault="00472C9A" w:rsidP="002253ED">
      <w:pPr>
        <w:pStyle w:val="Heading2Numbered"/>
      </w:pPr>
      <w:bookmarkStart w:id="170" w:name="_Toc152920096"/>
      <w:bookmarkStart w:id="171" w:name="_Toc149846515"/>
      <w:bookmarkStart w:id="172" w:name="_Toc149846556"/>
      <w:bookmarkStart w:id="173" w:name="_Toc149846654"/>
      <w:bookmarkStart w:id="174" w:name="_Toc149847597"/>
      <w:bookmarkStart w:id="175" w:name="_Toc154050219"/>
      <w:bookmarkEnd w:id="170"/>
      <w:r w:rsidRPr="001D20C5">
        <w:lastRenderedPageBreak/>
        <w:t>Australian Capital Territory</w:t>
      </w:r>
      <w:bookmarkEnd w:id="169"/>
      <w:bookmarkEnd w:id="171"/>
      <w:bookmarkEnd w:id="172"/>
      <w:bookmarkEnd w:id="173"/>
      <w:bookmarkEnd w:id="174"/>
      <w:bookmarkEnd w:id="175"/>
    </w:p>
    <w:p w14:paraId="60976DD7" w14:textId="7263CF0D" w:rsidR="009F2C1A" w:rsidRDefault="00D47BB2" w:rsidP="00A5125A">
      <w:pPr>
        <w:pStyle w:val="Bullet"/>
        <w:numPr>
          <w:ilvl w:val="0"/>
          <w:numId w:val="0"/>
        </w:numPr>
      </w:pPr>
      <w:r>
        <w:t>The population</w:t>
      </w:r>
      <w:r w:rsidDel="00EA63CC">
        <w:t xml:space="preserve"> </w:t>
      </w:r>
      <w:r w:rsidR="009A318E">
        <w:t>of</w:t>
      </w:r>
      <w:r>
        <w:t xml:space="preserve"> the A</w:t>
      </w:r>
      <w:r w:rsidR="00616385">
        <w:t xml:space="preserve">ustralian Capital Territory was </w:t>
      </w:r>
      <w:r w:rsidR="00A651B2">
        <w:t xml:space="preserve">457,000 </w:t>
      </w:r>
      <w:r w:rsidR="008261E9">
        <w:t>on</w:t>
      </w:r>
      <w:r w:rsidR="00A651B2">
        <w:t xml:space="preserve"> 30 June 2022.</w:t>
      </w:r>
      <w:r w:rsidR="001F200E">
        <w:t xml:space="preserve"> </w:t>
      </w:r>
      <w:r w:rsidR="008E635B">
        <w:t xml:space="preserve">After recording </w:t>
      </w:r>
      <w:r w:rsidR="001A080B">
        <w:t xml:space="preserve">the </w:t>
      </w:r>
      <w:r w:rsidR="005611E3">
        <w:br/>
      </w:r>
      <w:r w:rsidR="001A080B">
        <w:t>fastest growth</w:t>
      </w:r>
      <w:r w:rsidR="00135E48">
        <w:t xml:space="preserve"> of any state or territory</w:t>
      </w:r>
      <w:r w:rsidR="008A424C">
        <w:t xml:space="preserve"> </w:t>
      </w:r>
      <w:r w:rsidR="00CC1F56">
        <w:t>i</w:t>
      </w:r>
      <w:r w:rsidR="00780D91">
        <w:t xml:space="preserve">n the </w:t>
      </w:r>
      <w:r w:rsidR="003C3088">
        <w:t>5</w:t>
      </w:r>
      <w:r w:rsidR="00377429">
        <w:t> year</w:t>
      </w:r>
      <w:r w:rsidR="00780D91">
        <w:t>s to June 2</w:t>
      </w:r>
      <w:r w:rsidR="007D6910">
        <w:t>0</w:t>
      </w:r>
      <w:r w:rsidR="003847D4">
        <w:t>21</w:t>
      </w:r>
      <w:r w:rsidR="007D6910">
        <w:t>,</w:t>
      </w:r>
      <w:r w:rsidR="00415B16">
        <w:t xml:space="preserve"> at </w:t>
      </w:r>
      <w:r w:rsidR="003847D4">
        <w:t>2</w:t>
      </w:r>
      <w:r w:rsidR="00C73CDA">
        <w:t>.</w:t>
      </w:r>
      <w:r w:rsidR="003847D4">
        <w:t>3</w:t>
      </w:r>
      <w:r w:rsidR="001F3B6F">
        <w:t> per cent</w:t>
      </w:r>
      <w:r w:rsidR="000C7BF8">
        <w:t xml:space="preserve"> per year</w:t>
      </w:r>
      <w:r w:rsidR="00135E48">
        <w:t>, the A</w:t>
      </w:r>
      <w:r w:rsidR="00415B16">
        <w:t>ustralian</w:t>
      </w:r>
      <w:r w:rsidR="00772E3A">
        <w:t> </w:t>
      </w:r>
      <w:r w:rsidR="000C7BF8">
        <w:t>Capital</w:t>
      </w:r>
      <w:r w:rsidR="00772E3A">
        <w:t> </w:t>
      </w:r>
      <w:r w:rsidR="000C7BF8">
        <w:t>Territory</w:t>
      </w:r>
      <w:r w:rsidR="004B14AB">
        <w:t>’</w:t>
      </w:r>
      <w:r w:rsidR="000C7BF8">
        <w:t>s population growth decline</w:t>
      </w:r>
      <w:r w:rsidR="000F1E33">
        <w:t>d</w:t>
      </w:r>
      <w:r w:rsidR="000C7BF8">
        <w:t xml:space="preserve"> to </w:t>
      </w:r>
      <w:r w:rsidR="00896A30">
        <w:t>1</w:t>
      </w:r>
      <w:r w:rsidR="00340184">
        <w:t>.0</w:t>
      </w:r>
      <w:r w:rsidR="001F3B6F">
        <w:t> per cent</w:t>
      </w:r>
      <w:r w:rsidR="00896A30">
        <w:t xml:space="preserve"> in 2021–22. </w:t>
      </w:r>
      <w:r w:rsidR="0076110E">
        <w:t xml:space="preserve">Population growth is forecast to recover to </w:t>
      </w:r>
      <w:r w:rsidR="00436291">
        <w:t>2.3</w:t>
      </w:r>
      <w:r w:rsidR="001F3B6F">
        <w:t> per cent</w:t>
      </w:r>
      <w:r w:rsidR="00436291">
        <w:t xml:space="preserve"> in 2022–23</w:t>
      </w:r>
      <w:r w:rsidR="005669D2">
        <w:t xml:space="preserve">, </w:t>
      </w:r>
      <w:r w:rsidR="003C513B">
        <w:t>declining</w:t>
      </w:r>
      <w:r w:rsidR="00B82BD5">
        <w:t xml:space="preserve"> to </w:t>
      </w:r>
      <w:r w:rsidR="005669D2">
        <w:t>1.9</w:t>
      </w:r>
      <w:r w:rsidR="001F3B6F">
        <w:t> per cent</w:t>
      </w:r>
      <w:r w:rsidR="005909B6">
        <w:t xml:space="preserve"> by 2025–26.</w:t>
      </w:r>
      <w:r w:rsidR="004A500B">
        <w:t xml:space="preserve"> </w:t>
      </w:r>
      <w:r w:rsidR="0059061B">
        <w:t xml:space="preserve">Population growth </w:t>
      </w:r>
      <w:r w:rsidR="00DA14C0">
        <w:t xml:space="preserve">in the Australian Capital Territory </w:t>
      </w:r>
      <w:r w:rsidR="0059061B">
        <w:t xml:space="preserve">is then expected to </w:t>
      </w:r>
      <w:r w:rsidR="007C37BE">
        <w:t>slowly declin</w:t>
      </w:r>
      <w:r w:rsidR="0059061B">
        <w:t>e</w:t>
      </w:r>
      <w:r w:rsidR="007C37BE">
        <w:t xml:space="preserve"> to 1.5</w:t>
      </w:r>
      <w:r w:rsidR="001F3B6F">
        <w:t> per cent</w:t>
      </w:r>
      <w:r w:rsidR="007C37BE">
        <w:t xml:space="preserve"> by 2033–34.</w:t>
      </w:r>
    </w:p>
    <w:p w14:paraId="2DB14548" w14:textId="30D3ABEF" w:rsidR="00DA14C0" w:rsidRDefault="000A3B92" w:rsidP="00A5125A">
      <w:pPr>
        <w:pStyle w:val="Bullet"/>
        <w:numPr>
          <w:ilvl w:val="0"/>
          <w:numId w:val="0"/>
        </w:numPr>
      </w:pPr>
      <w:r>
        <w:t xml:space="preserve">Over the projection period, </w:t>
      </w:r>
      <w:r w:rsidR="00946EE0">
        <w:t>net overseas migration</w:t>
      </w:r>
      <w:r w:rsidR="00DA5567">
        <w:t xml:space="preserve"> is forecast to be the </w:t>
      </w:r>
      <w:r w:rsidR="00952F39">
        <w:t xml:space="preserve">primary </w:t>
      </w:r>
      <w:r w:rsidR="00DA5567">
        <w:t>driver of population growth in the Australian Capital Territory</w:t>
      </w:r>
      <w:r w:rsidR="00C16EC0">
        <w:t xml:space="preserve">, </w:t>
      </w:r>
      <w:r w:rsidR="00537E24">
        <w:t xml:space="preserve">contributing </w:t>
      </w:r>
      <w:r w:rsidR="001A6A5E">
        <w:t>around 60</w:t>
      </w:r>
      <w:r w:rsidR="001F3B6F">
        <w:t> per cent</w:t>
      </w:r>
      <w:r w:rsidR="001A6A5E">
        <w:t xml:space="preserve"> of </w:t>
      </w:r>
      <w:r w:rsidR="00C86820">
        <w:t xml:space="preserve">the growth between 2022–23 and 2033–34. </w:t>
      </w:r>
      <w:r w:rsidR="00504893">
        <w:t xml:space="preserve">Natural increase </w:t>
      </w:r>
      <w:r w:rsidR="004D03CD">
        <w:t xml:space="preserve">is </w:t>
      </w:r>
      <w:r w:rsidR="00C81674">
        <w:t>ex</w:t>
      </w:r>
      <w:r w:rsidR="00835AD3">
        <w:t xml:space="preserve">pected </w:t>
      </w:r>
      <w:r w:rsidR="004D03CD">
        <w:t xml:space="preserve">to </w:t>
      </w:r>
      <w:r w:rsidR="00323EA3">
        <w:t>contribute</w:t>
      </w:r>
      <w:r w:rsidR="00A241A9">
        <w:t xml:space="preserve"> the remaining 40</w:t>
      </w:r>
      <w:r w:rsidR="001F3B6F">
        <w:t> per cent</w:t>
      </w:r>
      <w:r w:rsidR="00323EA3">
        <w:t xml:space="preserve"> of growth</w:t>
      </w:r>
      <w:r w:rsidR="00801276">
        <w:t xml:space="preserve"> over this period. </w:t>
      </w:r>
      <w:r w:rsidR="00373CA2">
        <w:t>The high level of</w:t>
      </w:r>
      <w:r w:rsidR="00801276">
        <w:t xml:space="preserve"> natural increase </w:t>
      </w:r>
      <w:r w:rsidR="00373CA2">
        <w:t xml:space="preserve">in the </w:t>
      </w:r>
      <w:r w:rsidR="00D33018">
        <w:t>T</w:t>
      </w:r>
      <w:r w:rsidR="00373CA2">
        <w:t xml:space="preserve">erritory </w:t>
      </w:r>
      <w:r w:rsidR="00835AD3">
        <w:t>re</w:t>
      </w:r>
      <w:r w:rsidR="00830C20">
        <w:t>flect</w:t>
      </w:r>
      <w:r w:rsidR="00801276">
        <w:t>s</w:t>
      </w:r>
      <w:r w:rsidR="00830C20">
        <w:t xml:space="preserve"> </w:t>
      </w:r>
      <w:r w:rsidR="00373CA2">
        <w:t>its</w:t>
      </w:r>
      <w:r w:rsidR="00830C20">
        <w:t xml:space="preserve"> </w:t>
      </w:r>
      <w:r w:rsidR="0032437F">
        <w:t>young</w:t>
      </w:r>
      <w:r w:rsidR="006E1448">
        <w:t>er age structure</w:t>
      </w:r>
      <w:r w:rsidR="00373CA2">
        <w:t>.</w:t>
      </w:r>
      <w:r w:rsidR="00484C54">
        <w:t xml:space="preserve"> </w:t>
      </w:r>
      <w:r w:rsidR="00A35F1A">
        <w:t xml:space="preserve">Net interstate migration </w:t>
      </w:r>
      <w:r w:rsidR="00FB3CCF">
        <w:t xml:space="preserve">is forecast to </w:t>
      </w:r>
      <w:r w:rsidR="001E1F7C">
        <w:t xml:space="preserve">increase from </w:t>
      </w:r>
      <w:r w:rsidR="006D08E1">
        <w:t>an outflow of 1,</w:t>
      </w:r>
      <w:r w:rsidR="00911F16">
        <w:t>7</w:t>
      </w:r>
      <w:r w:rsidR="006D08E1">
        <w:t>00 in 202</w:t>
      </w:r>
      <w:r w:rsidR="00C82DF9">
        <w:t>2</w:t>
      </w:r>
      <w:r w:rsidR="006D08E1">
        <w:t>–</w:t>
      </w:r>
      <w:r w:rsidR="00C82DF9">
        <w:t xml:space="preserve">23 to </w:t>
      </w:r>
      <w:r w:rsidR="004F327E">
        <w:t xml:space="preserve">a </w:t>
      </w:r>
      <w:r w:rsidR="00C82DF9">
        <w:t>small inflow o</w:t>
      </w:r>
      <w:r w:rsidR="005C178F">
        <w:t xml:space="preserve">f 500 by 2025–26 and remain around that level until 2033–34. </w:t>
      </w:r>
    </w:p>
    <w:p w14:paraId="35E10B33" w14:textId="3F31146F" w:rsidR="00E0315A" w:rsidRPr="001D20C5" w:rsidRDefault="00E0315A" w:rsidP="002253ED">
      <w:pPr>
        <w:pStyle w:val="ChartMainHeading"/>
      </w:pPr>
      <w:r w:rsidRPr="001D20C5">
        <w:t>Population growth and components, Australian Capital Territory</w:t>
      </w:r>
    </w:p>
    <w:p w14:paraId="798379FC" w14:textId="10061F57" w:rsidR="006B36EA" w:rsidRDefault="003D5217" w:rsidP="00E01AE5">
      <w:pPr>
        <w:pStyle w:val="ChartGraphic"/>
        <w:jc w:val="left"/>
      </w:pPr>
      <w:r w:rsidRPr="003D5217">
        <w:rPr>
          <w:noProof/>
        </w:rPr>
        <w:drawing>
          <wp:inline distT="0" distB="0" distL="0" distR="0" wp14:anchorId="67B75864" wp14:editId="4F9711D4">
            <wp:extent cx="5572125" cy="2886075"/>
            <wp:effectExtent l="0" t="0" r="0" b="0"/>
            <wp:docPr id="17" name="Picture 17" descr="This chart shows population growth by component for the Australian Capital Territory, disaggregated into its components: natural increase, net overseas migration and net interstate migration. Intercensal difference is also shown. Natural increase and net overseas migration will both be major drivers of the ACT’s population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shows population growth by component for the Australian Capital Territory, disaggregated into its components: natural increase, net overseas migration and net interstate migration. Intercensal difference is also shown. Natural increase and net overseas migration will both be major drivers of the ACT’s population over the projection perio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2886075"/>
                    </a:xfrm>
                    <a:prstGeom prst="rect">
                      <a:avLst/>
                    </a:prstGeom>
                    <a:noFill/>
                    <a:ln>
                      <a:noFill/>
                    </a:ln>
                  </pic:spPr>
                </pic:pic>
              </a:graphicData>
            </a:graphic>
          </wp:inline>
        </w:drawing>
      </w:r>
      <w:r w:rsidR="00DD6D6E" w:rsidRPr="00DD6D6E">
        <w:t xml:space="preserve"> </w:t>
      </w:r>
    </w:p>
    <w:p w14:paraId="4EFF0125" w14:textId="4B042DE8" w:rsidR="00CE0C33" w:rsidRDefault="00E0315A" w:rsidP="00C14BAE">
      <w:pPr>
        <w:pStyle w:val="Source"/>
        <w:rPr>
          <w:rStyle w:val="Hyperlink"/>
        </w:rPr>
      </w:pPr>
      <w:r w:rsidRPr="00485E58">
        <w:t>Source:</w:t>
      </w:r>
      <w:r w:rsidR="00A653DE">
        <w:tab/>
      </w:r>
      <w:r w:rsidR="00DD1DCF">
        <w:rPr>
          <w:noProof/>
        </w:rPr>
        <w:t>ABS</w:t>
      </w:r>
      <w:r>
        <w:rPr>
          <w:noProof/>
        </w:rPr>
        <w:t>, National, state and territory population, March 2023</w:t>
      </w:r>
      <w:r w:rsidR="007F781C">
        <w:rPr>
          <w:noProof/>
        </w:rPr>
        <w:t xml:space="preserve"> </w:t>
      </w:r>
      <w:r w:rsidRPr="00485E58">
        <w:t>and Centre for Population projections</w:t>
      </w:r>
      <w:r w:rsidRPr="00485E58" w:rsidDel="00EA63CC">
        <w:t>.</w:t>
      </w:r>
    </w:p>
    <w:p w14:paraId="4987BAB0" w14:textId="77777777" w:rsidR="00DB4A76" w:rsidRPr="00DB4A76" w:rsidRDefault="00DB4A76" w:rsidP="00DB4A76">
      <w:pPr>
        <w:pStyle w:val="SingleParagraph"/>
      </w:pPr>
    </w:p>
    <w:p w14:paraId="7D838069" w14:textId="2427E81C" w:rsidR="00A926E5" w:rsidRPr="00485E58" w:rsidRDefault="00A926E5" w:rsidP="002253ED">
      <w:pPr>
        <w:pStyle w:val="TableMainHeading"/>
      </w:pPr>
      <w:r w:rsidRPr="00485E58">
        <w:t>Population projections, Australian Capital Territory</w:t>
      </w:r>
    </w:p>
    <w:tbl>
      <w:tblPr>
        <w:tblStyle w:val="CPOPTable"/>
        <w:tblW w:w="0" w:type="auto"/>
        <w:tblLook w:val="04A0" w:firstRow="1" w:lastRow="0" w:firstColumn="1" w:lastColumn="0" w:noHBand="0" w:noVBand="1"/>
      </w:tblPr>
      <w:tblGrid>
        <w:gridCol w:w="3096"/>
        <w:gridCol w:w="996"/>
        <w:gridCol w:w="996"/>
        <w:gridCol w:w="996"/>
        <w:gridCol w:w="996"/>
        <w:gridCol w:w="996"/>
        <w:gridCol w:w="996"/>
      </w:tblGrid>
      <w:tr w:rsidR="00B05930" w:rsidRPr="00485E58" w14:paraId="5AF7EBF5" w14:textId="77777777" w:rsidTr="00CE01D1">
        <w:trPr>
          <w:cnfStyle w:val="100000000000" w:firstRow="1" w:lastRow="0" w:firstColumn="0" w:lastColumn="0" w:oddVBand="0" w:evenVBand="0" w:oddHBand="0" w:evenHBand="0" w:firstRowFirstColumn="0" w:firstRowLastColumn="0" w:lastRowFirstColumn="0" w:lastRowLastColumn="0"/>
        </w:trPr>
        <w:tc>
          <w:tcPr>
            <w:tcW w:w="3096" w:type="dxa"/>
          </w:tcPr>
          <w:p w14:paraId="47C4E31B" w14:textId="77777777" w:rsidR="00B05930" w:rsidRPr="00485E58" w:rsidRDefault="00B05930" w:rsidP="00B05930">
            <w:pPr>
              <w:spacing w:after="0"/>
            </w:pPr>
          </w:p>
        </w:tc>
        <w:tc>
          <w:tcPr>
            <w:tcW w:w="996" w:type="dxa"/>
          </w:tcPr>
          <w:p w14:paraId="67495873" w14:textId="0E307E2D" w:rsidR="00B05930" w:rsidRPr="00485E58" w:rsidRDefault="00B05930" w:rsidP="004C567F">
            <w:pPr>
              <w:pStyle w:val="TableColumnHeadingRight"/>
            </w:pPr>
            <w:r w:rsidRPr="00485E58">
              <w:t>202</w:t>
            </w:r>
            <w:r>
              <w:t>1–</w:t>
            </w:r>
            <w:r w:rsidRPr="00485E58">
              <w:t>2</w:t>
            </w:r>
            <w:r>
              <w:t>2</w:t>
            </w:r>
          </w:p>
        </w:tc>
        <w:tc>
          <w:tcPr>
            <w:tcW w:w="996" w:type="dxa"/>
            <w:shd w:val="clear" w:color="auto" w:fill="D2EDFF" w:themeFill="accent1" w:themeFillTint="1A"/>
          </w:tcPr>
          <w:p w14:paraId="03D32539" w14:textId="19CF62DF" w:rsidR="00B05930" w:rsidRPr="00485E58" w:rsidRDefault="00B05930" w:rsidP="004C567F">
            <w:pPr>
              <w:pStyle w:val="TableColumnHeadingRight"/>
            </w:pPr>
            <w:r w:rsidRPr="00485E58">
              <w:t>202</w:t>
            </w:r>
            <w:r>
              <w:t>2–</w:t>
            </w:r>
            <w:r w:rsidRPr="00485E58">
              <w:t>2</w:t>
            </w:r>
            <w:r>
              <w:t>3</w:t>
            </w:r>
          </w:p>
        </w:tc>
        <w:tc>
          <w:tcPr>
            <w:tcW w:w="996" w:type="dxa"/>
          </w:tcPr>
          <w:p w14:paraId="5647AF55" w14:textId="6634199E" w:rsidR="00B05930" w:rsidRPr="00485E58" w:rsidRDefault="00B05930" w:rsidP="004C567F">
            <w:pPr>
              <w:pStyle w:val="TableColumnHeadingRight"/>
            </w:pPr>
            <w:r w:rsidRPr="00485E58">
              <w:t>202</w:t>
            </w:r>
            <w:r>
              <w:t>3–</w:t>
            </w:r>
            <w:r w:rsidRPr="00485E58">
              <w:t>2</w:t>
            </w:r>
            <w:r>
              <w:t>4</w:t>
            </w:r>
          </w:p>
        </w:tc>
        <w:tc>
          <w:tcPr>
            <w:tcW w:w="996" w:type="dxa"/>
          </w:tcPr>
          <w:p w14:paraId="171E2F7D" w14:textId="3C177FF2" w:rsidR="00B05930" w:rsidRPr="00485E58" w:rsidRDefault="00B05930" w:rsidP="004C567F">
            <w:pPr>
              <w:pStyle w:val="TableColumnHeadingRight"/>
            </w:pPr>
            <w:r w:rsidRPr="00485E58">
              <w:t>202</w:t>
            </w:r>
            <w:r>
              <w:t>4–</w:t>
            </w:r>
            <w:r w:rsidRPr="00485E58">
              <w:t>2</w:t>
            </w:r>
            <w:r>
              <w:t>5</w:t>
            </w:r>
          </w:p>
        </w:tc>
        <w:tc>
          <w:tcPr>
            <w:tcW w:w="996" w:type="dxa"/>
          </w:tcPr>
          <w:p w14:paraId="7C109F8E" w14:textId="037AAD62" w:rsidR="00B05930" w:rsidRPr="00485E58" w:rsidRDefault="00B05930" w:rsidP="004C567F">
            <w:pPr>
              <w:pStyle w:val="TableColumnHeadingRight"/>
            </w:pPr>
            <w:r w:rsidRPr="00485E58">
              <w:t>202</w:t>
            </w:r>
            <w:r>
              <w:t>5–</w:t>
            </w:r>
            <w:r w:rsidRPr="00485E58">
              <w:t>2</w:t>
            </w:r>
            <w:r>
              <w:t>6</w:t>
            </w:r>
          </w:p>
        </w:tc>
        <w:tc>
          <w:tcPr>
            <w:tcW w:w="996" w:type="dxa"/>
          </w:tcPr>
          <w:p w14:paraId="24C5FFED" w14:textId="76AA7CA2" w:rsidR="00B05930" w:rsidRPr="00485E58" w:rsidRDefault="00B05930" w:rsidP="004C567F">
            <w:pPr>
              <w:pStyle w:val="TableColumnHeadingRight"/>
            </w:pPr>
            <w:r w:rsidRPr="00485E58">
              <w:t>203</w:t>
            </w:r>
            <w:r>
              <w:t>3–</w:t>
            </w:r>
            <w:r w:rsidRPr="00485E58">
              <w:t>3</w:t>
            </w:r>
            <w:r>
              <w:t>4</w:t>
            </w:r>
          </w:p>
        </w:tc>
      </w:tr>
      <w:tr w:rsidR="0056383E" w:rsidRPr="00485E58" w14:paraId="6E7AE332" w14:textId="77777777" w:rsidTr="00CE01D1">
        <w:tc>
          <w:tcPr>
            <w:tcW w:w="0" w:type="dxa"/>
          </w:tcPr>
          <w:p w14:paraId="7423ED11" w14:textId="77777777" w:rsidR="003621C5" w:rsidRPr="000C46CC" w:rsidRDefault="003621C5" w:rsidP="004C567F">
            <w:pPr>
              <w:pStyle w:val="TableColumnHeadingLeft"/>
            </w:pPr>
            <w:r w:rsidRPr="000C46CC">
              <w:t>Population (‘000)</w:t>
            </w:r>
          </w:p>
        </w:tc>
        <w:tc>
          <w:tcPr>
            <w:tcW w:w="0" w:type="dxa"/>
            <w:tcBorders>
              <w:top w:val="nil"/>
              <w:left w:val="nil"/>
              <w:bottom w:val="nil"/>
              <w:right w:val="nil"/>
            </w:tcBorders>
            <w:vAlign w:val="center"/>
          </w:tcPr>
          <w:p w14:paraId="214AA7EE" w14:textId="00E00C3D" w:rsidR="003621C5" w:rsidRPr="000C46CC" w:rsidRDefault="003621C5" w:rsidP="004C567F">
            <w:pPr>
              <w:pStyle w:val="TableTextRight"/>
              <w:rPr>
                <w:rFonts w:cstheme="minorHAnsi"/>
              </w:rPr>
            </w:pPr>
            <w:r>
              <w:t>457</w:t>
            </w:r>
          </w:p>
        </w:tc>
        <w:tc>
          <w:tcPr>
            <w:tcW w:w="0" w:type="dxa"/>
            <w:tcBorders>
              <w:top w:val="nil"/>
              <w:left w:val="nil"/>
              <w:bottom w:val="nil"/>
              <w:right w:val="nil"/>
            </w:tcBorders>
            <w:shd w:val="clear" w:color="000000" w:fill="D2EDFF"/>
            <w:vAlign w:val="center"/>
          </w:tcPr>
          <w:p w14:paraId="48190796" w14:textId="2E4233DD" w:rsidR="003621C5" w:rsidRPr="000C46CC" w:rsidRDefault="003621C5" w:rsidP="004C567F">
            <w:pPr>
              <w:pStyle w:val="TableTextRight"/>
            </w:pPr>
            <w:r>
              <w:t>467</w:t>
            </w:r>
          </w:p>
        </w:tc>
        <w:tc>
          <w:tcPr>
            <w:tcW w:w="0" w:type="dxa"/>
            <w:tcBorders>
              <w:top w:val="nil"/>
              <w:left w:val="nil"/>
              <w:bottom w:val="nil"/>
              <w:right w:val="nil"/>
            </w:tcBorders>
            <w:vAlign w:val="center"/>
          </w:tcPr>
          <w:p w14:paraId="0344F331" w14:textId="3CCC6580" w:rsidR="003621C5" w:rsidRPr="000C46CC" w:rsidRDefault="003621C5" w:rsidP="004C567F">
            <w:pPr>
              <w:pStyle w:val="TableTextRight"/>
            </w:pPr>
            <w:r>
              <w:t>475</w:t>
            </w:r>
          </w:p>
        </w:tc>
        <w:tc>
          <w:tcPr>
            <w:tcW w:w="0" w:type="dxa"/>
            <w:tcBorders>
              <w:top w:val="nil"/>
              <w:left w:val="nil"/>
              <w:bottom w:val="nil"/>
              <w:right w:val="nil"/>
            </w:tcBorders>
            <w:vAlign w:val="center"/>
          </w:tcPr>
          <w:p w14:paraId="07324F48" w14:textId="085EB808" w:rsidR="003621C5" w:rsidRPr="000C46CC" w:rsidRDefault="003621C5" w:rsidP="004C567F">
            <w:pPr>
              <w:pStyle w:val="TableTextRight"/>
            </w:pPr>
            <w:r>
              <w:t>484</w:t>
            </w:r>
          </w:p>
        </w:tc>
        <w:tc>
          <w:tcPr>
            <w:tcW w:w="0" w:type="dxa"/>
            <w:tcBorders>
              <w:top w:val="nil"/>
              <w:left w:val="nil"/>
              <w:bottom w:val="nil"/>
              <w:right w:val="single" w:sz="8" w:space="0" w:color="auto"/>
            </w:tcBorders>
            <w:vAlign w:val="center"/>
          </w:tcPr>
          <w:p w14:paraId="301844A4" w14:textId="34C6C281" w:rsidR="003621C5" w:rsidRPr="000C46CC" w:rsidRDefault="003621C5" w:rsidP="004C567F">
            <w:pPr>
              <w:pStyle w:val="TableTextRight"/>
            </w:pPr>
            <w:r>
              <w:t>493</w:t>
            </w:r>
          </w:p>
        </w:tc>
        <w:tc>
          <w:tcPr>
            <w:tcW w:w="0" w:type="dxa"/>
            <w:tcBorders>
              <w:top w:val="nil"/>
              <w:left w:val="nil"/>
              <w:bottom w:val="nil"/>
              <w:right w:val="nil"/>
            </w:tcBorders>
            <w:vAlign w:val="center"/>
          </w:tcPr>
          <w:p w14:paraId="2E0E1CFD" w14:textId="4820A029" w:rsidR="003621C5" w:rsidRPr="000C46CC" w:rsidRDefault="003621C5" w:rsidP="004C567F">
            <w:pPr>
              <w:pStyle w:val="TableTextRight"/>
            </w:pPr>
            <w:r>
              <w:t>560</w:t>
            </w:r>
          </w:p>
        </w:tc>
      </w:tr>
      <w:tr w:rsidR="0056383E" w:rsidRPr="00485E58" w14:paraId="3BEBDE03" w14:textId="77777777" w:rsidTr="00CE01D1">
        <w:tc>
          <w:tcPr>
            <w:tcW w:w="0" w:type="dxa"/>
            <w:tcBorders>
              <w:bottom w:val="nil"/>
            </w:tcBorders>
          </w:tcPr>
          <w:p w14:paraId="7B6AF015" w14:textId="77777777" w:rsidR="003621C5" w:rsidRPr="000C46CC" w:rsidRDefault="003621C5" w:rsidP="004C567F">
            <w:pPr>
              <w:pStyle w:val="TableColumnHeadingLeft"/>
            </w:pPr>
            <w:r w:rsidRPr="000C46CC">
              <w:t>Population growth (per cent)</w:t>
            </w:r>
          </w:p>
        </w:tc>
        <w:tc>
          <w:tcPr>
            <w:tcW w:w="0" w:type="dxa"/>
            <w:tcBorders>
              <w:top w:val="nil"/>
              <w:left w:val="nil"/>
              <w:bottom w:val="nil"/>
              <w:right w:val="nil"/>
            </w:tcBorders>
            <w:vAlign w:val="center"/>
          </w:tcPr>
          <w:p w14:paraId="5089420D" w14:textId="26AD21CF" w:rsidR="003621C5" w:rsidRPr="000C46CC" w:rsidRDefault="003621C5" w:rsidP="004C567F">
            <w:pPr>
              <w:pStyle w:val="TableTextRight"/>
            </w:pPr>
            <w:r>
              <w:t>1.0</w:t>
            </w:r>
          </w:p>
        </w:tc>
        <w:tc>
          <w:tcPr>
            <w:tcW w:w="0" w:type="dxa"/>
            <w:tcBorders>
              <w:top w:val="nil"/>
              <w:left w:val="nil"/>
              <w:bottom w:val="nil"/>
              <w:right w:val="nil"/>
            </w:tcBorders>
            <w:shd w:val="clear" w:color="000000" w:fill="D2EDFF"/>
            <w:vAlign w:val="center"/>
          </w:tcPr>
          <w:p w14:paraId="3CB7C045" w14:textId="5AF6BEAA" w:rsidR="003621C5" w:rsidRPr="000C46CC" w:rsidRDefault="003621C5" w:rsidP="004C567F">
            <w:pPr>
              <w:pStyle w:val="TableTextRight"/>
            </w:pPr>
            <w:r>
              <w:t>2.3</w:t>
            </w:r>
          </w:p>
        </w:tc>
        <w:tc>
          <w:tcPr>
            <w:tcW w:w="0" w:type="dxa"/>
            <w:tcBorders>
              <w:top w:val="nil"/>
              <w:left w:val="nil"/>
              <w:bottom w:val="nil"/>
              <w:right w:val="nil"/>
            </w:tcBorders>
            <w:vAlign w:val="center"/>
          </w:tcPr>
          <w:p w14:paraId="7057DED8" w14:textId="46FD7000" w:rsidR="003621C5" w:rsidRPr="000C46CC" w:rsidRDefault="003621C5" w:rsidP="004C567F">
            <w:pPr>
              <w:pStyle w:val="TableTextRight"/>
            </w:pPr>
            <w:r>
              <w:t>1.8</w:t>
            </w:r>
          </w:p>
        </w:tc>
        <w:tc>
          <w:tcPr>
            <w:tcW w:w="0" w:type="dxa"/>
            <w:tcBorders>
              <w:top w:val="nil"/>
              <w:left w:val="nil"/>
              <w:bottom w:val="nil"/>
              <w:right w:val="nil"/>
            </w:tcBorders>
            <w:vAlign w:val="center"/>
          </w:tcPr>
          <w:p w14:paraId="760D051E" w14:textId="03BE8D97" w:rsidR="003621C5" w:rsidRPr="000C46CC" w:rsidRDefault="003621C5" w:rsidP="004C567F">
            <w:pPr>
              <w:pStyle w:val="TableTextRight"/>
            </w:pPr>
            <w:r>
              <w:t>1.8</w:t>
            </w:r>
          </w:p>
        </w:tc>
        <w:tc>
          <w:tcPr>
            <w:tcW w:w="0" w:type="dxa"/>
            <w:tcBorders>
              <w:top w:val="nil"/>
              <w:left w:val="nil"/>
              <w:bottom w:val="nil"/>
              <w:right w:val="single" w:sz="8" w:space="0" w:color="auto"/>
            </w:tcBorders>
            <w:vAlign w:val="center"/>
          </w:tcPr>
          <w:p w14:paraId="6C8A4B74" w14:textId="404A8850" w:rsidR="003621C5" w:rsidRPr="000C46CC" w:rsidRDefault="003621C5" w:rsidP="004C567F">
            <w:pPr>
              <w:pStyle w:val="TableTextRight"/>
            </w:pPr>
            <w:r>
              <w:t>1.9</w:t>
            </w:r>
          </w:p>
        </w:tc>
        <w:tc>
          <w:tcPr>
            <w:tcW w:w="0" w:type="dxa"/>
            <w:tcBorders>
              <w:top w:val="nil"/>
              <w:left w:val="nil"/>
              <w:bottom w:val="nil"/>
              <w:right w:val="nil"/>
            </w:tcBorders>
            <w:vAlign w:val="center"/>
          </w:tcPr>
          <w:p w14:paraId="107D8F37" w14:textId="065C3038" w:rsidR="003621C5" w:rsidRPr="000C46CC" w:rsidRDefault="003621C5" w:rsidP="004C567F">
            <w:pPr>
              <w:pStyle w:val="TableTextRight"/>
            </w:pPr>
            <w:r>
              <w:t>1.5</w:t>
            </w:r>
          </w:p>
        </w:tc>
      </w:tr>
      <w:tr w:rsidR="0056383E" w:rsidRPr="00485E58" w14:paraId="0032B17E" w14:textId="77777777" w:rsidTr="00CE01D1">
        <w:tc>
          <w:tcPr>
            <w:tcW w:w="0" w:type="dxa"/>
            <w:tcBorders>
              <w:bottom w:val="single" w:sz="4" w:space="0" w:color="auto"/>
            </w:tcBorders>
          </w:tcPr>
          <w:p w14:paraId="62B0F94C" w14:textId="77777777" w:rsidR="003621C5" w:rsidRPr="000C46CC" w:rsidRDefault="003621C5" w:rsidP="004C567F">
            <w:pPr>
              <w:pStyle w:val="TableColumnHeadingLeft"/>
            </w:pPr>
            <w:r w:rsidRPr="000C46CC">
              <w:t>Population growth (‘000)</w:t>
            </w:r>
          </w:p>
        </w:tc>
        <w:tc>
          <w:tcPr>
            <w:tcW w:w="0" w:type="dxa"/>
            <w:tcBorders>
              <w:top w:val="nil"/>
              <w:left w:val="nil"/>
              <w:bottom w:val="single" w:sz="4" w:space="0" w:color="auto"/>
              <w:right w:val="nil"/>
            </w:tcBorders>
            <w:vAlign w:val="center"/>
          </w:tcPr>
          <w:p w14:paraId="3A58BB24" w14:textId="19B28EF1" w:rsidR="003621C5" w:rsidRPr="000C46CC" w:rsidRDefault="003621C5" w:rsidP="004C567F">
            <w:pPr>
              <w:pStyle w:val="TableTextRight"/>
            </w:pPr>
            <w:r>
              <w:t>4.4</w:t>
            </w:r>
          </w:p>
        </w:tc>
        <w:tc>
          <w:tcPr>
            <w:tcW w:w="0" w:type="dxa"/>
            <w:tcBorders>
              <w:top w:val="nil"/>
              <w:left w:val="nil"/>
              <w:bottom w:val="single" w:sz="4" w:space="0" w:color="auto"/>
              <w:right w:val="nil"/>
            </w:tcBorders>
            <w:shd w:val="clear" w:color="000000" w:fill="D2EDFF"/>
            <w:vAlign w:val="center"/>
          </w:tcPr>
          <w:p w14:paraId="79102872" w14:textId="722268AC" w:rsidR="003621C5" w:rsidRPr="000C46CC" w:rsidRDefault="003621C5" w:rsidP="004C567F">
            <w:pPr>
              <w:pStyle w:val="TableTextRight"/>
            </w:pPr>
            <w:r>
              <w:t>10.3</w:t>
            </w:r>
          </w:p>
        </w:tc>
        <w:tc>
          <w:tcPr>
            <w:tcW w:w="0" w:type="dxa"/>
            <w:tcBorders>
              <w:top w:val="nil"/>
              <w:left w:val="nil"/>
              <w:bottom w:val="single" w:sz="4" w:space="0" w:color="auto"/>
              <w:right w:val="nil"/>
            </w:tcBorders>
            <w:vAlign w:val="center"/>
          </w:tcPr>
          <w:p w14:paraId="7BEC8B7B" w14:textId="2D16865F" w:rsidR="003621C5" w:rsidRPr="000C46CC" w:rsidRDefault="003621C5" w:rsidP="004C567F">
            <w:pPr>
              <w:pStyle w:val="TableTextRight"/>
            </w:pPr>
            <w:r>
              <w:t>8.2</w:t>
            </w:r>
          </w:p>
        </w:tc>
        <w:tc>
          <w:tcPr>
            <w:tcW w:w="0" w:type="dxa"/>
            <w:tcBorders>
              <w:top w:val="nil"/>
              <w:left w:val="nil"/>
              <w:bottom w:val="single" w:sz="4" w:space="0" w:color="auto"/>
              <w:right w:val="nil"/>
            </w:tcBorders>
            <w:vAlign w:val="center"/>
          </w:tcPr>
          <w:p w14:paraId="3CAFE771" w14:textId="542DB5F7" w:rsidR="003621C5" w:rsidRPr="000C46CC" w:rsidRDefault="003621C5" w:rsidP="004C567F">
            <w:pPr>
              <w:pStyle w:val="TableTextRight"/>
            </w:pPr>
            <w:r>
              <w:t>8.3</w:t>
            </w:r>
          </w:p>
        </w:tc>
        <w:tc>
          <w:tcPr>
            <w:tcW w:w="0" w:type="dxa"/>
            <w:tcBorders>
              <w:top w:val="nil"/>
              <w:left w:val="nil"/>
              <w:bottom w:val="single" w:sz="4" w:space="0" w:color="auto"/>
              <w:right w:val="single" w:sz="8" w:space="0" w:color="auto"/>
            </w:tcBorders>
            <w:vAlign w:val="center"/>
          </w:tcPr>
          <w:p w14:paraId="434EBA55" w14:textId="78AA9B32" w:rsidR="003621C5" w:rsidRPr="000C46CC" w:rsidRDefault="003621C5" w:rsidP="004C567F">
            <w:pPr>
              <w:pStyle w:val="TableTextRight"/>
            </w:pPr>
            <w:r>
              <w:t>9.3</w:t>
            </w:r>
          </w:p>
        </w:tc>
        <w:tc>
          <w:tcPr>
            <w:tcW w:w="0" w:type="dxa"/>
            <w:tcBorders>
              <w:top w:val="nil"/>
              <w:left w:val="nil"/>
              <w:bottom w:val="single" w:sz="4" w:space="0" w:color="auto"/>
              <w:right w:val="nil"/>
            </w:tcBorders>
            <w:vAlign w:val="center"/>
          </w:tcPr>
          <w:p w14:paraId="3E4F3861" w14:textId="4410BE88" w:rsidR="003621C5" w:rsidRPr="000C46CC" w:rsidRDefault="003621C5" w:rsidP="004C567F">
            <w:pPr>
              <w:pStyle w:val="TableTextRight"/>
            </w:pPr>
            <w:r>
              <w:t>8.2</w:t>
            </w:r>
          </w:p>
        </w:tc>
      </w:tr>
      <w:tr w:rsidR="0056383E" w:rsidRPr="00485E58" w14:paraId="734AE431" w14:textId="77777777" w:rsidTr="00CE01D1">
        <w:tc>
          <w:tcPr>
            <w:tcW w:w="0" w:type="dxa"/>
            <w:tcBorders>
              <w:top w:val="single" w:sz="4" w:space="0" w:color="auto"/>
            </w:tcBorders>
          </w:tcPr>
          <w:p w14:paraId="33CFD07E" w14:textId="77777777" w:rsidR="003621C5" w:rsidRPr="000C46CC" w:rsidRDefault="003621C5" w:rsidP="004C567F">
            <w:pPr>
              <w:pStyle w:val="TableColumnHeadingLeft"/>
            </w:pPr>
            <w:r w:rsidRPr="000C46CC">
              <w:t>Natural increase (‘000)</w:t>
            </w:r>
          </w:p>
        </w:tc>
        <w:tc>
          <w:tcPr>
            <w:tcW w:w="0" w:type="dxa"/>
            <w:tcBorders>
              <w:top w:val="single" w:sz="4" w:space="0" w:color="auto"/>
              <w:left w:val="nil"/>
              <w:bottom w:val="nil"/>
              <w:right w:val="nil"/>
            </w:tcBorders>
            <w:vAlign w:val="center"/>
          </w:tcPr>
          <w:p w14:paraId="467E4193" w14:textId="516A3A80" w:rsidR="003621C5" w:rsidRPr="000C46CC" w:rsidRDefault="003621C5" w:rsidP="004C567F">
            <w:pPr>
              <w:pStyle w:val="TableTextRight"/>
            </w:pPr>
            <w:r>
              <w:t>3.2</w:t>
            </w:r>
          </w:p>
        </w:tc>
        <w:tc>
          <w:tcPr>
            <w:tcW w:w="0" w:type="dxa"/>
            <w:tcBorders>
              <w:top w:val="single" w:sz="4" w:space="0" w:color="auto"/>
              <w:left w:val="nil"/>
              <w:bottom w:val="nil"/>
              <w:right w:val="nil"/>
            </w:tcBorders>
            <w:shd w:val="clear" w:color="000000" w:fill="D2EDFF"/>
            <w:vAlign w:val="center"/>
          </w:tcPr>
          <w:p w14:paraId="74A6776C" w14:textId="73532B32" w:rsidR="003621C5" w:rsidRPr="000C46CC" w:rsidRDefault="003621C5" w:rsidP="004C567F">
            <w:pPr>
              <w:pStyle w:val="TableTextRight"/>
            </w:pPr>
            <w:r>
              <w:t>3.3</w:t>
            </w:r>
          </w:p>
        </w:tc>
        <w:tc>
          <w:tcPr>
            <w:tcW w:w="0" w:type="dxa"/>
            <w:tcBorders>
              <w:top w:val="single" w:sz="4" w:space="0" w:color="auto"/>
              <w:left w:val="nil"/>
              <w:bottom w:val="nil"/>
              <w:right w:val="nil"/>
            </w:tcBorders>
            <w:vAlign w:val="center"/>
          </w:tcPr>
          <w:p w14:paraId="31404DF7" w14:textId="58AD102E" w:rsidR="003621C5" w:rsidRPr="000C46CC" w:rsidRDefault="003621C5" w:rsidP="004C567F">
            <w:pPr>
              <w:pStyle w:val="TableTextRight"/>
            </w:pPr>
            <w:r>
              <w:t>3.5</w:t>
            </w:r>
          </w:p>
        </w:tc>
        <w:tc>
          <w:tcPr>
            <w:tcW w:w="0" w:type="dxa"/>
            <w:tcBorders>
              <w:top w:val="single" w:sz="4" w:space="0" w:color="auto"/>
              <w:left w:val="nil"/>
              <w:bottom w:val="nil"/>
              <w:right w:val="nil"/>
            </w:tcBorders>
            <w:vAlign w:val="center"/>
          </w:tcPr>
          <w:p w14:paraId="0AFBCD95" w14:textId="025287A9" w:rsidR="003621C5" w:rsidRPr="000C46CC" w:rsidRDefault="003621C5" w:rsidP="004C567F">
            <w:pPr>
              <w:pStyle w:val="TableTextRight"/>
            </w:pPr>
            <w:r>
              <w:t>3.6</w:t>
            </w:r>
          </w:p>
        </w:tc>
        <w:tc>
          <w:tcPr>
            <w:tcW w:w="0" w:type="dxa"/>
            <w:tcBorders>
              <w:top w:val="single" w:sz="4" w:space="0" w:color="auto"/>
              <w:left w:val="nil"/>
              <w:bottom w:val="nil"/>
              <w:right w:val="single" w:sz="8" w:space="0" w:color="auto"/>
            </w:tcBorders>
            <w:vAlign w:val="center"/>
          </w:tcPr>
          <w:p w14:paraId="790A803A" w14:textId="332B14CB" w:rsidR="003621C5" w:rsidRPr="000C46CC" w:rsidRDefault="003621C5" w:rsidP="004C567F">
            <w:pPr>
              <w:pStyle w:val="TableTextRight"/>
            </w:pPr>
            <w:r>
              <w:t>3.7</w:t>
            </w:r>
          </w:p>
        </w:tc>
        <w:tc>
          <w:tcPr>
            <w:tcW w:w="0" w:type="dxa"/>
            <w:tcBorders>
              <w:top w:val="single" w:sz="4" w:space="0" w:color="auto"/>
              <w:left w:val="nil"/>
              <w:bottom w:val="nil"/>
              <w:right w:val="nil"/>
            </w:tcBorders>
            <w:vAlign w:val="center"/>
          </w:tcPr>
          <w:p w14:paraId="22E62CA1" w14:textId="16C984A5" w:rsidR="003621C5" w:rsidRPr="000C46CC" w:rsidRDefault="003621C5" w:rsidP="004C567F">
            <w:pPr>
              <w:pStyle w:val="TableTextRight"/>
            </w:pPr>
            <w:r>
              <w:t>3.5</w:t>
            </w:r>
          </w:p>
        </w:tc>
      </w:tr>
      <w:tr w:rsidR="0056383E" w:rsidRPr="00485E58" w14:paraId="2C3B9F0F" w14:textId="77777777" w:rsidTr="00CE01D1">
        <w:tc>
          <w:tcPr>
            <w:tcW w:w="0" w:type="dxa"/>
          </w:tcPr>
          <w:p w14:paraId="1B21257D" w14:textId="77777777" w:rsidR="003621C5" w:rsidRPr="000C46CC" w:rsidRDefault="003621C5" w:rsidP="004C567F">
            <w:pPr>
              <w:pStyle w:val="TableColumnHeadingLeft"/>
            </w:pPr>
            <w:r w:rsidRPr="000C46CC">
              <w:t>Net overseas migration (‘000)</w:t>
            </w:r>
          </w:p>
        </w:tc>
        <w:tc>
          <w:tcPr>
            <w:tcW w:w="0" w:type="dxa"/>
            <w:tcBorders>
              <w:top w:val="nil"/>
              <w:left w:val="nil"/>
              <w:bottom w:val="nil"/>
              <w:right w:val="nil"/>
            </w:tcBorders>
            <w:vAlign w:val="center"/>
          </w:tcPr>
          <w:p w14:paraId="61A7DF49" w14:textId="4BF270B4" w:rsidR="003621C5" w:rsidRPr="000C46CC" w:rsidRDefault="003621C5" w:rsidP="004C567F">
            <w:pPr>
              <w:pStyle w:val="TableTextRight"/>
            </w:pPr>
            <w:r>
              <w:t>3.4</w:t>
            </w:r>
          </w:p>
        </w:tc>
        <w:tc>
          <w:tcPr>
            <w:tcW w:w="0" w:type="dxa"/>
            <w:tcBorders>
              <w:top w:val="nil"/>
              <w:left w:val="nil"/>
              <w:bottom w:val="nil"/>
              <w:right w:val="nil"/>
            </w:tcBorders>
            <w:shd w:val="clear" w:color="000000" w:fill="D2EDFF"/>
            <w:vAlign w:val="center"/>
          </w:tcPr>
          <w:p w14:paraId="002DDA2D" w14:textId="2EDA7D29" w:rsidR="003621C5" w:rsidRPr="000C46CC" w:rsidRDefault="003621C5" w:rsidP="004C567F">
            <w:pPr>
              <w:pStyle w:val="TableTextRight"/>
            </w:pPr>
            <w:r>
              <w:t>8.7</w:t>
            </w:r>
          </w:p>
        </w:tc>
        <w:tc>
          <w:tcPr>
            <w:tcW w:w="0" w:type="dxa"/>
            <w:tcBorders>
              <w:top w:val="nil"/>
              <w:left w:val="nil"/>
              <w:bottom w:val="nil"/>
              <w:right w:val="nil"/>
            </w:tcBorders>
            <w:vAlign w:val="center"/>
          </w:tcPr>
          <w:p w14:paraId="7A179DFA" w14:textId="0F006A96" w:rsidR="003621C5" w:rsidRPr="000C46CC" w:rsidRDefault="003621C5" w:rsidP="004C567F">
            <w:pPr>
              <w:pStyle w:val="TableTextRight"/>
            </w:pPr>
            <w:r>
              <w:t>5.7</w:t>
            </w:r>
          </w:p>
        </w:tc>
        <w:tc>
          <w:tcPr>
            <w:tcW w:w="0" w:type="dxa"/>
            <w:tcBorders>
              <w:top w:val="nil"/>
              <w:left w:val="nil"/>
              <w:bottom w:val="nil"/>
              <w:right w:val="nil"/>
            </w:tcBorders>
            <w:vAlign w:val="center"/>
          </w:tcPr>
          <w:p w14:paraId="77147169" w14:textId="1E05A40F" w:rsidR="003621C5" w:rsidRPr="000C46CC" w:rsidRDefault="003621C5" w:rsidP="004C567F">
            <w:pPr>
              <w:pStyle w:val="TableTextRight"/>
            </w:pPr>
            <w:r>
              <w:t>4.9</w:t>
            </w:r>
          </w:p>
        </w:tc>
        <w:tc>
          <w:tcPr>
            <w:tcW w:w="0" w:type="dxa"/>
            <w:tcBorders>
              <w:top w:val="nil"/>
              <w:left w:val="nil"/>
              <w:bottom w:val="nil"/>
              <w:right w:val="single" w:sz="8" w:space="0" w:color="auto"/>
            </w:tcBorders>
            <w:vAlign w:val="center"/>
          </w:tcPr>
          <w:p w14:paraId="664FBF74" w14:textId="59738354" w:rsidR="003621C5" w:rsidRPr="000C46CC" w:rsidRDefault="003621C5" w:rsidP="004C567F">
            <w:pPr>
              <w:pStyle w:val="TableTextRight"/>
            </w:pPr>
            <w:r>
              <w:t>5.1</w:t>
            </w:r>
          </w:p>
        </w:tc>
        <w:tc>
          <w:tcPr>
            <w:tcW w:w="0" w:type="dxa"/>
            <w:tcBorders>
              <w:top w:val="nil"/>
              <w:left w:val="nil"/>
              <w:bottom w:val="nil"/>
              <w:right w:val="nil"/>
            </w:tcBorders>
            <w:vAlign w:val="center"/>
          </w:tcPr>
          <w:p w14:paraId="1C70BE27" w14:textId="3F8209FA" w:rsidR="003621C5" w:rsidRPr="000C46CC" w:rsidRDefault="003621C5" w:rsidP="004C567F">
            <w:pPr>
              <w:pStyle w:val="TableTextRight"/>
            </w:pPr>
            <w:r>
              <w:t>4.3</w:t>
            </w:r>
          </w:p>
        </w:tc>
      </w:tr>
      <w:tr w:rsidR="0056383E" w:rsidRPr="00485E58" w14:paraId="28B64302" w14:textId="77777777" w:rsidTr="00CE01D1">
        <w:tc>
          <w:tcPr>
            <w:tcW w:w="0" w:type="dxa"/>
            <w:tcBorders>
              <w:bottom w:val="single" w:sz="4" w:space="0" w:color="auto"/>
            </w:tcBorders>
          </w:tcPr>
          <w:p w14:paraId="0651C178" w14:textId="77777777" w:rsidR="003621C5" w:rsidRPr="000C46CC" w:rsidRDefault="003621C5" w:rsidP="004C567F">
            <w:pPr>
              <w:pStyle w:val="TableColumnHeadingLeft"/>
            </w:pPr>
            <w:r w:rsidRPr="000C46CC">
              <w:t>Net internal migration (‘000)</w:t>
            </w:r>
          </w:p>
        </w:tc>
        <w:tc>
          <w:tcPr>
            <w:tcW w:w="0" w:type="dxa"/>
            <w:tcBorders>
              <w:top w:val="nil"/>
              <w:left w:val="nil"/>
              <w:bottom w:val="single" w:sz="4" w:space="0" w:color="auto"/>
              <w:right w:val="nil"/>
            </w:tcBorders>
            <w:vAlign w:val="center"/>
          </w:tcPr>
          <w:p w14:paraId="0977C2DB" w14:textId="7AC59B33" w:rsidR="003621C5" w:rsidRPr="000C46CC" w:rsidRDefault="003621C5" w:rsidP="004C567F">
            <w:pPr>
              <w:pStyle w:val="TableTextRight"/>
            </w:pPr>
            <w:r>
              <w:t>-2.2</w:t>
            </w:r>
          </w:p>
        </w:tc>
        <w:tc>
          <w:tcPr>
            <w:tcW w:w="0" w:type="dxa"/>
            <w:tcBorders>
              <w:top w:val="nil"/>
              <w:left w:val="nil"/>
              <w:bottom w:val="single" w:sz="4" w:space="0" w:color="auto"/>
              <w:right w:val="nil"/>
            </w:tcBorders>
            <w:shd w:val="clear" w:color="auto" w:fill="D6EEF5" w:themeFill="text2" w:themeFillTint="33"/>
            <w:vAlign w:val="center"/>
          </w:tcPr>
          <w:p w14:paraId="527B101E" w14:textId="09DFFC80" w:rsidR="003621C5" w:rsidRPr="000C46CC" w:rsidRDefault="003621C5" w:rsidP="004C567F">
            <w:pPr>
              <w:pStyle w:val="TableTextRight"/>
            </w:pPr>
            <w:r>
              <w:t>-1.7</w:t>
            </w:r>
          </w:p>
        </w:tc>
        <w:tc>
          <w:tcPr>
            <w:tcW w:w="0" w:type="dxa"/>
            <w:tcBorders>
              <w:top w:val="nil"/>
              <w:left w:val="nil"/>
              <w:bottom w:val="single" w:sz="4" w:space="0" w:color="auto"/>
              <w:right w:val="nil"/>
            </w:tcBorders>
            <w:vAlign w:val="center"/>
          </w:tcPr>
          <w:p w14:paraId="56263074" w14:textId="70E66F79" w:rsidR="003621C5" w:rsidRPr="000C46CC" w:rsidRDefault="003621C5" w:rsidP="004C567F">
            <w:pPr>
              <w:pStyle w:val="TableTextRight"/>
            </w:pPr>
            <w:r>
              <w:t>-1.0</w:t>
            </w:r>
          </w:p>
        </w:tc>
        <w:tc>
          <w:tcPr>
            <w:tcW w:w="0" w:type="dxa"/>
            <w:tcBorders>
              <w:top w:val="nil"/>
              <w:left w:val="nil"/>
              <w:bottom w:val="single" w:sz="4" w:space="0" w:color="auto"/>
              <w:right w:val="nil"/>
            </w:tcBorders>
            <w:vAlign w:val="center"/>
          </w:tcPr>
          <w:p w14:paraId="121DBF04" w14:textId="534F5EE8" w:rsidR="003621C5" w:rsidRPr="000C46CC" w:rsidRDefault="003621C5" w:rsidP="004C567F">
            <w:pPr>
              <w:pStyle w:val="TableTextRight"/>
            </w:pPr>
            <w:r>
              <w:t>-0.2</w:t>
            </w:r>
          </w:p>
        </w:tc>
        <w:tc>
          <w:tcPr>
            <w:tcW w:w="0" w:type="dxa"/>
            <w:tcBorders>
              <w:top w:val="nil"/>
              <w:left w:val="nil"/>
              <w:bottom w:val="single" w:sz="4" w:space="0" w:color="auto"/>
              <w:right w:val="single" w:sz="4" w:space="0" w:color="auto"/>
            </w:tcBorders>
            <w:vAlign w:val="center"/>
          </w:tcPr>
          <w:p w14:paraId="1A35AD02" w14:textId="26F8BE21" w:rsidR="003621C5" w:rsidRPr="000C46CC" w:rsidRDefault="003621C5" w:rsidP="004C567F">
            <w:pPr>
              <w:pStyle w:val="TableTextRight"/>
            </w:pPr>
            <w:r>
              <w:t>0.5</w:t>
            </w:r>
          </w:p>
        </w:tc>
        <w:tc>
          <w:tcPr>
            <w:tcW w:w="0" w:type="dxa"/>
            <w:tcBorders>
              <w:top w:val="nil"/>
              <w:left w:val="single" w:sz="4" w:space="0" w:color="auto"/>
              <w:bottom w:val="single" w:sz="4" w:space="0" w:color="auto"/>
              <w:right w:val="nil"/>
            </w:tcBorders>
            <w:vAlign w:val="center"/>
          </w:tcPr>
          <w:p w14:paraId="183AF42E" w14:textId="2FA2B548" w:rsidR="003621C5" w:rsidRPr="000C46CC" w:rsidRDefault="003621C5" w:rsidP="004C567F">
            <w:pPr>
              <w:pStyle w:val="TableTextRight"/>
            </w:pPr>
            <w:r>
              <w:t>0.4</w:t>
            </w:r>
          </w:p>
        </w:tc>
      </w:tr>
      <w:tr w:rsidR="0056383E" w:rsidRPr="00485E58" w14:paraId="3124CE4A" w14:textId="77777777" w:rsidTr="00CE01D1">
        <w:tc>
          <w:tcPr>
            <w:tcW w:w="0" w:type="dxa"/>
            <w:tcBorders>
              <w:top w:val="single" w:sz="4" w:space="0" w:color="auto"/>
              <w:bottom w:val="single" w:sz="8" w:space="0" w:color="000000" w:themeColor="text1"/>
            </w:tcBorders>
          </w:tcPr>
          <w:p w14:paraId="73356356" w14:textId="77777777" w:rsidR="00B35EDF" w:rsidRPr="000C46CC" w:rsidRDefault="00B35EDF" w:rsidP="004C567F">
            <w:pPr>
              <w:pStyle w:val="TableColumnHeadingLeft"/>
            </w:pPr>
            <w:r w:rsidRPr="000C46CC">
              <w:t>Median age (years)</w:t>
            </w:r>
          </w:p>
        </w:tc>
        <w:tc>
          <w:tcPr>
            <w:tcW w:w="0" w:type="dxa"/>
            <w:tcBorders>
              <w:top w:val="single" w:sz="4" w:space="0" w:color="auto"/>
              <w:left w:val="nil"/>
              <w:bottom w:val="single" w:sz="4" w:space="0" w:color="auto"/>
              <w:right w:val="nil"/>
            </w:tcBorders>
            <w:vAlign w:val="center"/>
          </w:tcPr>
          <w:p w14:paraId="6230E29C" w14:textId="1449C9AE" w:rsidR="00B35EDF" w:rsidRPr="000C46CC" w:rsidRDefault="00B35EDF" w:rsidP="004C567F">
            <w:pPr>
              <w:pStyle w:val="TableTextRight"/>
            </w:pPr>
            <w:r>
              <w:t>34.6</w:t>
            </w:r>
          </w:p>
        </w:tc>
        <w:tc>
          <w:tcPr>
            <w:tcW w:w="0" w:type="dxa"/>
            <w:tcBorders>
              <w:top w:val="single" w:sz="4" w:space="0" w:color="auto"/>
              <w:left w:val="nil"/>
              <w:bottom w:val="single" w:sz="4" w:space="0" w:color="auto"/>
              <w:right w:val="nil"/>
            </w:tcBorders>
            <w:shd w:val="clear" w:color="auto" w:fill="D6EEF5" w:themeFill="text2" w:themeFillTint="33"/>
            <w:vAlign w:val="center"/>
          </w:tcPr>
          <w:p w14:paraId="08726AFE" w14:textId="6DCAE263" w:rsidR="00B35EDF" w:rsidRPr="000C46CC" w:rsidRDefault="00B35EDF" w:rsidP="004C567F">
            <w:pPr>
              <w:pStyle w:val="TableTextRight"/>
            </w:pPr>
            <w:r>
              <w:t>34.6</w:t>
            </w:r>
          </w:p>
        </w:tc>
        <w:tc>
          <w:tcPr>
            <w:tcW w:w="0" w:type="dxa"/>
            <w:tcBorders>
              <w:top w:val="single" w:sz="4" w:space="0" w:color="auto"/>
              <w:left w:val="nil"/>
              <w:bottom w:val="single" w:sz="4" w:space="0" w:color="auto"/>
              <w:right w:val="nil"/>
            </w:tcBorders>
            <w:vAlign w:val="center"/>
          </w:tcPr>
          <w:p w14:paraId="287F5077" w14:textId="1B5BE96D" w:rsidR="00B35EDF" w:rsidRPr="000C46CC" w:rsidRDefault="00B35EDF" w:rsidP="004C567F">
            <w:pPr>
              <w:pStyle w:val="TableTextRight"/>
            </w:pPr>
            <w:r>
              <w:t>34.8</w:t>
            </w:r>
          </w:p>
        </w:tc>
        <w:tc>
          <w:tcPr>
            <w:tcW w:w="0" w:type="dxa"/>
            <w:tcBorders>
              <w:top w:val="single" w:sz="4" w:space="0" w:color="auto"/>
              <w:left w:val="nil"/>
              <w:bottom w:val="single" w:sz="4" w:space="0" w:color="auto"/>
              <w:right w:val="nil"/>
            </w:tcBorders>
            <w:vAlign w:val="center"/>
          </w:tcPr>
          <w:p w14:paraId="373EB5EE" w14:textId="3016BF02" w:rsidR="00B35EDF" w:rsidRPr="000C46CC" w:rsidRDefault="00B35EDF" w:rsidP="004C567F">
            <w:pPr>
              <w:pStyle w:val="TableTextRight"/>
            </w:pPr>
            <w:r>
              <w:t>34.9</w:t>
            </w:r>
          </w:p>
        </w:tc>
        <w:tc>
          <w:tcPr>
            <w:tcW w:w="0" w:type="dxa"/>
            <w:tcBorders>
              <w:top w:val="single" w:sz="4" w:space="0" w:color="auto"/>
              <w:left w:val="nil"/>
              <w:bottom w:val="single" w:sz="4" w:space="0" w:color="auto"/>
              <w:right w:val="single" w:sz="4" w:space="0" w:color="auto"/>
            </w:tcBorders>
            <w:vAlign w:val="center"/>
          </w:tcPr>
          <w:p w14:paraId="7BD636FC" w14:textId="73AA8358" w:rsidR="00B35EDF" w:rsidRPr="000C46CC" w:rsidRDefault="00B35EDF" w:rsidP="004C567F">
            <w:pPr>
              <w:pStyle w:val="TableTextRight"/>
            </w:pPr>
            <w:r>
              <w:t>35.1</w:t>
            </w:r>
          </w:p>
        </w:tc>
        <w:tc>
          <w:tcPr>
            <w:tcW w:w="0" w:type="dxa"/>
            <w:tcBorders>
              <w:top w:val="single" w:sz="4" w:space="0" w:color="auto"/>
              <w:left w:val="single" w:sz="4" w:space="0" w:color="auto"/>
              <w:bottom w:val="single" w:sz="4" w:space="0" w:color="auto"/>
              <w:right w:val="nil"/>
            </w:tcBorders>
            <w:vAlign w:val="center"/>
          </w:tcPr>
          <w:p w14:paraId="64086558" w14:textId="6F7DBC14" w:rsidR="00B35EDF" w:rsidRPr="000C46CC" w:rsidRDefault="00B35EDF" w:rsidP="004C567F">
            <w:pPr>
              <w:pStyle w:val="TableTextRight"/>
            </w:pPr>
            <w:r>
              <w:t>36.3</w:t>
            </w:r>
          </w:p>
        </w:tc>
      </w:tr>
    </w:tbl>
    <w:p w14:paraId="3E7ACC4C" w14:textId="3D47048C" w:rsidR="006A4BC1" w:rsidRPr="006A4BC1" w:rsidRDefault="008B0EBE" w:rsidP="00C14BAE">
      <w:pPr>
        <w:pStyle w:val="Source"/>
        <w:rPr>
          <w:rStyle w:val="Hyperlink"/>
        </w:rPr>
      </w:pPr>
      <w:r w:rsidRPr="00485E58">
        <w:t>Source:</w:t>
      </w:r>
      <w:r>
        <w:tab/>
      </w:r>
      <w:r>
        <w:rPr>
          <w:noProof/>
        </w:rPr>
        <w:t>ABS, National, state and territory population, March 2023 and</w:t>
      </w:r>
      <w:r w:rsidRPr="00485E58">
        <w:t xml:space="preserve"> Centre for Population projections</w:t>
      </w:r>
      <w:r w:rsidR="00CE0ABB">
        <w:t>.</w:t>
      </w:r>
    </w:p>
    <w:p w14:paraId="51ED7276" w14:textId="77777777" w:rsidR="006A4BC1" w:rsidRDefault="006A4BC1" w:rsidP="006A4BC1">
      <w:pPr>
        <w:sectPr w:rsidR="006A4BC1" w:rsidSect="0018257B">
          <w:type w:val="oddPage"/>
          <w:pgSz w:w="11906" w:h="16838" w:code="9"/>
          <w:pgMar w:top="1417" w:right="1417" w:bottom="1417" w:left="1417" w:header="709" w:footer="709" w:gutter="0"/>
          <w:cols w:space="708"/>
          <w:docGrid w:linePitch="360"/>
        </w:sectPr>
      </w:pPr>
      <w:bookmarkStart w:id="176" w:name="_Toc149846516"/>
      <w:bookmarkStart w:id="177" w:name="_Toc149846557"/>
      <w:bookmarkStart w:id="178" w:name="_Toc149846655"/>
      <w:bookmarkStart w:id="179" w:name="_Toc149847598"/>
      <w:bookmarkStart w:id="180" w:name="_Toc151994731"/>
    </w:p>
    <w:p w14:paraId="6B4CF5ED" w14:textId="659F8468" w:rsidR="00AF4508" w:rsidRDefault="00AF4508" w:rsidP="002375F0">
      <w:pPr>
        <w:pStyle w:val="Heading1Numbered"/>
      </w:pPr>
      <w:bookmarkStart w:id="181" w:name="_Toc154050220"/>
      <w:r>
        <w:lastRenderedPageBreak/>
        <w:t>Technical appendix</w:t>
      </w:r>
      <w:bookmarkEnd w:id="176"/>
      <w:bookmarkEnd w:id="177"/>
      <w:bookmarkEnd w:id="178"/>
      <w:bookmarkEnd w:id="179"/>
      <w:bookmarkEnd w:id="180"/>
      <w:bookmarkEnd w:id="181"/>
    </w:p>
    <w:p w14:paraId="04151D90" w14:textId="343CD46A" w:rsidR="0098210E" w:rsidRDefault="00111784" w:rsidP="001D20C5">
      <w:bookmarkStart w:id="182" w:name="_Toc149846517"/>
      <w:bookmarkStart w:id="183" w:name="_Toc149846558"/>
      <w:bookmarkStart w:id="184" w:name="_Toc149846656"/>
      <w:bookmarkStart w:id="185" w:name="_Toc149847599"/>
      <w:r>
        <w:t xml:space="preserve">The Centre typically </w:t>
      </w:r>
      <w:r w:rsidR="007F781C">
        <w:t xml:space="preserve">produces </w:t>
      </w:r>
      <w:r>
        <w:t>projections biannually for the Australian Government</w:t>
      </w:r>
      <w:r w:rsidR="004B14AB">
        <w:t>’</w:t>
      </w:r>
      <w:r>
        <w:t>s Budget and Mid</w:t>
      </w:r>
      <w:r w:rsidR="004B14AB">
        <w:noBreakHyphen/>
      </w:r>
      <w:r>
        <w:t>Year</w:t>
      </w:r>
      <w:r w:rsidR="00772E3A">
        <w:t> </w:t>
      </w:r>
      <w:r>
        <w:t xml:space="preserve">Economic and Fiscal Outlook (MYEFO). The 2023 Population Statement is consistent with </w:t>
      </w:r>
      <w:r w:rsidR="00030766">
        <w:t>the Government</w:t>
      </w:r>
      <w:r w:rsidR="004B14AB">
        <w:t>’</w:t>
      </w:r>
      <w:r>
        <w:t>s MYEFO 2023–24 projections.</w:t>
      </w:r>
      <w:r w:rsidR="004E5986" w:rsidRPr="004E5986">
        <w:t xml:space="preserve"> </w:t>
      </w:r>
    </w:p>
    <w:p w14:paraId="09EF2E36" w14:textId="7A3EE169" w:rsidR="00111784" w:rsidRDefault="004E5986" w:rsidP="001D20C5">
      <w:r>
        <w:t>Population projections for this Statement have been developed at the national, state, and Greater Capital City Statistical Area classification (GCCSA).</w:t>
      </w:r>
      <w:r w:rsidR="0098210E">
        <w:t xml:space="preserve"> </w:t>
      </w:r>
      <w:r w:rsidR="00111784" w:rsidRPr="00877EDE">
        <w:t xml:space="preserve">Data for the projections used in the Statement can be found at </w:t>
      </w:r>
      <w:hyperlink r:id="rId68" w:history="1">
        <w:r w:rsidR="00111784" w:rsidRPr="00877EDE">
          <w:rPr>
            <w:rStyle w:val="Hyperlink"/>
          </w:rPr>
          <w:t>population.gov.au</w:t>
        </w:r>
      </w:hyperlink>
      <w:r w:rsidR="009313A7">
        <w:rPr>
          <w:rStyle w:val="Hyperlink"/>
          <w:color w:val="auto"/>
        </w:rPr>
        <w:t>.</w:t>
      </w:r>
    </w:p>
    <w:p w14:paraId="5F544C44" w14:textId="4F1AFAA0" w:rsidR="00AF4508" w:rsidRDefault="003C2619" w:rsidP="002375F0">
      <w:pPr>
        <w:pStyle w:val="Heading2Numbered"/>
      </w:pPr>
      <w:bookmarkStart w:id="186" w:name="_Toc151994732"/>
      <w:bookmarkStart w:id="187" w:name="_Toc154050221"/>
      <w:r>
        <w:t>Assumptions</w:t>
      </w:r>
      <w:bookmarkEnd w:id="182"/>
      <w:bookmarkEnd w:id="183"/>
      <w:bookmarkEnd w:id="184"/>
      <w:bookmarkEnd w:id="185"/>
      <w:bookmarkEnd w:id="186"/>
      <w:bookmarkEnd w:id="187"/>
    </w:p>
    <w:p w14:paraId="46265859" w14:textId="02B50ABB" w:rsidR="00D64A62" w:rsidRDefault="00B917D0" w:rsidP="001F3B6F">
      <w:pPr>
        <w:rPr>
          <w:rFonts w:eastAsiaTheme="majorEastAsia"/>
        </w:rPr>
      </w:pPr>
      <w:r>
        <w:t xml:space="preserve">The Centre </w:t>
      </w:r>
      <w:r w:rsidR="00F02B14">
        <w:t>projects the</w:t>
      </w:r>
      <w:r w:rsidR="001F6348">
        <w:t xml:space="preserve"> future population using the </w:t>
      </w:r>
      <w:r w:rsidR="004B14AB">
        <w:t>‘</w:t>
      </w:r>
      <w:r w:rsidR="00580365">
        <w:t>cohort component</w:t>
      </w:r>
      <w:r w:rsidR="004B14AB">
        <w:t>’</w:t>
      </w:r>
      <w:r w:rsidR="001F6348">
        <w:t xml:space="preserve"> method, where </w:t>
      </w:r>
      <w:r w:rsidR="00A07069">
        <w:t xml:space="preserve">the components of population change (births, deaths and migration) are calculated using </w:t>
      </w:r>
      <w:r w:rsidR="00580365">
        <w:t>cohort</w:t>
      </w:r>
      <w:r w:rsidR="004B14AB">
        <w:noBreakHyphen/>
      </w:r>
      <w:r w:rsidR="00580365">
        <w:t>specific</w:t>
      </w:r>
      <w:r w:rsidR="005B1AF3">
        <w:t xml:space="preserve"> (</w:t>
      </w:r>
      <w:r w:rsidR="001F6348">
        <w:t>age and sex</w:t>
      </w:r>
      <w:r w:rsidR="005B1AF3">
        <w:t>)</w:t>
      </w:r>
      <w:r w:rsidR="001F6348">
        <w:t xml:space="preserve"> assumptions about future fertility, mortality and migration. These components are added to the population at the start of a period to calculate the size and composition of the population at the end of the period. This process is repeated until the end of the projection period</w:t>
      </w:r>
      <w:r w:rsidR="00393B59">
        <w:t>.</w:t>
      </w:r>
      <w:r w:rsidR="001F3B6F" w:rsidRPr="001F3B6F">
        <w:t xml:space="preserve"> </w:t>
      </w:r>
    </w:p>
    <w:p w14:paraId="643F4991" w14:textId="7409497A" w:rsidR="001F6348" w:rsidRPr="001F3B6F" w:rsidRDefault="00D64A62" w:rsidP="001F3B6F">
      <w:pPr>
        <w:rPr>
          <w:rFonts w:eastAsiaTheme="majorEastAsia"/>
        </w:rPr>
      </w:pPr>
      <w:r>
        <w:rPr>
          <w:rFonts w:eastAsiaTheme="majorEastAsia"/>
        </w:rPr>
        <w:t>F</w:t>
      </w:r>
      <w:r w:rsidR="002A09CC">
        <w:t>or</w:t>
      </w:r>
      <w:r w:rsidR="001F6348">
        <w:t xml:space="preserve"> consistency across the projections at different geographic levels</w:t>
      </w:r>
      <w:r w:rsidR="006D3DC1">
        <w:t>,</w:t>
      </w:r>
      <w:r w:rsidR="001F6348">
        <w:t xml:space="preserve"> components of population change at the GCCSA level are constrained to components at the state level which, in turn, have been constrained to components of change at the national</w:t>
      </w:r>
      <w:r w:rsidR="001F3B6F">
        <w:t> </w:t>
      </w:r>
      <w:r w:rsidR="001F6348">
        <w:t xml:space="preserve">level. </w:t>
      </w:r>
    </w:p>
    <w:p w14:paraId="1E079364" w14:textId="6FB4D41F" w:rsidR="00AF4508" w:rsidRPr="001D20C5" w:rsidRDefault="008844C6" w:rsidP="003F070F">
      <w:pPr>
        <w:pStyle w:val="Heading3Numbered"/>
      </w:pPr>
      <w:r w:rsidRPr="001D20C5">
        <w:t>N</w:t>
      </w:r>
      <w:bookmarkStart w:id="188" w:name="_Toc149846518"/>
      <w:bookmarkStart w:id="189" w:name="_Toc149846559"/>
      <w:bookmarkStart w:id="190" w:name="_Toc149846657"/>
      <w:bookmarkStart w:id="191" w:name="_Toc149847600"/>
      <w:r w:rsidR="00AF4508" w:rsidRPr="001D20C5">
        <w:t>et overseas migration</w:t>
      </w:r>
      <w:bookmarkEnd w:id="188"/>
      <w:bookmarkEnd w:id="189"/>
      <w:bookmarkEnd w:id="190"/>
      <w:bookmarkEnd w:id="191"/>
    </w:p>
    <w:p w14:paraId="23A5498B" w14:textId="753B89AA" w:rsidR="00257240" w:rsidRDefault="00D70570" w:rsidP="001D20C5">
      <w:r>
        <w:t xml:space="preserve">The Government’s forecasts of </w:t>
      </w:r>
      <w:r w:rsidR="009B29CD">
        <w:t xml:space="preserve">net overseas migration </w:t>
      </w:r>
      <w:r w:rsidR="00380590">
        <w:t xml:space="preserve">are </w:t>
      </w:r>
      <w:r>
        <w:t xml:space="preserve">developed </w:t>
      </w:r>
      <w:r w:rsidR="00E95486">
        <w:t>by the Centre for Population</w:t>
      </w:r>
      <w:r>
        <w:t>.</w:t>
      </w:r>
      <w:r w:rsidR="00BE5C03">
        <w:t xml:space="preserve"> </w:t>
      </w:r>
      <w:r w:rsidR="00BC6A16">
        <w:t xml:space="preserve">They </w:t>
      </w:r>
      <w:r w:rsidR="000D433E">
        <w:t>begin with</w:t>
      </w:r>
      <w:r w:rsidR="00115CE4">
        <w:t xml:space="preserve"> ABS estimates of quarterly </w:t>
      </w:r>
      <w:r w:rsidR="00C32121">
        <w:t xml:space="preserve">overseas migrant arrivals and departures </w:t>
      </w:r>
      <w:r w:rsidR="000D433E">
        <w:t xml:space="preserve">by visa group and by state. </w:t>
      </w:r>
      <w:r w:rsidR="00985448">
        <w:t xml:space="preserve">The ABS provides preliminary estimates of </w:t>
      </w:r>
      <w:r w:rsidR="00C67113">
        <w:t xml:space="preserve">overseas migration 6 months after the reference period and final estimates a further 12 months later. The Centre </w:t>
      </w:r>
      <w:r w:rsidR="001C4CD4">
        <w:t>analyse</w:t>
      </w:r>
      <w:r w:rsidR="00866BC9">
        <w:t>s</w:t>
      </w:r>
      <w:r w:rsidR="00652FE0">
        <w:t xml:space="preserve"> more timely</w:t>
      </w:r>
      <w:r w:rsidR="00A013BB">
        <w:t xml:space="preserve"> ABS data including </w:t>
      </w:r>
      <w:r w:rsidR="00202CAC">
        <w:t>o</w:t>
      </w:r>
      <w:r w:rsidR="00A013BB">
        <w:t xml:space="preserve">verseas </w:t>
      </w:r>
      <w:r w:rsidR="00202CAC">
        <w:t>a</w:t>
      </w:r>
      <w:r w:rsidR="00A013BB">
        <w:t xml:space="preserve">rrivals and </w:t>
      </w:r>
      <w:r w:rsidR="00202CAC">
        <w:t>d</w:t>
      </w:r>
      <w:r w:rsidR="00A013BB">
        <w:t>epar</w:t>
      </w:r>
      <w:r w:rsidR="00652FE0">
        <w:t>tures, and</w:t>
      </w:r>
      <w:r w:rsidR="001C4CD4">
        <w:t xml:space="preserve"> data </w:t>
      </w:r>
      <w:r w:rsidR="00A21666">
        <w:t xml:space="preserve">from </w:t>
      </w:r>
      <w:r w:rsidR="00DB689E">
        <w:t xml:space="preserve">the Department of </w:t>
      </w:r>
      <w:r w:rsidR="00A21666">
        <w:t xml:space="preserve">Home Affairs </w:t>
      </w:r>
      <w:r w:rsidR="00A737B0">
        <w:t>on the number of temporary visa holders in Australia</w:t>
      </w:r>
      <w:r w:rsidR="006953C2">
        <w:t xml:space="preserve"> and</w:t>
      </w:r>
      <w:r w:rsidR="00A737B0">
        <w:t xml:space="preserve"> </w:t>
      </w:r>
      <w:r w:rsidR="00BD67D1">
        <w:t>offshore visa grants</w:t>
      </w:r>
      <w:r w:rsidR="006953C2">
        <w:t>. T</w:t>
      </w:r>
      <w:r w:rsidR="009E6104">
        <w:t>he Centre also account</w:t>
      </w:r>
      <w:r w:rsidR="00950C91">
        <w:t>s</w:t>
      </w:r>
      <w:r w:rsidR="009E6104">
        <w:t xml:space="preserve"> for</w:t>
      </w:r>
      <w:r w:rsidR="00744CFB">
        <w:t xml:space="preserve"> </w:t>
      </w:r>
      <w:r w:rsidR="009E6104">
        <w:t xml:space="preserve">Government policy and </w:t>
      </w:r>
      <w:r w:rsidR="00950C91">
        <w:t xml:space="preserve">its </w:t>
      </w:r>
      <w:r w:rsidR="00744CFB">
        <w:t>expected future impact</w:t>
      </w:r>
      <w:r w:rsidR="00405F2C">
        <w:t xml:space="preserve"> on overseas migration.</w:t>
      </w:r>
    </w:p>
    <w:p w14:paraId="32AB3B78" w14:textId="18392A41" w:rsidR="0064335C" w:rsidRDefault="00513D12" w:rsidP="001D20C5">
      <w:r>
        <w:t>Based on a historical average, t</w:t>
      </w:r>
      <w:r w:rsidR="001C77C4">
        <w:t xml:space="preserve">he long-run assumption of NOM is 235,000 per year, as assumed in the </w:t>
      </w:r>
      <w:r w:rsidR="000F337C">
        <w:t>2023 </w:t>
      </w:r>
      <w:r w:rsidR="001C77C4">
        <w:t>Intergenerational Report’s 40</w:t>
      </w:r>
      <w:r w:rsidR="00427266">
        <w:noBreakHyphen/>
      </w:r>
      <w:r w:rsidR="001C77C4">
        <w:t xml:space="preserve">year projection. </w:t>
      </w:r>
      <w:r w:rsidR="006539E9">
        <w:t>This long-run assumption amounts to an average contribution by NOM of 0.7 percentage points to annual population growth</w:t>
      </w:r>
      <w:r w:rsidR="00277EEA">
        <w:t xml:space="preserve"> over the next IGR time horizon</w:t>
      </w:r>
      <w:r w:rsidR="006539E9">
        <w:t>, consistent with the average contribution over the past 40</w:t>
      </w:r>
      <w:r w:rsidR="00377429">
        <w:t> year</w:t>
      </w:r>
      <w:r w:rsidR="006539E9" w:rsidRPr="006539E9">
        <w:t>s</w:t>
      </w:r>
      <w:r w:rsidR="001C77C4" w:rsidRPr="006539E9">
        <w:t xml:space="preserve">. </w:t>
      </w:r>
      <w:r w:rsidR="00622E58">
        <w:t xml:space="preserve">The age profiles of migrant arrivals and departures are assumed to be in line with a historical average from 2015–16 to 2017–18. </w:t>
      </w:r>
    </w:p>
    <w:p w14:paraId="0E060940" w14:textId="4E5FF82C" w:rsidR="00D43E2B" w:rsidRDefault="00D43E2B" w:rsidP="001D20C5">
      <w:r>
        <w:t xml:space="preserve">State net overseas migration figures </w:t>
      </w:r>
      <w:r w:rsidR="004F0B75">
        <w:t>account for</w:t>
      </w:r>
      <w:r>
        <w:t xml:space="preserve"> information contained in the 2021 Census which showed population growth in the intercensal period was different from that previously reported. A portion of this intercensal difference may be attributable to net overseas migration accruing to states differently than initially estimated by the </w:t>
      </w:r>
      <w:r w:rsidR="00641E52">
        <w:t>ABS</w:t>
      </w:r>
      <w:r>
        <w:t>.</w:t>
      </w:r>
    </w:p>
    <w:p w14:paraId="166EE191" w14:textId="77777777" w:rsidR="00671851" w:rsidRPr="00017C0C" w:rsidRDefault="00671851" w:rsidP="003F070F">
      <w:pPr>
        <w:pStyle w:val="Heading3Numbered"/>
      </w:pPr>
      <w:bookmarkStart w:id="192" w:name="_Toc149846520"/>
      <w:bookmarkStart w:id="193" w:name="_Toc149846561"/>
      <w:bookmarkStart w:id="194" w:name="_Toc149846659"/>
      <w:bookmarkStart w:id="195" w:name="_Toc149847602"/>
      <w:r w:rsidRPr="00152209">
        <w:t>Fertility</w:t>
      </w:r>
      <w:bookmarkEnd w:id="192"/>
      <w:bookmarkEnd w:id="193"/>
      <w:bookmarkEnd w:id="194"/>
      <w:bookmarkEnd w:id="195"/>
    </w:p>
    <w:p w14:paraId="5AD7EB3F" w14:textId="77777777" w:rsidR="00783C85" w:rsidRDefault="00C2759C" w:rsidP="00C2759C">
      <w:pPr>
        <w:spacing w:before="0" w:after="160" w:line="259" w:lineRule="auto"/>
      </w:pPr>
      <w:r w:rsidRPr="00C942AF">
        <w:t>Future fertility rate assumptions are based on analysis undertaken and commissioned by the Centre for Population</w:t>
      </w:r>
      <w:r>
        <w:t xml:space="preserve">. </w:t>
      </w:r>
    </w:p>
    <w:p w14:paraId="2A7E5198" w14:textId="43942323" w:rsidR="00783C85" w:rsidRDefault="000366F9" w:rsidP="00783C85">
      <w:r>
        <w:t>T</w:t>
      </w:r>
      <w:r w:rsidR="00C2759C">
        <w:t xml:space="preserve">he </w:t>
      </w:r>
      <w:r w:rsidR="00C2759C" w:rsidRPr="00C942AF">
        <w:t>total fertility rate in 202</w:t>
      </w:r>
      <w:r w:rsidR="00C2759C">
        <w:t>2</w:t>
      </w:r>
      <w:r w:rsidR="00C2759C" w:rsidRPr="00C942AF">
        <w:t>–2</w:t>
      </w:r>
      <w:r w:rsidR="00C2759C">
        <w:t>3</w:t>
      </w:r>
      <w:r w:rsidR="00C2759C" w:rsidRPr="00C942AF">
        <w:t xml:space="preserve"> is likely to be similar </w:t>
      </w:r>
      <w:r w:rsidR="005E5851">
        <w:t>to</w:t>
      </w:r>
      <w:r w:rsidR="007C1A42">
        <w:t xml:space="preserve"> </w:t>
      </w:r>
      <w:r w:rsidR="00EC691C">
        <w:t xml:space="preserve">the </w:t>
      </w:r>
      <w:r w:rsidR="00C2759C">
        <w:t xml:space="preserve">past few years. </w:t>
      </w:r>
      <w:r w:rsidR="00783C85" w:rsidRPr="000D0DE7">
        <w:t xml:space="preserve">The </w:t>
      </w:r>
      <w:r w:rsidR="00783C85">
        <w:t>ABS</w:t>
      </w:r>
      <w:r w:rsidR="00783C85" w:rsidRPr="000D0DE7">
        <w:t xml:space="preserve"> recently reported a total fertility rate of 1.69 babies per woman for the 2021–22 financial year. </w:t>
      </w:r>
      <w:r w:rsidR="00783C85" w:rsidRPr="007608A9">
        <w:t>However,</w:t>
      </w:r>
      <w:r w:rsidR="00783C85" w:rsidRPr="000D0DE7">
        <w:t xml:space="preserve"> </w:t>
      </w:r>
      <w:r w:rsidR="00783C85">
        <w:t>as</w:t>
      </w:r>
      <w:r w:rsidR="00783C85" w:rsidRPr="000D0DE7">
        <w:t xml:space="preserve"> th</w:t>
      </w:r>
      <w:r w:rsidR="00783C85" w:rsidRPr="007608A9">
        <w:t>e single year measurement</w:t>
      </w:r>
      <w:r w:rsidR="00783C85" w:rsidRPr="000D0DE7">
        <w:t xml:space="preserve"> tend</w:t>
      </w:r>
      <w:r w:rsidR="00783C85">
        <w:t>s</w:t>
      </w:r>
      <w:r w:rsidR="00783C85" w:rsidRPr="000D0DE7">
        <w:t xml:space="preserve"> to be volatil</w:t>
      </w:r>
      <w:r w:rsidR="00783C85" w:rsidRPr="007608A9">
        <w:t>e</w:t>
      </w:r>
      <w:r w:rsidR="00783C85">
        <w:t xml:space="preserve">, a </w:t>
      </w:r>
      <w:r w:rsidR="00D7731E">
        <w:t>3</w:t>
      </w:r>
      <w:r w:rsidR="004B14AB">
        <w:noBreakHyphen/>
      </w:r>
      <w:r w:rsidR="00783C85">
        <w:t>year average total fertility rate (2019–20, 2020–21 and 2021–22)</w:t>
      </w:r>
      <w:r w:rsidR="004877B6">
        <w:t xml:space="preserve"> of </w:t>
      </w:r>
      <w:r w:rsidR="004877B6" w:rsidRPr="00BC4175">
        <w:t>1.66</w:t>
      </w:r>
      <w:r w:rsidR="004877B6">
        <w:t> </w:t>
      </w:r>
      <w:r w:rsidR="004877B6" w:rsidRPr="00BC4175">
        <w:t>babies per woman</w:t>
      </w:r>
      <w:r w:rsidR="004877B6">
        <w:t xml:space="preserve"> </w:t>
      </w:r>
      <w:r w:rsidR="00783C85">
        <w:t xml:space="preserve">has been used as a reference point for fertility projections to account for the volatility in the yearly </w:t>
      </w:r>
      <w:r w:rsidR="00182628">
        <w:t>total fertility rate</w:t>
      </w:r>
      <w:r w:rsidR="00783C85">
        <w:t xml:space="preserve">. </w:t>
      </w:r>
    </w:p>
    <w:p w14:paraId="10F36EAD" w14:textId="339AE610" w:rsidR="00590D27" w:rsidRPr="00BC4175" w:rsidRDefault="00584FDD" w:rsidP="00C2759C">
      <w:pPr>
        <w:spacing w:before="0" w:after="160" w:line="259" w:lineRule="auto"/>
      </w:pPr>
      <w:r>
        <w:lastRenderedPageBreak/>
        <w:t>The total fertility rate</w:t>
      </w:r>
      <w:r w:rsidR="00C2759C" w:rsidRPr="00BC4175">
        <w:t xml:space="preserve"> is assumed to gradually decline from 1.66 babies per woman in 202</w:t>
      </w:r>
      <w:r w:rsidR="00C2759C">
        <w:t>2</w:t>
      </w:r>
      <w:r w:rsidR="00C2759C" w:rsidRPr="00BC4175">
        <w:t>–2</w:t>
      </w:r>
      <w:r w:rsidR="00C2759C">
        <w:t>3</w:t>
      </w:r>
      <w:r w:rsidR="00C2759C" w:rsidRPr="00BC4175">
        <w:t xml:space="preserve"> to </w:t>
      </w:r>
      <w:r w:rsidR="00C2759C">
        <w:t>1.62 babies</w:t>
      </w:r>
      <w:r w:rsidR="00C2759C" w:rsidRPr="00BC4175">
        <w:t xml:space="preserve"> per woman by 2030–31,</w:t>
      </w:r>
      <w:r w:rsidR="00C2759C">
        <w:t xml:space="preserve"> and then remain stable at this level</w:t>
      </w:r>
      <w:r w:rsidR="00C2759C" w:rsidRPr="00BC4175">
        <w:t xml:space="preserve"> </w:t>
      </w:r>
      <w:r w:rsidR="002F20CD">
        <w:t>in accordance with</w:t>
      </w:r>
      <w:r w:rsidR="00C2759C" w:rsidRPr="00BC4175">
        <w:t xml:space="preserve"> </w:t>
      </w:r>
      <w:r w:rsidR="00C2759C">
        <w:t>analysis</w:t>
      </w:r>
      <w:r w:rsidR="00C2759C" w:rsidRPr="00BC4175">
        <w:t xml:space="preserve"> from </w:t>
      </w:r>
      <w:r w:rsidR="00C2759C" w:rsidRPr="00BC4175">
        <w:rPr>
          <w:i/>
          <w:iCs/>
        </w:rPr>
        <w:t>A Projection of Australia</w:t>
      </w:r>
      <w:r w:rsidR="004B14AB">
        <w:rPr>
          <w:i/>
          <w:iCs/>
        </w:rPr>
        <w:t>’</w:t>
      </w:r>
      <w:r w:rsidR="00C2759C" w:rsidRPr="00BC4175">
        <w:rPr>
          <w:i/>
          <w:iCs/>
        </w:rPr>
        <w:t>s Future Fertility Rates</w:t>
      </w:r>
      <w:r w:rsidR="00C2759C" w:rsidRPr="00BC4175">
        <w:t>.</w:t>
      </w:r>
      <w:r w:rsidR="00C2759C" w:rsidRPr="00BC4175">
        <w:rPr>
          <w:rStyle w:val="FootnoteReference"/>
        </w:rPr>
        <w:footnoteReference w:id="25"/>
      </w:r>
      <w:r w:rsidR="00C2759C" w:rsidRPr="00BC4175">
        <w:t xml:space="preserve"> This is consistent with the long running trend of families having children later in life and having fewer children when they do.</w:t>
      </w:r>
    </w:p>
    <w:p w14:paraId="146076DA" w14:textId="6208146C" w:rsidR="00C2759C" w:rsidRDefault="00590D27" w:rsidP="00590D27">
      <w:pPr>
        <w:spacing w:before="0" w:after="160" w:line="259" w:lineRule="auto"/>
      </w:pPr>
      <w:r w:rsidRPr="003E0C4C">
        <w:t>The long</w:t>
      </w:r>
      <w:r w:rsidR="004B14AB">
        <w:noBreakHyphen/>
      </w:r>
      <w:r w:rsidRPr="003E0C4C">
        <w:t xml:space="preserve">run total fertility rate is expected to </w:t>
      </w:r>
      <w:r w:rsidR="00626096">
        <w:t>stabilise at 1.62 babies per woman</w:t>
      </w:r>
      <w:r w:rsidRPr="003E0C4C">
        <w:t>. This is because the recuperation in Australia has been relatively strong and the proportion of women without children has not increased significantly.</w:t>
      </w:r>
      <w:r w:rsidR="0052375D">
        <w:rPr>
          <w:rStyle w:val="FootnoteReference"/>
        </w:rPr>
        <w:footnoteReference w:id="26"/>
      </w:r>
      <w:r w:rsidRPr="003E0C4C">
        <w:t xml:space="preserve"> This compares with the trend in some OECD countries, such as South Korea, Japan, Italy, Spain, Austria and the UK (England and Wales)</w:t>
      </w:r>
      <w:r w:rsidR="008A1D3A">
        <w:t>, where</w:t>
      </w:r>
      <w:r w:rsidRPr="003E0C4C">
        <w:t xml:space="preserve"> a higher proportion (20 to 30</w:t>
      </w:r>
      <w:r w:rsidR="001F3B6F">
        <w:t> per cent</w:t>
      </w:r>
      <w:r w:rsidRPr="003E0C4C">
        <w:t>) of women hav</w:t>
      </w:r>
      <w:r w:rsidR="00BF0378">
        <w:t>e</w:t>
      </w:r>
      <w:r w:rsidRPr="003E0C4C">
        <w:t xml:space="preserve"> no children</w:t>
      </w:r>
      <w:r w:rsidR="0060615B">
        <w:t>.</w:t>
      </w:r>
      <w:r w:rsidRPr="003E0C4C">
        <w:t xml:space="preserve"> </w:t>
      </w:r>
      <w:r w:rsidR="0060615B">
        <w:t xml:space="preserve">This </w:t>
      </w:r>
      <w:r w:rsidRPr="003E0C4C">
        <w:t>contribut</w:t>
      </w:r>
      <w:r w:rsidR="0060615B">
        <w:t>es</w:t>
      </w:r>
      <w:r w:rsidRPr="003E0C4C">
        <w:t xml:space="preserve"> to low and declining fertility rates</w:t>
      </w:r>
      <w:r w:rsidR="00A40BA4">
        <w:t xml:space="preserve"> in these countries</w:t>
      </w:r>
      <w:r w:rsidRPr="003E0C4C">
        <w:t>.</w:t>
      </w:r>
    </w:p>
    <w:p w14:paraId="15F8E6E8" w14:textId="201CD80A" w:rsidR="00834A9B" w:rsidRPr="00BC4175" w:rsidRDefault="00834A9B" w:rsidP="00834A9B">
      <w:r w:rsidRPr="00BC4175">
        <w:t xml:space="preserve">The same approach has been used at the state level, with state relativities to the national total fertility rate assumed to remain constant. At the </w:t>
      </w:r>
      <w:r>
        <w:t>capital city and rest</w:t>
      </w:r>
      <w:r w:rsidR="004B14AB">
        <w:noBreakHyphen/>
      </w:r>
      <w:r>
        <w:t>of</w:t>
      </w:r>
      <w:r w:rsidR="004B14AB">
        <w:noBreakHyphen/>
      </w:r>
      <w:r>
        <w:t>state</w:t>
      </w:r>
      <w:r w:rsidRPr="00BC4175">
        <w:t xml:space="preserve"> level, the recent ratios </w:t>
      </w:r>
      <w:r w:rsidRPr="00876C89">
        <w:t>(20</w:t>
      </w:r>
      <w:r w:rsidR="00562C55" w:rsidRPr="00876C89">
        <w:t>14</w:t>
      </w:r>
      <w:r w:rsidR="00E54F9C" w:rsidRPr="00876C89">
        <w:t>–</w:t>
      </w:r>
      <w:r w:rsidRPr="00876C89">
        <w:t>15 to 2019</w:t>
      </w:r>
      <w:r w:rsidR="00E54F9C" w:rsidRPr="00876C89">
        <w:t>–</w:t>
      </w:r>
      <w:r w:rsidR="00B840C4" w:rsidRPr="00876C89">
        <w:t>20</w:t>
      </w:r>
      <w:r w:rsidRPr="00876C89">
        <w:t>)</w:t>
      </w:r>
      <w:r w:rsidRPr="00BC4175">
        <w:t xml:space="preserve"> of location</w:t>
      </w:r>
      <w:r w:rsidR="004B14AB">
        <w:noBreakHyphen/>
      </w:r>
      <w:r w:rsidRPr="00BC4175">
        <w:t>specific fertility rates to the state total fertility rate are assumed to remain constant. The fertility rates for these areas are also constrained to state fertility rates.</w:t>
      </w:r>
    </w:p>
    <w:p w14:paraId="29DF7C31" w14:textId="2C8E4502" w:rsidR="00EE3FCF" w:rsidRPr="00017C0C" w:rsidRDefault="00EE3FCF" w:rsidP="00C80802">
      <w:pPr>
        <w:pStyle w:val="Heading3Numbered"/>
      </w:pPr>
      <w:bookmarkStart w:id="196" w:name="_Toc149846521"/>
      <w:bookmarkStart w:id="197" w:name="_Toc149846562"/>
      <w:bookmarkStart w:id="198" w:name="_Toc149846660"/>
      <w:bookmarkStart w:id="199" w:name="_Toc149847603"/>
      <w:r w:rsidRPr="000B60AA">
        <w:t>Mortality</w:t>
      </w:r>
      <w:bookmarkEnd w:id="196"/>
      <w:bookmarkEnd w:id="197"/>
      <w:bookmarkEnd w:id="198"/>
      <w:bookmarkEnd w:id="199"/>
    </w:p>
    <w:p w14:paraId="06E570A6" w14:textId="6E329E18" w:rsidR="002E7CD7" w:rsidRPr="001915BC" w:rsidRDefault="002E7CD7" w:rsidP="001D20C5">
      <w:r w:rsidRPr="001915BC">
        <w:t xml:space="preserve">Assumptions about future mortality rates are based on life tables produced by the Australian Government Actuary and the </w:t>
      </w:r>
      <w:r w:rsidR="00DD1DCF">
        <w:t>ABS</w:t>
      </w:r>
      <w:r w:rsidRPr="001915BC">
        <w:t>.</w:t>
      </w:r>
      <w:r w:rsidRPr="001915BC">
        <w:rPr>
          <w:rStyle w:val="FootnoteReference"/>
        </w:rPr>
        <w:footnoteReference w:id="27"/>
      </w:r>
      <w:r w:rsidRPr="001915BC">
        <w:t xml:space="preserve"> </w:t>
      </w:r>
    </w:p>
    <w:p w14:paraId="3F04BED5" w14:textId="34F1F938" w:rsidR="009D6828" w:rsidRDefault="002E7CD7" w:rsidP="001D20C5">
      <w:r w:rsidRPr="001915BC">
        <w:t xml:space="preserve">For national mortality, the mortality rates from the </w:t>
      </w:r>
      <w:r w:rsidR="00DD1DCF">
        <w:t>ABS</w:t>
      </w:r>
      <w:r w:rsidR="004B14AB">
        <w:t>’</w:t>
      </w:r>
      <w:r w:rsidR="000B0EFE">
        <w:t>s</w:t>
      </w:r>
      <w:r w:rsidRPr="001915BC">
        <w:t xml:space="preserve"> 201</w:t>
      </w:r>
      <w:r w:rsidR="00A062CC">
        <w:t>9</w:t>
      </w:r>
      <w:r w:rsidRPr="001915BC">
        <w:t>–2</w:t>
      </w:r>
      <w:r w:rsidR="00A062CC">
        <w:t>1</w:t>
      </w:r>
      <w:r w:rsidRPr="001915BC">
        <w:t xml:space="preserve"> national life tables (by single year of age and sex)</w:t>
      </w:r>
      <w:r w:rsidR="009709AA">
        <w:t xml:space="preserve"> have been used</w:t>
      </w:r>
      <w:r w:rsidR="008C247F">
        <w:t xml:space="preserve">, </w:t>
      </w:r>
      <w:r w:rsidR="002E6E69">
        <w:t>allowing</w:t>
      </w:r>
      <w:r w:rsidRPr="001915BC">
        <w:t xml:space="preserve"> for future improvement by applying </w:t>
      </w:r>
      <w:r w:rsidR="002E7DEF">
        <w:t>mortality improvement factors</w:t>
      </w:r>
      <w:r w:rsidR="002E6E69">
        <w:t xml:space="preserve"> from </w:t>
      </w:r>
      <w:r w:rsidRPr="001915BC">
        <w:t>the Australian Government Actuary</w:t>
      </w:r>
      <w:r w:rsidR="004F2880">
        <w:t>.</w:t>
      </w:r>
      <w:r w:rsidR="0052375D">
        <w:rPr>
          <w:rStyle w:val="FootnoteReference"/>
        </w:rPr>
        <w:footnoteReference w:id="28"/>
      </w:r>
      <w:r w:rsidR="004F2880">
        <w:t xml:space="preserve"> </w:t>
      </w:r>
      <w:r w:rsidR="000F1D51" w:rsidRPr="001915BC">
        <w:t>The same approach has been used at the state level.</w:t>
      </w:r>
      <w:r w:rsidR="00DA4F83">
        <w:t xml:space="preserve"> </w:t>
      </w:r>
      <w:r w:rsidR="00234139">
        <w:t>T</w:t>
      </w:r>
      <w:r w:rsidR="00904145">
        <w:t xml:space="preserve">he 2022 Population Statement Technical Appendix </w:t>
      </w:r>
      <w:r w:rsidR="00DA4F83">
        <w:t>provides</w:t>
      </w:r>
      <w:r w:rsidR="00904145">
        <w:t xml:space="preserve"> </w:t>
      </w:r>
      <w:r w:rsidR="002D23CA">
        <w:t>more information</w:t>
      </w:r>
      <w:r w:rsidR="000B6A45">
        <w:t xml:space="preserve"> on </w:t>
      </w:r>
      <w:r w:rsidR="00826FB3">
        <w:t>mortality improvement factors</w:t>
      </w:r>
      <w:r w:rsidRPr="001915BC">
        <w:t xml:space="preserve">. </w:t>
      </w:r>
    </w:p>
    <w:p w14:paraId="38575A89" w14:textId="7D87C08F" w:rsidR="008475C4" w:rsidRDefault="002B3FCF" w:rsidP="00FE4EF7">
      <w:r>
        <w:t xml:space="preserve">The Australian </w:t>
      </w:r>
      <w:r w:rsidR="00CE5AB3">
        <w:t xml:space="preserve">Government Actuary’s projections of mortality rates </w:t>
      </w:r>
      <w:r w:rsidR="0079001F">
        <w:t xml:space="preserve">have </w:t>
      </w:r>
      <w:r w:rsidR="002D0D4A">
        <w:t xml:space="preserve">been adjusted in </w:t>
      </w:r>
      <w:r w:rsidR="00AB04A2">
        <w:t>2022</w:t>
      </w:r>
      <w:r w:rsidR="00DF79F3">
        <w:t>–</w:t>
      </w:r>
      <w:r w:rsidR="00AB04A2">
        <w:t>23</w:t>
      </w:r>
      <w:r w:rsidR="002F4DF3">
        <w:t xml:space="preserve"> to account for </w:t>
      </w:r>
      <w:r w:rsidR="006C33AA">
        <w:t>the</w:t>
      </w:r>
      <w:r w:rsidR="002C5662">
        <w:t xml:space="preserve"> increase </w:t>
      </w:r>
      <w:r w:rsidR="001C0B9D" w:rsidRPr="0024434D">
        <w:t>in mortality observed in 2022</w:t>
      </w:r>
      <w:r w:rsidR="00881BC2">
        <w:t xml:space="preserve"> and </w:t>
      </w:r>
      <w:r w:rsidR="005F5F42" w:rsidRPr="0024434D">
        <w:t>2023</w:t>
      </w:r>
      <w:r w:rsidR="00E77A12">
        <w:t xml:space="preserve">. </w:t>
      </w:r>
      <w:r w:rsidR="004F01A7">
        <w:t>The</w:t>
      </w:r>
      <w:r w:rsidR="001C0B9D" w:rsidRPr="0024434D">
        <w:t xml:space="preserve"> </w:t>
      </w:r>
      <w:r w:rsidR="0069137E">
        <w:t xml:space="preserve">assumed </w:t>
      </w:r>
      <w:r w:rsidR="001C0B9D" w:rsidRPr="0024434D">
        <w:t xml:space="preserve">mortality rates for those aged </w:t>
      </w:r>
      <w:r w:rsidR="00611566" w:rsidRPr="0024434D">
        <w:t>5</w:t>
      </w:r>
      <w:r w:rsidR="001C0B9D" w:rsidRPr="0024434D">
        <w:t>0 and above were adjusted upwards.</w:t>
      </w:r>
      <w:r w:rsidR="00D16FA8" w:rsidDel="00A00F15">
        <w:t xml:space="preserve"> </w:t>
      </w:r>
      <w:r w:rsidR="00C90716">
        <w:t>Further</w:t>
      </w:r>
      <w:r w:rsidR="000B0EFE">
        <w:t>,</w:t>
      </w:r>
      <w:r w:rsidR="00C90716">
        <w:t xml:space="preserve"> given the continuing (al</w:t>
      </w:r>
      <w:r w:rsidR="00727A4F">
        <w:t>beit moderating)</w:t>
      </w:r>
      <w:r w:rsidR="00C90716">
        <w:t xml:space="preserve"> </w:t>
      </w:r>
      <w:r w:rsidR="00D16FA8">
        <w:t>e</w:t>
      </w:r>
      <w:r w:rsidR="00535F7A">
        <w:t xml:space="preserve">xcess mortality </w:t>
      </w:r>
      <w:r w:rsidR="00C90716">
        <w:t>in 2023</w:t>
      </w:r>
      <w:r w:rsidR="00727A4F">
        <w:t>,</w:t>
      </w:r>
      <w:r w:rsidR="00535F7A">
        <w:t xml:space="preserve"> </w:t>
      </w:r>
      <w:r w:rsidR="00FC6713">
        <w:t xml:space="preserve">the </w:t>
      </w:r>
      <w:r w:rsidR="008B78D6">
        <w:t xml:space="preserve">Centre is now </w:t>
      </w:r>
      <w:r w:rsidR="00FC6713">
        <w:t>assum</w:t>
      </w:r>
      <w:r w:rsidR="008B78D6">
        <w:t>ing</w:t>
      </w:r>
      <w:r w:rsidR="00FC6713">
        <w:t xml:space="preserve"> a gradual </w:t>
      </w:r>
      <w:r w:rsidR="00772723" w:rsidRPr="0026602B">
        <w:t xml:space="preserve">return to </w:t>
      </w:r>
      <w:r w:rsidR="00B325C8">
        <w:t>the</w:t>
      </w:r>
      <w:r w:rsidR="00B325C8" w:rsidRPr="0026602B">
        <w:t xml:space="preserve"> </w:t>
      </w:r>
      <w:r w:rsidR="00772723" w:rsidRPr="0026602B">
        <w:t>pre</w:t>
      </w:r>
      <w:r w:rsidR="004B14AB">
        <w:noBreakHyphen/>
      </w:r>
      <w:r w:rsidR="00772723" w:rsidRPr="0026602B">
        <w:t xml:space="preserve">pandemic level </w:t>
      </w:r>
      <w:r w:rsidR="00B325C8">
        <w:t xml:space="preserve">of mortality </w:t>
      </w:r>
      <w:r w:rsidR="00772723" w:rsidRPr="0026602B">
        <w:t xml:space="preserve">over the </w:t>
      </w:r>
      <w:r w:rsidR="004B7CAE">
        <w:t>3</w:t>
      </w:r>
      <w:r w:rsidR="00377429">
        <w:t> year</w:t>
      </w:r>
      <w:r w:rsidR="00772723" w:rsidRPr="0026602B">
        <w:t>s from 2023</w:t>
      </w:r>
      <w:r w:rsidR="00E54F9C">
        <w:t>–</w:t>
      </w:r>
      <w:r w:rsidR="00772723" w:rsidRPr="0026602B">
        <w:t>24 to 2025</w:t>
      </w:r>
      <w:r w:rsidR="00E54F9C">
        <w:t>–</w:t>
      </w:r>
      <w:r w:rsidR="00772723" w:rsidRPr="0026602B">
        <w:t>26</w:t>
      </w:r>
      <w:r w:rsidR="00BF6A49">
        <w:t>, rather than</w:t>
      </w:r>
      <w:r w:rsidR="00F53FF0">
        <w:t xml:space="preserve"> </w:t>
      </w:r>
      <w:r w:rsidR="00B325C8">
        <w:t xml:space="preserve">a </w:t>
      </w:r>
      <w:r w:rsidR="0025618F">
        <w:t xml:space="preserve">return to </w:t>
      </w:r>
      <w:r w:rsidR="00B325C8">
        <w:t xml:space="preserve">the </w:t>
      </w:r>
      <w:r w:rsidR="004B14AB">
        <w:t>‘</w:t>
      </w:r>
      <w:r w:rsidR="0025618F">
        <w:t>pre</w:t>
      </w:r>
      <w:r w:rsidR="004B14AB">
        <w:noBreakHyphen/>
      </w:r>
      <w:r w:rsidR="0025618F">
        <w:t>pandemic</w:t>
      </w:r>
      <w:r w:rsidR="004B14AB">
        <w:t>’</w:t>
      </w:r>
      <w:r w:rsidR="0025618F">
        <w:t xml:space="preserve"> level </w:t>
      </w:r>
      <w:r w:rsidR="0025618F" w:rsidRPr="000703DA">
        <w:t>in 2023</w:t>
      </w:r>
      <w:r w:rsidR="00E54F9C">
        <w:t>–</w:t>
      </w:r>
      <w:r w:rsidR="00F71E2B" w:rsidRPr="0024434D">
        <w:t xml:space="preserve">24 </w:t>
      </w:r>
      <w:r w:rsidR="0025618F" w:rsidRPr="000703DA">
        <w:t>as</w:t>
      </w:r>
      <w:r w:rsidR="008475C4">
        <w:t xml:space="preserve"> previously</w:t>
      </w:r>
      <w:r w:rsidR="0025618F" w:rsidRPr="000703DA">
        <w:t xml:space="preserve"> assumed in the </w:t>
      </w:r>
      <w:r w:rsidR="00B72A28">
        <w:br/>
      </w:r>
      <w:r w:rsidR="0025618F" w:rsidRPr="000703DA">
        <w:t>2023</w:t>
      </w:r>
      <w:r w:rsidR="00E54F9C">
        <w:t>–</w:t>
      </w:r>
      <w:r w:rsidR="0025618F" w:rsidRPr="000703DA">
        <w:t>24 Budget</w:t>
      </w:r>
      <w:r w:rsidR="00CA5184">
        <w:t>.</w:t>
      </w:r>
      <w:r w:rsidR="000C180D">
        <w:t xml:space="preserve"> </w:t>
      </w:r>
      <w:r w:rsidR="007A7F28">
        <w:t>As the risk of future COVID</w:t>
      </w:r>
      <w:r w:rsidR="004B14AB">
        <w:noBreakHyphen/>
      </w:r>
      <w:r w:rsidR="007A7F28">
        <w:t xml:space="preserve">19 waves and variants is unclear, </w:t>
      </w:r>
      <w:r w:rsidR="004C323A">
        <w:t>t</w:t>
      </w:r>
      <w:r w:rsidR="00440745" w:rsidRPr="0024434D">
        <w:t>he long</w:t>
      </w:r>
      <w:r w:rsidR="00310A93">
        <w:t xml:space="preserve"> </w:t>
      </w:r>
      <w:r w:rsidR="00440745" w:rsidRPr="0024434D">
        <w:t>term impacts of COVID</w:t>
      </w:r>
      <w:r w:rsidR="004B14AB">
        <w:noBreakHyphen/>
      </w:r>
      <w:r w:rsidR="00440745" w:rsidRPr="0024434D">
        <w:t xml:space="preserve">19 on mortality </w:t>
      </w:r>
      <w:r w:rsidR="003C79EB">
        <w:t xml:space="preserve">and life expectancy </w:t>
      </w:r>
      <w:r w:rsidR="00440745" w:rsidRPr="0024434D">
        <w:t>remain highly uncertain.</w:t>
      </w:r>
    </w:p>
    <w:p w14:paraId="6AF39041" w14:textId="3C754AAC" w:rsidR="002E7CD7" w:rsidRPr="0007163C" w:rsidRDefault="002E7CD7" w:rsidP="002E7CD7">
      <w:r w:rsidRPr="0007163C">
        <w:t>At the capital city and rest</w:t>
      </w:r>
      <w:r w:rsidR="004B14AB">
        <w:noBreakHyphen/>
      </w:r>
      <w:r w:rsidRPr="0007163C">
        <w:t>of</w:t>
      </w:r>
      <w:r w:rsidR="004B14AB">
        <w:noBreakHyphen/>
      </w:r>
      <w:r w:rsidRPr="0007163C">
        <w:t xml:space="preserve">state level, abridged life tables were constructed based on </w:t>
      </w:r>
      <w:r w:rsidR="000F0F39">
        <w:t xml:space="preserve">the </w:t>
      </w:r>
      <w:r w:rsidR="00DD1DCF">
        <w:t>ABS</w:t>
      </w:r>
      <w:r w:rsidR="004B14AB">
        <w:t>’</w:t>
      </w:r>
      <w:r w:rsidR="000B0EFE">
        <w:t>s</w:t>
      </w:r>
      <w:r w:rsidRPr="0007163C">
        <w:t xml:space="preserve"> deaths and estimated resident population data from financial years </w:t>
      </w:r>
      <w:r w:rsidRPr="00062F89">
        <w:t>200</w:t>
      </w:r>
      <w:r w:rsidR="00F10630" w:rsidRPr="0024434D">
        <w:t>2</w:t>
      </w:r>
      <w:r w:rsidRPr="00062F89">
        <w:t>–0</w:t>
      </w:r>
      <w:r w:rsidR="00F10630" w:rsidRPr="0024434D">
        <w:t>3</w:t>
      </w:r>
      <w:r w:rsidRPr="00062F89">
        <w:t xml:space="preserve"> to 20</w:t>
      </w:r>
      <w:r w:rsidR="00F10630" w:rsidRPr="0024434D">
        <w:t>20</w:t>
      </w:r>
      <w:r w:rsidRPr="00062F89">
        <w:t>–2</w:t>
      </w:r>
      <w:r w:rsidR="00F10630" w:rsidRPr="0024434D">
        <w:t>1</w:t>
      </w:r>
      <w:r w:rsidRPr="00062F89">
        <w:t>. The approach for future capital city and rest</w:t>
      </w:r>
      <w:r w:rsidR="004B14AB">
        <w:noBreakHyphen/>
      </w:r>
      <w:r w:rsidRPr="00062F89">
        <w:t>of</w:t>
      </w:r>
      <w:r w:rsidR="004B14AB">
        <w:noBreakHyphen/>
      </w:r>
      <w:r w:rsidRPr="00062F89">
        <w:t xml:space="preserve">state mortality rates assumes that average ratios of </w:t>
      </w:r>
      <w:r w:rsidR="001D069B">
        <w:t>capital city/rest-of-state</w:t>
      </w:r>
      <w:r w:rsidR="00BE0CC5">
        <w:t xml:space="preserve"> </w:t>
      </w:r>
      <w:r w:rsidRPr="00062F89">
        <w:t>to</w:t>
      </w:r>
      <w:r w:rsidR="00DE5079">
        <w:t xml:space="preserve"> </w:t>
      </w:r>
      <w:r w:rsidRPr="00062F89">
        <w:t>state mortality rates over</w:t>
      </w:r>
      <w:r w:rsidR="00B1605B">
        <w:t> </w:t>
      </w:r>
      <w:r w:rsidRPr="00062F89">
        <w:t>201</w:t>
      </w:r>
      <w:r w:rsidR="004270D3">
        <w:t>6</w:t>
      </w:r>
      <w:r w:rsidRPr="00062F89">
        <w:t>–1</w:t>
      </w:r>
      <w:r w:rsidR="004270D3">
        <w:t>7</w:t>
      </w:r>
      <w:r w:rsidRPr="00062F89">
        <w:t xml:space="preserve"> to 20</w:t>
      </w:r>
      <w:r w:rsidR="004A1534">
        <w:t>20</w:t>
      </w:r>
      <w:r w:rsidRPr="00062F89">
        <w:t>–2</w:t>
      </w:r>
      <w:r w:rsidR="004A1534">
        <w:t>1</w:t>
      </w:r>
      <w:r w:rsidRPr="00062F89">
        <w:t xml:space="preserve"> apply from 202</w:t>
      </w:r>
      <w:r w:rsidR="005222F9">
        <w:t>5</w:t>
      </w:r>
      <w:r w:rsidRPr="00062F89">
        <w:t>–2</w:t>
      </w:r>
      <w:r w:rsidR="005222F9">
        <w:t>6</w:t>
      </w:r>
      <w:r w:rsidRPr="00062F89">
        <w:t xml:space="preserve"> onwards. For the period</w:t>
      </w:r>
      <w:r w:rsidR="00B83492" w:rsidRPr="00765388">
        <w:t xml:space="preserve"> </w:t>
      </w:r>
      <w:r w:rsidRPr="00062F89">
        <w:t>up to 202</w:t>
      </w:r>
      <w:r w:rsidR="005A1703">
        <w:t>5</w:t>
      </w:r>
      <w:r w:rsidRPr="00062F89">
        <w:t>–2</w:t>
      </w:r>
      <w:r w:rsidR="005A1703">
        <w:t>6</w:t>
      </w:r>
      <w:r w:rsidRPr="00062F89">
        <w:t>,</w:t>
      </w:r>
      <w:r w:rsidR="00A24928">
        <w:t xml:space="preserve"> the </w:t>
      </w:r>
      <w:r w:rsidR="00290672">
        <w:t xml:space="preserve">ratios are smoothed from recent values to the </w:t>
      </w:r>
      <w:r w:rsidR="00E62C0C">
        <w:t>5</w:t>
      </w:r>
      <w:r w:rsidR="004B14AB">
        <w:noBreakHyphen/>
      </w:r>
      <w:r w:rsidR="00290672">
        <w:t>year average</w:t>
      </w:r>
      <w:r w:rsidR="00A24928">
        <w:t xml:space="preserve">. </w:t>
      </w:r>
      <w:r w:rsidRPr="001915BC">
        <w:t xml:space="preserve">Projected mortality rates for </w:t>
      </w:r>
      <w:r>
        <w:t>capital cities and rest</w:t>
      </w:r>
      <w:r w:rsidR="004B14AB">
        <w:noBreakHyphen/>
      </w:r>
      <w:r>
        <w:t>of</w:t>
      </w:r>
      <w:r w:rsidR="004B14AB">
        <w:noBreakHyphen/>
      </w:r>
      <w:r>
        <w:t>state areas</w:t>
      </w:r>
      <w:r w:rsidRPr="001915BC">
        <w:t xml:space="preserve"> are then calculated by multiplying projected state mortality rates prepared by the Australian Government Actuary by the </w:t>
      </w:r>
      <w:r w:rsidR="00CF0775">
        <w:t xml:space="preserve">capital city/rest-of state </w:t>
      </w:r>
      <w:r w:rsidRPr="001915BC">
        <w:t>to</w:t>
      </w:r>
      <w:r w:rsidR="00CF0775">
        <w:t xml:space="preserve"> </w:t>
      </w:r>
      <w:r w:rsidRPr="001915BC">
        <w:t xml:space="preserve">state mortality ratios. </w:t>
      </w:r>
    </w:p>
    <w:p w14:paraId="4026FF11" w14:textId="278245E7" w:rsidR="00DC4D5F" w:rsidRDefault="001F08CF" w:rsidP="00C80802">
      <w:pPr>
        <w:pStyle w:val="Heading3Numbered"/>
      </w:pPr>
      <w:bookmarkStart w:id="200" w:name="_Toc149846522"/>
      <w:bookmarkStart w:id="201" w:name="_Toc149846563"/>
      <w:bookmarkStart w:id="202" w:name="_Toc149846661"/>
      <w:bookmarkStart w:id="203" w:name="_Toc149847604"/>
      <w:r>
        <w:lastRenderedPageBreak/>
        <w:t>Net internal migration</w:t>
      </w:r>
      <w:bookmarkEnd w:id="200"/>
      <w:bookmarkEnd w:id="201"/>
      <w:bookmarkEnd w:id="202"/>
      <w:bookmarkEnd w:id="203"/>
    </w:p>
    <w:p w14:paraId="4D889B2A" w14:textId="3537C414" w:rsidR="00D7515B" w:rsidRDefault="00D7515B" w:rsidP="002375F0">
      <w:r>
        <w:t>Assumptions for internal migration at the state and capital city/rest</w:t>
      </w:r>
      <w:r w:rsidR="004B14AB">
        <w:noBreakHyphen/>
      </w:r>
      <w:r>
        <w:t>of</w:t>
      </w:r>
      <w:r w:rsidR="004B14AB">
        <w:noBreakHyphen/>
      </w:r>
      <w:r>
        <w:t xml:space="preserve">state levels were developed for the </w:t>
      </w:r>
      <w:r w:rsidR="004B7CAE">
        <w:t>3 </w:t>
      </w:r>
      <w:r>
        <w:t>main dimensions of internal migration:</w:t>
      </w:r>
    </w:p>
    <w:p w14:paraId="0CB565CA" w14:textId="3769F222" w:rsidR="00D7515B" w:rsidRDefault="00D7515B" w:rsidP="002375F0">
      <w:pPr>
        <w:pStyle w:val="Normalbullet"/>
      </w:pPr>
      <w:r>
        <w:t>level – how many people move</w:t>
      </w:r>
    </w:p>
    <w:p w14:paraId="260EAD75" w14:textId="767AC509" w:rsidR="00D7515B" w:rsidRDefault="00D7515B" w:rsidP="002375F0">
      <w:pPr>
        <w:pStyle w:val="Normalbullet"/>
      </w:pPr>
      <w:r>
        <w:t>patterns – where people move to and from</w:t>
      </w:r>
    </w:p>
    <w:p w14:paraId="05EADD1C" w14:textId="452028BE" w:rsidR="00D7515B" w:rsidRDefault="00D7515B" w:rsidP="002375F0">
      <w:pPr>
        <w:pStyle w:val="Normalbullet"/>
      </w:pPr>
      <w:r>
        <w:t>composition – who is moving (including their basic demographic characteristics such as age and sex).</w:t>
      </w:r>
    </w:p>
    <w:p w14:paraId="5A60BEEE" w14:textId="3648DF04" w:rsidR="00352110" w:rsidRDefault="00352110" w:rsidP="002375F0">
      <w:pPr>
        <w:pStyle w:val="Heading4"/>
      </w:pPr>
      <w:r>
        <w:t>Level</w:t>
      </w:r>
    </w:p>
    <w:p w14:paraId="3EC8000F" w14:textId="58378D7F" w:rsidR="00D7515B" w:rsidRDefault="00A21302" w:rsidP="002375F0">
      <w:r>
        <w:t xml:space="preserve">Based </w:t>
      </w:r>
      <w:r w:rsidR="00471593">
        <w:t>on recent</w:t>
      </w:r>
      <w:r w:rsidR="00547C89">
        <w:t xml:space="preserve"> internal migration estimates and </w:t>
      </w:r>
      <w:r w:rsidR="00F474BE">
        <w:t xml:space="preserve">statistical </w:t>
      </w:r>
      <w:r w:rsidR="00EB6ABB">
        <w:t>modelling</w:t>
      </w:r>
      <w:r w:rsidR="006C01F9">
        <w:t>,</w:t>
      </w:r>
      <w:r w:rsidR="002359D4">
        <w:t xml:space="preserve"> </w:t>
      </w:r>
      <w:r w:rsidR="005D057B">
        <w:t>there are</w:t>
      </w:r>
      <w:r w:rsidR="00283752">
        <w:t xml:space="preserve"> expected to be</w:t>
      </w:r>
      <w:r w:rsidR="00B83ECD">
        <w:t xml:space="preserve"> </w:t>
      </w:r>
      <w:r w:rsidR="005252EA">
        <w:t>384,000</w:t>
      </w:r>
      <w:r w:rsidR="002130DD">
        <w:t> </w:t>
      </w:r>
      <w:r w:rsidR="005271C0">
        <w:t xml:space="preserve">interstate </w:t>
      </w:r>
      <w:r w:rsidR="005252EA">
        <w:t>moves</w:t>
      </w:r>
      <w:r w:rsidR="00FD513D">
        <w:t xml:space="preserve"> in 2022</w:t>
      </w:r>
      <w:r w:rsidR="00E54F9C">
        <w:t>–</w:t>
      </w:r>
      <w:r w:rsidR="00FD513D">
        <w:t>23</w:t>
      </w:r>
      <w:r w:rsidR="00D34B6F">
        <w:t xml:space="preserve">. </w:t>
      </w:r>
      <w:r w:rsidR="005F3425">
        <w:t>It</w:t>
      </w:r>
      <w:r w:rsidR="00D34B6F">
        <w:t xml:space="preserve"> is then assumed </w:t>
      </w:r>
      <w:r w:rsidR="005F3425">
        <w:t xml:space="preserve">there will </w:t>
      </w:r>
      <w:r w:rsidR="00AC7D1B">
        <w:t>be 45</w:t>
      </w:r>
      <w:r w:rsidR="002C260B">
        <w:t>0</w:t>
      </w:r>
      <w:r w:rsidR="00AC7D1B">
        <w:t>,000 moves in</w:t>
      </w:r>
      <w:r w:rsidR="00F171CE">
        <w:t xml:space="preserve"> 2025–26</w:t>
      </w:r>
      <w:r w:rsidR="00860722">
        <w:t>, closer to pre</w:t>
      </w:r>
      <w:r w:rsidR="004B14AB">
        <w:noBreakHyphen/>
      </w:r>
      <w:r w:rsidR="00860722">
        <w:t>pandemic</w:t>
      </w:r>
      <w:r w:rsidR="00BD6006">
        <w:t xml:space="preserve"> levels</w:t>
      </w:r>
      <w:r w:rsidR="00F171CE">
        <w:t xml:space="preserve">. </w:t>
      </w:r>
      <w:r w:rsidR="00AC7D1B">
        <w:t>From</w:t>
      </w:r>
      <w:r w:rsidR="00620834">
        <w:t xml:space="preserve"> that point, </w:t>
      </w:r>
      <w:r w:rsidR="007C7F2D">
        <w:t xml:space="preserve">national interstate </w:t>
      </w:r>
      <w:r w:rsidR="003A50EA">
        <w:t>moves are</w:t>
      </w:r>
      <w:r w:rsidR="007D29DF">
        <w:t xml:space="preserve"> assumed to </w:t>
      </w:r>
      <w:r w:rsidR="00974A4F">
        <w:t>increase</w:t>
      </w:r>
      <w:r w:rsidR="00497255">
        <w:t xml:space="preserve"> </w:t>
      </w:r>
      <w:r w:rsidR="00A3652F">
        <w:t>in line with population growth</w:t>
      </w:r>
      <w:r w:rsidR="002E4B95">
        <w:t>,</w:t>
      </w:r>
      <w:r w:rsidR="00A3652F">
        <w:t xml:space="preserve"> </w:t>
      </w:r>
      <w:r w:rsidR="00034CCE">
        <w:t>reaching</w:t>
      </w:r>
      <w:r w:rsidR="0059736A">
        <w:t xml:space="preserve"> </w:t>
      </w:r>
      <w:r w:rsidR="002C260B">
        <w:t>497</w:t>
      </w:r>
      <w:r w:rsidR="0059736A">
        <w:t>,000 moves</w:t>
      </w:r>
      <w:r w:rsidR="00E623AD">
        <w:t xml:space="preserve"> in 2033</w:t>
      </w:r>
      <w:r w:rsidR="00E54F9C">
        <w:t>–</w:t>
      </w:r>
      <w:r w:rsidR="00E623AD">
        <w:t>34</w:t>
      </w:r>
      <w:r w:rsidR="00A3652F">
        <w:t>.</w:t>
      </w:r>
      <w:r w:rsidR="00323275">
        <w:t xml:space="preserve"> </w:t>
      </w:r>
    </w:p>
    <w:p w14:paraId="4042FC73" w14:textId="3D264751" w:rsidR="00B5778D" w:rsidRPr="00B5778D" w:rsidRDefault="00936031" w:rsidP="00A653DE">
      <w:r>
        <w:t xml:space="preserve">The national level of intrastate moves follows a similar trajectory, </w:t>
      </w:r>
      <w:r w:rsidR="00031989">
        <w:t>increasing from</w:t>
      </w:r>
      <w:r>
        <w:t xml:space="preserve"> </w:t>
      </w:r>
      <w:r w:rsidR="0096286D">
        <w:t>242</w:t>
      </w:r>
      <w:r>
        <w:t>,000 moves in 202</w:t>
      </w:r>
      <w:r w:rsidR="0096286D">
        <w:t>2</w:t>
      </w:r>
      <w:r>
        <w:t>–2</w:t>
      </w:r>
      <w:r w:rsidR="0096286D">
        <w:t>3</w:t>
      </w:r>
      <w:r>
        <w:t xml:space="preserve"> </w:t>
      </w:r>
      <w:r w:rsidR="006B3A9B">
        <w:t>to</w:t>
      </w:r>
      <w:r>
        <w:t xml:space="preserve"> </w:t>
      </w:r>
      <w:r w:rsidR="002C260B">
        <w:t>318</w:t>
      </w:r>
      <w:r>
        <w:t>,000 moves in 202</w:t>
      </w:r>
      <w:r w:rsidR="005F5989">
        <w:t>5</w:t>
      </w:r>
      <w:r>
        <w:t>–2</w:t>
      </w:r>
      <w:r w:rsidR="000B317B">
        <w:t xml:space="preserve">6 and reaching </w:t>
      </w:r>
      <w:r w:rsidR="00F67649">
        <w:t>35</w:t>
      </w:r>
      <w:r w:rsidR="002C260B">
        <w:t>1</w:t>
      </w:r>
      <w:r w:rsidR="00F67649">
        <w:t>,000 moves by 2033</w:t>
      </w:r>
      <w:r w:rsidR="00E54F9C">
        <w:t>–</w:t>
      </w:r>
      <w:r w:rsidR="00F67649">
        <w:t>34</w:t>
      </w:r>
      <w:r>
        <w:t xml:space="preserve">. </w:t>
      </w:r>
    </w:p>
    <w:p w14:paraId="2C875ACC" w14:textId="2FDD40E4" w:rsidR="00A52F50" w:rsidRDefault="00A52F50" w:rsidP="002375F0">
      <w:pPr>
        <w:pStyle w:val="Heading4"/>
      </w:pPr>
      <w:r>
        <w:t>Patterns</w:t>
      </w:r>
    </w:p>
    <w:p w14:paraId="05314C5F" w14:textId="1CB27951" w:rsidR="00A52F50" w:rsidRDefault="00237D12" w:rsidP="002375F0">
      <w:r>
        <w:t xml:space="preserve">The assumed future patterns of net internal migration </w:t>
      </w:r>
      <w:r w:rsidR="00313242">
        <w:t>rely on historical averages</w:t>
      </w:r>
      <w:r w:rsidR="005A5CBA">
        <w:t xml:space="preserve"> and recent data</w:t>
      </w:r>
      <w:r>
        <w:t xml:space="preserve">. </w:t>
      </w:r>
      <w:r w:rsidR="00D66CBF">
        <w:t>Internal migration patterns</w:t>
      </w:r>
      <w:r w:rsidR="004345A9">
        <w:t xml:space="preserve"> </w:t>
      </w:r>
      <w:r w:rsidR="00246BE6">
        <w:t xml:space="preserve">are driven by </w:t>
      </w:r>
      <w:r w:rsidR="00C77CF9">
        <w:t xml:space="preserve">a variety of </w:t>
      </w:r>
      <w:r w:rsidR="00246BE6">
        <w:t>social and economic factors</w:t>
      </w:r>
      <w:r w:rsidR="00BC711A">
        <w:t>,</w:t>
      </w:r>
      <w:r w:rsidR="00246BE6">
        <w:t xml:space="preserve"> </w:t>
      </w:r>
      <w:r w:rsidR="00256A2D">
        <w:t xml:space="preserve">and </w:t>
      </w:r>
      <w:r w:rsidR="004345A9">
        <w:t>vary year</w:t>
      </w:r>
      <w:r w:rsidR="004B14AB">
        <w:noBreakHyphen/>
      </w:r>
      <w:r w:rsidR="004345A9">
        <w:t>to</w:t>
      </w:r>
      <w:r w:rsidR="004B14AB">
        <w:noBreakHyphen/>
      </w:r>
      <w:r w:rsidR="004345A9">
        <w:t>year</w:t>
      </w:r>
      <w:r w:rsidR="002E2289">
        <w:t xml:space="preserve">. While some </w:t>
      </w:r>
      <w:r w:rsidR="00E34679">
        <w:t>patterns are well established (</w:t>
      </w:r>
      <w:r w:rsidR="005D44FD">
        <w:t>for example</w:t>
      </w:r>
      <w:r w:rsidR="00496DFE">
        <w:t>,</w:t>
      </w:r>
      <w:r w:rsidR="00F06E4D">
        <w:t xml:space="preserve"> </w:t>
      </w:r>
      <w:r w:rsidR="00E34679">
        <w:t xml:space="preserve">outflows from Sydney, </w:t>
      </w:r>
      <w:r w:rsidR="00F06E4D">
        <w:t>inflows to Queensland)</w:t>
      </w:r>
      <w:r w:rsidR="001135B3">
        <w:t>, most regions</w:t>
      </w:r>
      <w:r w:rsidR="003038E6">
        <w:t xml:space="preserve"> have experienced both</w:t>
      </w:r>
      <w:r w:rsidR="004438B8">
        <w:t xml:space="preserve"> </w:t>
      </w:r>
      <w:r w:rsidR="002E4B95">
        <w:t xml:space="preserve">net </w:t>
      </w:r>
      <w:r w:rsidR="004438B8">
        <w:t xml:space="preserve">gains and </w:t>
      </w:r>
      <w:r w:rsidR="002E4B95">
        <w:t xml:space="preserve">net </w:t>
      </w:r>
      <w:r w:rsidR="004438B8">
        <w:t xml:space="preserve">losses to internal migration </w:t>
      </w:r>
      <w:r w:rsidR="00750E24">
        <w:t xml:space="preserve">during </w:t>
      </w:r>
      <w:r w:rsidR="004438B8">
        <w:t xml:space="preserve">the last </w:t>
      </w:r>
      <w:r w:rsidR="004B7CAE">
        <w:t>2</w:t>
      </w:r>
      <w:r w:rsidR="00D26706">
        <w:t xml:space="preserve"> decades</w:t>
      </w:r>
      <w:r w:rsidR="004438B8">
        <w:t>.</w:t>
      </w:r>
      <w:r w:rsidR="00663C3D">
        <w:rPr>
          <w:rStyle w:val="FootnoteReference"/>
        </w:rPr>
        <w:footnoteReference w:id="29"/>
      </w:r>
      <w:r>
        <w:t xml:space="preserve"> </w:t>
      </w:r>
    </w:p>
    <w:p w14:paraId="75D1F380" w14:textId="4BFB0E1D" w:rsidR="00127408" w:rsidRDefault="00112761" w:rsidP="002375F0">
      <w:r>
        <w:t xml:space="preserve">Assumptions about the </w:t>
      </w:r>
      <w:r w:rsidR="009A6CC4">
        <w:t>patterns of internal migration</w:t>
      </w:r>
      <w:r>
        <w:t xml:space="preserve"> for 2022–</w:t>
      </w:r>
      <w:r w:rsidR="006F2518">
        <w:t>23</w:t>
      </w:r>
      <w:r w:rsidR="009A6CC4">
        <w:t xml:space="preserve"> are based on recent </w:t>
      </w:r>
      <w:r w:rsidR="00A91F3B">
        <w:t xml:space="preserve">internal migration estimates and </w:t>
      </w:r>
      <w:r w:rsidR="00945A65">
        <w:t>statistical</w:t>
      </w:r>
      <w:r w:rsidR="00A91F3B">
        <w:t xml:space="preserve"> </w:t>
      </w:r>
      <w:r w:rsidR="00521563">
        <w:t>modelling</w:t>
      </w:r>
      <w:r w:rsidR="00817B1A">
        <w:t xml:space="preserve">. </w:t>
      </w:r>
      <w:r w:rsidR="00D811D2">
        <w:t>N</w:t>
      </w:r>
      <w:r w:rsidR="00F52BA5">
        <w:t xml:space="preserve">et internal migration patterns </w:t>
      </w:r>
      <w:r w:rsidR="00D811D2">
        <w:t xml:space="preserve">are </w:t>
      </w:r>
      <w:r w:rsidR="00545920">
        <w:t xml:space="preserve">then </w:t>
      </w:r>
      <w:r w:rsidR="00D811D2">
        <w:t xml:space="preserve">assumed to </w:t>
      </w:r>
      <w:r w:rsidR="00F52BA5">
        <w:t xml:space="preserve">return to a </w:t>
      </w:r>
      <w:r w:rsidR="005A1593">
        <w:t>pre</w:t>
      </w:r>
      <w:r w:rsidR="004B14AB">
        <w:noBreakHyphen/>
      </w:r>
      <w:r w:rsidR="005A1593">
        <w:t xml:space="preserve">pandemic </w:t>
      </w:r>
      <w:r w:rsidR="00F52BA5">
        <w:t>long</w:t>
      </w:r>
      <w:r w:rsidR="00310A93">
        <w:t xml:space="preserve"> </w:t>
      </w:r>
      <w:r w:rsidR="00DF38D3">
        <w:t>term</w:t>
      </w:r>
      <w:r w:rsidR="00F52BA5">
        <w:t xml:space="preserve"> average </w:t>
      </w:r>
      <w:r w:rsidR="00750E24">
        <w:t xml:space="preserve">by 2025–26 </w:t>
      </w:r>
      <w:r w:rsidR="0022643F">
        <w:t>(19</w:t>
      </w:r>
      <w:r w:rsidR="004B14AB">
        <w:noBreakHyphen/>
      </w:r>
      <w:r w:rsidR="0022643F">
        <w:t>yea</w:t>
      </w:r>
      <w:r w:rsidR="00D05323">
        <w:t>r</w:t>
      </w:r>
      <w:r w:rsidR="0022643F">
        <w:t xml:space="preserve"> </w:t>
      </w:r>
      <w:r w:rsidR="00D05323">
        <w:t>average</w:t>
      </w:r>
      <w:r w:rsidR="0022643F">
        <w:t xml:space="preserve"> for states and territories</w:t>
      </w:r>
      <w:r w:rsidR="005621E5">
        <w:t>,</w:t>
      </w:r>
      <w:r w:rsidR="0022643F">
        <w:t xml:space="preserve"> 18</w:t>
      </w:r>
      <w:r w:rsidR="004B14AB">
        <w:noBreakHyphen/>
      </w:r>
      <w:r w:rsidR="0022643F">
        <w:t>year</w:t>
      </w:r>
      <w:r w:rsidR="00D05323">
        <w:t xml:space="preserve"> average</w:t>
      </w:r>
      <w:r w:rsidR="0022643F">
        <w:t xml:space="preserve"> for capital cities and rest</w:t>
      </w:r>
      <w:r w:rsidR="004B14AB">
        <w:noBreakHyphen/>
      </w:r>
      <w:r w:rsidR="0022643F">
        <w:t>of</w:t>
      </w:r>
      <w:r w:rsidR="004B14AB">
        <w:noBreakHyphen/>
      </w:r>
      <w:r w:rsidR="0022643F">
        <w:t>state areas</w:t>
      </w:r>
      <w:r w:rsidR="00C040CB">
        <w:t xml:space="preserve"> because of data availability</w:t>
      </w:r>
      <w:r w:rsidR="0022643F">
        <w:t>)</w:t>
      </w:r>
      <w:r w:rsidR="00F52BA5">
        <w:t>.</w:t>
      </w:r>
    </w:p>
    <w:p w14:paraId="531A3EE5" w14:textId="2723C314" w:rsidR="00FD68B9" w:rsidRDefault="007D794B" w:rsidP="002375F0">
      <w:pPr>
        <w:pStyle w:val="Heading4"/>
      </w:pPr>
      <w:r>
        <w:t>Composition</w:t>
      </w:r>
    </w:p>
    <w:p w14:paraId="67BC11A8" w14:textId="23D89C9C" w:rsidR="007D794B" w:rsidRDefault="007D794B" w:rsidP="00FD68B9">
      <w:r>
        <w:t xml:space="preserve">It is assumed that the composition of net internal migration </w:t>
      </w:r>
      <w:r w:rsidR="00471B3C">
        <w:t>– the age and sex distri</w:t>
      </w:r>
      <w:r w:rsidR="003F166F">
        <w:t xml:space="preserve">bution of people who move – will remain stable during the projection period. </w:t>
      </w:r>
      <w:r w:rsidR="00CD410A">
        <w:t xml:space="preserve">Young adults generally migrate to the capital cities and older Australians generally move out of the capital cities. </w:t>
      </w:r>
      <w:r w:rsidR="008505CB">
        <w:t xml:space="preserve">Compositional assumptions are </w:t>
      </w:r>
      <w:r w:rsidR="00C42A27">
        <w:t xml:space="preserve">still </w:t>
      </w:r>
      <w:r w:rsidR="008505CB">
        <w:t xml:space="preserve">based </w:t>
      </w:r>
      <w:r w:rsidR="005621E5">
        <w:t>upon</w:t>
      </w:r>
      <w:r w:rsidR="008505CB">
        <w:t xml:space="preserve"> the 2016</w:t>
      </w:r>
      <w:r w:rsidR="00B1605B">
        <w:t> </w:t>
      </w:r>
      <w:r w:rsidR="008505CB">
        <w:t>Census</w:t>
      </w:r>
      <w:r w:rsidR="00C20824">
        <w:t xml:space="preserve"> because the</w:t>
      </w:r>
      <w:r w:rsidR="008505CB">
        <w:t xml:space="preserve"> </w:t>
      </w:r>
      <w:r w:rsidR="002F634F">
        <w:t xml:space="preserve">pandemic lockdowns significantly affected the </w:t>
      </w:r>
      <w:r w:rsidR="00C20824">
        <w:t>2021</w:t>
      </w:r>
      <w:r w:rsidR="00DA0EED">
        <w:t xml:space="preserve"> Census </w:t>
      </w:r>
      <w:r w:rsidR="001C2353">
        <w:t>movement data</w:t>
      </w:r>
      <w:r w:rsidR="00382BF2">
        <w:t>.</w:t>
      </w:r>
      <w:r w:rsidR="00934C7C">
        <w:t xml:space="preserve"> </w:t>
      </w:r>
    </w:p>
    <w:p w14:paraId="6F4C0F74" w14:textId="33DD8718" w:rsidR="00FD68B9" w:rsidRPr="00FD68B9" w:rsidRDefault="00FD68B9" w:rsidP="002375F0">
      <w:pPr>
        <w:pStyle w:val="Heading2Numbered"/>
      </w:pPr>
      <w:bookmarkStart w:id="204" w:name="_Toc149846523"/>
      <w:bookmarkStart w:id="205" w:name="_Toc149846564"/>
      <w:bookmarkStart w:id="206" w:name="_Toc149846662"/>
      <w:bookmarkStart w:id="207" w:name="_Toc149847605"/>
      <w:bookmarkStart w:id="208" w:name="_Toc151994733"/>
      <w:r>
        <w:t xml:space="preserve"> </w:t>
      </w:r>
      <w:bookmarkStart w:id="209" w:name="_Toc154050222"/>
      <w:r>
        <w:t>Comparing past projections to outcomes</w:t>
      </w:r>
      <w:bookmarkEnd w:id="204"/>
      <w:bookmarkEnd w:id="205"/>
      <w:bookmarkEnd w:id="206"/>
      <w:bookmarkEnd w:id="207"/>
      <w:bookmarkEnd w:id="208"/>
      <w:bookmarkEnd w:id="209"/>
    </w:p>
    <w:p w14:paraId="01C46EB0" w14:textId="2AE04921" w:rsidR="00DB4A76" w:rsidRDefault="00A846D8">
      <w:r>
        <w:t>Population forecasts and projections will differ from subsequent observed outcomes for many reasons</w:t>
      </w:r>
      <w:r w:rsidR="00F30C38">
        <w:t>.</w:t>
      </w:r>
      <w:r>
        <w:t xml:space="preserve"> </w:t>
      </w:r>
      <w:r w:rsidR="00F30C38">
        <w:t xml:space="preserve">This </w:t>
      </w:r>
      <w:r>
        <w:t>includ</w:t>
      </w:r>
      <w:r w:rsidR="00F30C38">
        <w:t>es</w:t>
      </w:r>
      <w:r w:rsidR="00723F15">
        <w:t>,</w:t>
      </w:r>
      <w:r>
        <w:t xml:space="preserve"> but </w:t>
      </w:r>
      <w:r w:rsidR="009043EC">
        <w:t xml:space="preserve">is </w:t>
      </w:r>
      <w:r>
        <w:t xml:space="preserve">not limited to, events turning out differently to assumptions, changes in behaviour, changes in government policy and </w:t>
      </w:r>
      <w:r w:rsidR="00DB1754">
        <w:t xml:space="preserve">data </w:t>
      </w:r>
      <w:r>
        <w:t>revisions.</w:t>
      </w:r>
    </w:p>
    <w:p w14:paraId="0E11C5E9" w14:textId="77777777" w:rsidR="00DB4A76" w:rsidRDefault="00DB4A76">
      <w:pPr>
        <w:spacing w:before="0" w:after="160" w:line="259" w:lineRule="auto"/>
      </w:pPr>
      <w:r>
        <w:br w:type="page"/>
      </w:r>
    </w:p>
    <w:p w14:paraId="0FAF9214" w14:textId="6B5A19B4" w:rsidR="00833057" w:rsidRPr="00ED5B08" w:rsidRDefault="00833057" w:rsidP="00C80802">
      <w:pPr>
        <w:pStyle w:val="Heading3Numbered"/>
      </w:pPr>
      <w:r w:rsidRPr="00ED5B08">
        <w:lastRenderedPageBreak/>
        <w:t>National forecasts</w:t>
      </w:r>
    </w:p>
    <w:p w14:paraId="5B12A2AD" w14:textId="509FD66D" w:rsidR="009D7117" w:rsidRDefault="00AC2C93" w:rsidP="00ED019A">
      <w:r>
        <w:fldChar w:fldCharType="begin"/>
      </w:r>
      <w:r>
        <w:instrText xml:space="preserve"> REF _Ref149842110 \r \h </w:instrText>
      </w:r>
      <w:r>
        <w:fldChar w:fldCharType="separate"/>
      </w:r>
      <w:r w:rsidR="00CE6FEA">
        <w:t>Table 11</w:t>
      </w:r>
      <w:r>
        <w:fldChar w:fldCharType="end"/>
      </w:r>
      <w:r w:rsidR="00092E28">
        <w:t xml:space="preserve"> </w:t>
      </w:r>
      <w:r w:rsidR="00092E28" w:rsidRPr="00092E28">
        <w:t xml:space="preserve">compares the forecasts and projections from </w:t>
      </w:r>
      <w:r w:rsidR="00092E28">
        <w:t>recent</w:t>
      </w:r>
      <w:r w:rsidR="00092E28" w:rsidRPr="00092E28">
        <w:t xml:space="preserve"> Population Statements, Intergenerational Reports, and </w:t>
      </w:r>
      <w:r w:rsidR="002C11C5">
        <w:t xml:space="preserve">the </w:t>
      </w:r>
      <w:r w:rsidR="00092E28">
        <w:t>ABS</w:t>
      </w:r>
      <w:r w:rsidR="00551CCD">
        <w:t>,</w:t>
      </w:r>
      <w:r w:rsidR="00092E28" w:rsidRPr="00092E28">
        <w:t xml:space="preserve"> to the latest national population</w:t>
      </w:r>
      <w:r w:rsidR="00092E28">
        <w:t xml:space="preserve"> estimates</w:t>
      </w:r>
      <w:r w:rsidR="00092E28" w:rsidRPr="00092E28">
        <w:t xml:space="preserve">. Relatively low </w:t>
      </w:r>
      <w:r w:rsidR="00AA61C4">
        <w:t>population</w:t>
      </w:r>
      <w:r w:rsidR="00092E28" w:rsidRPr="00092E28">
        <w:t xml:space="preserve"> growth from </w:t>
      </w:r>
      <w:r w:rsidR="00B1605B">
        <w:br/>
      </w:r>
      <w:r w:rsidR="00092E28" w:rsidRPr="00092E28">
        <w:t>2017–18 to 2020–21, compared with preceding years, resulted in overestimates of population across all selected projections</w:t>
      </w:r>
      <w:r w:rsidR="005813E4">
        <w:t>. Projections prepared during the pandemic underestimated the rate of growth in 2021</w:t>
      </w:r>
      <w:r w:rsidR="00F37A0C">
        <w:t>–</w:t>
      </w:r>
      <w:r w:rsidR="005813E4">
        <w:t>2</w:t>
      </w:r>
      <w:r w:rsidR="00F45F43">
        <w:t>2</w:t>
      </w:r>
      <w:r w:rsidR="005813E4">
        <w:t>.</w:t>
      </w:r>
    </w:p>
    <w:p w14:paraId="156B365F" w14:textId="780875CD" w:rsidR="00750C32" w:rsidRDefault="00750C32" w:rsidP="002375F0">
      <w:pPr>
        <w:pStyle w:val="TableMainHeading"/>
      </w:pPr>
      <w:bookmarkStart w:id="210" w:name="_Ref117700808"/>
      <w:bookmarkStart w:id="211" w:name="_Ref149842110"/>
      <w:bookmarkStart w:id="212" w:name="_Ref149224303"/>
      <w:r w:rsidRPr="00116886">
        <w:t>Difference (%) between population projections and outcome</w:t>
      </w:r>
      <w:r w:rsidR="000A0A94">
        <w:t>s</w:t>
      </w:r>
      <w:r w:rsidRPr="00116886">
        <w:t>, Australia, on 30 June</w:t>
      </w:r>
      <w:bookmarkEnd w:id="210"/>
      <w:bookmarkEnd w:id="211"/>
    </w:p>
    <w:tbl>
      <w:tblPr>
        <w:tblStyle w:val="CPOPTable"/>
        <w:tblW w:w="5000" w:type="pct"/>
        <w:tblLook w:val="04A0" w:firstRow="1" w:lastRow="0" w:firstColumn="1" w:lastColumn="0" w:noHBand="0" w:noVBand="1"/>
      </w:tblPr>
      <w:tblGrid>
        <w:gridCol w:w="3751"/>
        <w:gridCol w:w="761"/>
        <w:gridCol w:w="760"/>
        <w:gridCol w:w="760"/>
        <w:gridCol w:w="760"/>
        <w:gridCol w:w="760"/>
        <w:gridCol w:w="760"/>
        <w:gridCol w:w="760"/>
      </w:tblGrid>
      <w:tr w:rsidR="00CE5021" w:rsidRPr="00116886" w14:paraId="1F9A6CC3" w14:textId="7EFB825E" w:rsidTr="00FA64CD">
        <w:trPr>
          <w:cnfStyle w:val="100000000000" w:firstRow="1" w:lastRow="0" w:firstColumn="0" w:lastColumn="0" w:oddVBand="0" w:evenVBand="0" w:oddHBand="0" w:evenHBand="0" w:firstRowFirstColumn="0" w:firstRowLastColumn="0" w:lastRowFirstColumn="0" w:lastRowLastColumn="0"/>
          <w:trHeight w:val="375"/>
        </w:trPr>
        <w:tc>
          <w:tcPr>
            <w:tcW w:w="2067" w:type="pct"/>
            <w:tcBorders>
              <w:top w:val="single" w:sz="4" w:space="0" w:color="auto"/>
              <w:bottom w:val="single" w:sz="4" w:space="0" w:color="auto"/>
            </w:tcBorders>
          </w:tcPr>
          <w:bookmarkEnd w:id="212"/>
          <w:p w14:paraId="73A18618" w14:textId="78F5CDD4" w:rsidR="00610CBD" w:rsidRPr="00116886" w:rsidRDefault="00535697" w:rsidP="004C567F">
            <w:pPr>
              <w:pStyle w:val="TableColumnHeadingLeft"/>
            </w:pPr>
            <w:r>
              <w:t>Projection</w:t>
            </w:r>
          </w:p>
        </w:tc>
        <w:tc>
          <w:tcPr>
            <w:tcW w:w="419" w:type="pct"/>
            <w:tcBorders>
              <w:top w:val="single" w:sz="4" w:space="0" w:color="auto"/>
              <w:bottom w:val="single" w:sz="4" w:space="0" w:color="auto"/>
            </w:tcBorders>
          </w:tcPr>
          <w:p w14:paraId="6837781F" w14:textId="77777777" w:rsidR="00610CBD" w:rsidRPr="004C567F" w:rsidRDefault="00610CBD" w:rsidP="004C567F">
            <w:pPr>
              <w:pStyle w:val="TableSecondHeading"/>
            </w:pPr>
            <w:r w:rsidRPr="004C567F">
              <w:t>2016</w:t>
            </w:r>
          </w:p>
        </w:tc>
        <w:tc>
          <w:tcPr>
            <w:tcW w:w="419" w:type="pct"/>
            <w:tcBorders>
              <w:top w:val="single" w:sz="4" w:space="0" w:color="auto"/>
              <w:bottom w:val="single" w:sz="4" w:space="0" w:color="auto"/>
            </w:tcBorders>
          </w:tcPr>
          <w:p w14:paraId="33082291" w14:textId="77777777" w:rsidR="00610CBD" w:rsidRPr="004C567F" w:rsidRDefault="00610CBD" w:rsidP="004C567F">
            <w:pPr>
              <w:pStyle w:val="TableSecondHeading"/>
            </w:pPr>
            <w:r w:rsidRPr="004C567F">
              <w:t>2017</w:t>
            </w:r>
          </w:p>
        </w:tc>
        <w:tc>
          <w:tcPr>
            <w:tcW w:w="419" w:type="pct"/>
            <w:tcBorders>
              <w:top w:val="single" w:sz="4" w:space="0" w:color="auto"/>
              <w:bottom w:val="single" w:sz="4" w:space="0" w:color="auto"/>
            </w:tcBorders>
          </w:tcPr>
          <w:p w14:paraId="5A22DE54" w14:textId="77777777" w:rsidR="00610CBD" w:rsidRPr="004C567F" w:rsidRDefault="00610CBD" w:rsidP="004C567F">
            <w:pPr>
              <w:pStyle w:val="TableSecondHeading"/>
            </w:pPr>
            <w:r w:rsidRPr="004C567F">
              <w:t>2018</w:t>
            </w:r>
          </w:p>
        </w:tc>
        <w:tc>
          <w:tcPr>
            <w:tcW w:w="419" w:type="pct"/>
            <w:tcBorders>
              <w:top w:val="single" w:sz="4" w:space="0" w:color="auto"/>
              <w:bottom w:val="single" w:sz="4" w:space="0" w:color="auto"/>
            </w:tcBorders>
          </w:tcPr>
          <w:p w14:paraId="06B82B90" w14:textId="77777777" w:rsidR="00610CBD" w:rsidRPr="004C567F" w:rsidRDefault="00610CBD" w:rsidP="004C567F">
            <w:pPr>
              <w:pStyle w:val="TableSecondHeading"/>
            </w:pPr>
            <w:r w:rsidRPr="004C567F">
              <w:t>2019</w:t>
            </w:r>
          </w:p>
        </w:tc>
        <w:tc>
          <w:tcPr>
            <w:tcW w:w="419" w:type="pct"/>
            <w:tcBorders>
              <w:top w:val="single" w:sz="4" w:space="0" w:color="auto"/>
              <w:bottom w:val="single" w:sz="4" w:space="0" w:color="auto"/>
            </w:tcBorders>
          </w:tcPr>
          <w:p w14:paraId="626BEE21" w14:textId="77777777" w:rsidR="00610CBD" w:rsidRPr="004C567F" w:rsidRDefault="00610CBD" w:rsidP="004C567F">
            <w:pPr>
              <w:pStyle w:val="TableSecondHeading"/>
            </w:pPr>
            <w:r w:rsidRPr="004C567F">
              <w:t>2020</w:t>
            </w:r>
          </w:p>
        </w:tc>
        <w:tc>
          <w:tcPr>
            <w:tcW w:w="419" w:type="pct"/>
            <w:tcBorders>
              <w:top w:val="single" w:sz="4" w:space="0" w:color="auto"/>
              <w:bottom w:val="single" w:sz="4" w:space="0" w:color="auto"/>
            </w:tcBorders>
          </w:tcPr>
          <w:p w14:paraId="619B5861" w14:textId="77777777" w:rsidR="00610CBD" w:rsidRPr="004C567F" w:rsidRDefault="00610CBD" w:rsidP="004C567F">
            <w:pPr>
              <w:pStyle w:val="TableSecondHeading"/>
            </w:pPr>
            <w:r w:rsidRPr="004C567F">
              <w:t>2021</w:t>
            </w:r>
          </w:p>
        </w:tc>
        <w:tc>
          <w:tcPr>
            <w:tcW w:w="419" w:type="pct"/>
            <w:tcBorders>
              <w:top w:val="single" w:sz="4" w:space="0" w:color="auto"/>
              <w:bottom w:val="single" w:sz="4" w:space="0" w:color="auto"/>
            </w:tcBorders>
          </w:tcPr>
          <w:p w14:paraId="11C53AA0" w14:textId="7D9443A5" w:rsidR="00610CBD" w:rsidRPr="004C567F" w:rsidRDefault="00610CBD" w:rsidP="004C567F">
            <w:pPr>
              <w:pStyle w:val="TableSecondHeading"/>
            </w:pPr>
            <w:r w:rsidRPr="004C567F">
              <w:t>2022</w:t>
            </w:r>
          </w:p>
        </w:tc>
      </w:tr>
      <w:tr w:rsidR="00B07C2A" w:rsidRPr="00116886" w14:paraId="53FBBA31" w14:textId="79CFAC71" w:rsidTr="00FA64CD">
        <w:trPr>
          <w:trHeight w:val="389"/>
        </w:trPr>
        <w:tc>
          <w:tcPr>
            <w:tcW w:w="2067" w:type="pct"/>
            <w:tcBorders>
              <w:top w:val="single" w:sz="4" w:space="0" w:color="auto"/>
            </w:tcBorders>
          </w:tcPr>
          <w:p w14:paraId="024B416C" w14:textId="3D85ACE3" w:rsidR="00B07C2A" w:rsidRPr="004C567F" w:rsidRDefault="00B07C2A" w:rsidP="004C567F">
            <w:pPr>
              <w:pStyle w:val="TableColumnHeadingLeft"/>
            </w:pPr>
            <w:r w:rsidRPr="004C567F">
              <w:t>Intergenerational Report, 2015</w:t>
            </w:r>
          </w:p>
        </w:tc>
        <w:tc>
          <w:tcPr>
            <w:tcW w:w="419" w:type="pct"/>
            <w:tcBorders>
              <w:top w:val="nil"/>
              <w:left w:val="nil"/>
              <w:bottom w:val="nil"/>
              <w:right w:val="nil"/>
            </w:tcBorders>
            <w:vAlign w:val="bottom"/>
          </w:tcPr>
          <w:p w14:paraId="172E92D9" w14:textId="7817CE03" w:rsidR="00B07C2A" w:rsidRPr="004C567F" w:rsidRDefault="004B14AB" w:rsidP="004C567F">
            <w:pPr>
              <w:pStyle w:val="TableTextRight"/>
            </w:pPr>
            <w:r w:rsidRPr="004C567F">
              <w:noBreakHyphen/>
            </w:r>
            <w:r w:rsidR="00B07C2A" w:rsidRPr="004C567F">
              <w:t>0.5</w:t>
            </w:r>
          </w:p>
        </w:tc>
        <w:tc>
          <w:tcPr>
            <w:tcW w:w="419" w:type="pct"/>
            <w:tcBorders>
              <w:top w:val="nil"/>
              <w:left w:val="nil"/>
              <w:bottom w:val="nil"/>
              <w:right w:val="nil"/>
            </w:tcBorders>
            <w:vAlign w:val="bottom"/>
          </w:tcPr>
          <w:p w14:paraId="70C4581C" w14:textId="444753A2" w:rsidR="00B07C2A" w:rsidRPr="004C567F" w:rsidRDefault="004B14AB" w:rsidP="004C567F">
            <w:pPr>
              <w:pStyle w:val="TableTextRight"/>
            </w:pPr>
            <w:r w:rsidRPr="004C567F">
              <w:noBreakHyphen/>
            </w:r>
            <w:r w:rsidR="00B07C2A" w:rsidRPr="004C567F">
              <w:t>0.6</w:t>
            </w:r>
          </w:p>
        </w:tc>
        <w:tc>
          <w:tcPr>
            <w:tcW w:w="419" w:type="pct"/>
            <w:tcBorders>
              <w:top w:val="nil"/>
              <w:left w:val="nil"/>
              <w:bottom w:val="nil"/>
              <w:right w:val="nil"/>
            </w:tcBorders>
            <w:vAlign w:val="bottom"/>
          </w:tcPr>
          <w:p w14:paraId="37751CBD" w14:textId="7F604224" w:rsidR="00B07C2A" w:rsidRPr="004C567F" w:rsidRDefault="004B14AB" w:rsidP="004C567F">
            <w:pPr>
              <w:pStyle w:val="TableTextRight"/>
            </w:pPr>
            <w:r w:rsidRPr="004C567F">
              <w:noBreakHyphen/>
            </w:r>
            <w:r w:rsidR="00B07C2A" w:rsidRPr="004C567F">
              <w:t>0.8</w:t>
            </w:r>
          </w:p>
        </w:tc>
        <w:tc>
          <w:tcPr>
            <w:tcW w:w="419" w:type="pct"/>
            <w:tcBorders>
              <w:top w:val="nil"/>
              <w:left w:val="nil"/>
              <w:bottom w:val="nil"/>
              <w:right w:val="nil"/>
            </w:tcBorders>
            <w:vAlign w:val="bottom"/>
          </w:tcPr>
          <w:p w14:paraId="22DC4E29" w14:textId="2AD66C8B" w:rsidR="00B07C2A" w:rsidRPr="004C567F" w:rsidRDefault="004B14AB" w:rsidP="004C567F">
            <w:pPr>
              <w:pStyle w:val="TableTextRight"/>
            </w:pPr>
            <w:r w:rsidRPr="004C567F">
              <w:noBreakHyphen/>
            </w:r>
            <w:r w:rsidR="00B07C2A" w:rsidRPr="004C567F">
              <w:t>0.9</w:t>
            </w:r>
          </w:p>
        </w:tc>
        <w:tc>
          <w:tcPr>
            <w:tcW w:w="419" w:type="pct"/>
            <w:tcBorders>
              <w:top w:val="nil"/>
              <w:left w:val="nil"/>
              <w:bottom w:val="nil"/>
              <w:right w:val="nil"/>
            </w:tcBorders>
            <w:vAlign w:val="bottom"/>
          </w:tcPr>
          <w:p w14:paraId="78AF4A04" w14:textId="7F0EE7EF" w:rsidR="00B07C2A" w:rsidRPr="004C567F" w:rsidRDefault="004B14AB" w:rsidP="004C567F">
            <w:pPr>
              <w:pStyle w:val="TableTextRight"/>
            </w:pPr>
            <w:r w:rsidRPr="004C567F">
              <w:noBreakHyphen/>
            </w:r>
            <w:r w:rsidR="00B07C2A" w:rsidRPr="004C567F">
              <w:t>1.2</w:t>
            </w:r>
          </w:p>
        </w:tc>
        <w:tc>
          <w:tcPr>
            <w:tcW w:w="419" w:type="pct"/>
            <w:tcBorders>
              <w:top w:val="nil"/>
              <w:left w:val="nil"/>
              <w:bottom w:val="nil"/>
              <w:right w:val="nil"/>
            </w:tcBorders>
            <w:vAlign w:val="bottom"/>
          </w:tcPr>
          <w:p w14:paraId="77B77476" w14:textId="79E4BB0D" w:rsidR="00B07C2A" w:rsidRPr="004C567F" w:rsidRDefault="004B14AB" w:rsidP="004C567F">
            <w:pPr>
              <w:pStyle w:val="TableTextRight"/>
            </w:pPr>
            <w:r w:rsidRPr="004C567F">
              <w:noBreakHyphen/>
            </w:r>
            <w:r w:rsidR="00B07C2A" w:rsidRPr="004C567F">
              <w:t>2.7</w:t>
            </w:r>
          </w:p>
        </w:tc>
        <w:tc>
          <w:tcPr>
            <w:tcW w:w="419" w:type="pct"/>
            <w:tcBorders>
              <w:top w:val="nil"/>
              <w:left w:val="nil"/>
              <w:bottom w:val="nil"/>
              <w:right w:val="nil"/>
            </w:tcBorders>
            <w:vAlign w:val="bottom"/>
          </w:tcPr>
          <w:p w14:paraId="2F17755F" w14:textId="56E8CC0B" w:rsidR="00B07C2A" w:rsidRPr="004C567F" w:rsidRDefault="004B14AB" w:rsidP="004C567F">
            <w:pPr>
              <w:pStyle w:val="TableTextRight"/>
            </w:pPr>
            <w:r w:rsidRPr="004C567F">
              <w:noBreakHyphen/>
            </w:r>
            <w:r w:rsidR="00B07C2A" w:rsidRPr="004C567F">
              <w:t>2.9</w:t>
            </w:r>
          </w:p>
        </w:tc>
      </w:tr>
      <w:tr w:rsidR="00B07C2A" w:rsidRPr="00116886" w14:paraId="76DEC31D" w14:textId="05E2B9AB" w:rsidTr="00FA64CD">
        <w:trPr>
          <w:trHeight w:val="389"/>
        </w:trPr>
        <w:tc>
          <w:tcPr>
            <w:tcW w:w="2067" w:type="pct"/>
            <w:shd w:val="clear" w:color="auto" w:fill="CCE9F2" w:themeFill="accent6" w:themeFillTint="33"/>
          </w:tcPr>
          <w:p w14:paraId="3EFCE7C8" w14:textId="2E835FC4" w:rsidR="00B07C2A" w:rsidRPr="004C567F" w:rsidRDefault="00B07C2A" w:rsidP="004C567F">
            <w:pPr>
              <w:pStyle w:val="TableColumnHeadingLeft"/>
            </w:pPr>
            <w:r w:rsidRPr="004C567F">
              <w:t xml:space="preserve">ABS projection </w:t>
            </w:r>
            <w:r w:rsidR="00FC54D6" w:rsidRPr="004C567F">
              <w:t xml:space="preserve">high </w:t>
            </w:r>
            <w:r w:rsidRPr="004C567F">
              <w:t>series, 2018</w:t>
            </w:r>
          </w:p>
        </w:tc>
        <w:tc>
          <w:tcPr>
            <w:tcW w:w="419" w:type="pct"/>
            <w:tcBorders>
              <w:top w:val="nil"/>
              <w:left w:val="nil"/>
              <w:bottom w:val="nil"/>
              <w:right w:val="nil"/>
            </w:tcBorders>
            <w:shd w:val="clear" w:color="auto" w:fill="CCE9F2" w:themeFill="accent6" w:themeFillTint="33"/>
            <w:vAlign w:val="bottom"/>
          </w:tcPr>
          <w:p w14:paraId="57B60131" w14:textId="3BE8B89C"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7C5889D7" w14:textId="69FF00C0"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6BAD0386" w14:textId="76CCBBE9" w:rsidR="00B07C2A" w:rsidRPr="004C567F" w:rsidRDefault="004B14AB" w:rsidP="004C567F">
            <w:pPr>
              <w:pStyle w:val="TableTextRight"/>
            </w:pPr>
            <w:r w:rsidRPr="004C567F">
              <w:noBreakHyphen/>
            </w:r>
            <w:r w:rsidR="00B07C2A" w:rsidRPr="004C567F">
              <w:t>0.3</w:t>
            </w:r>
          </w:p>
        </w:tc>
        <w:tc>
          <w:tcPr>
            <w:tcW w:w="419" w:type="pct"/>
            <w:tcBorders>
              <w:top w:val="nil"/>
              <w:left w:val="nil"/>
              <w:bottom w:val="nil"/>
              <w:right w:val="nil"/>
            </w:tcBorders>
            <w:shd w:val="clear" w:color="auto" w:fill="CCE9F2" w:themeFill="accent6" w:themeFillTint="33"/>
            <w:vAlign w:val="bottom"/>
          </w:tcPr>
          <w:p w14:paraId="676D26C9" w14:textId="2751C4A5" w:rsidR="00B07C2A" w:rsidRPr="004C567F" w:rsidRDefault="004B14AB" w:rsidP="004C567F">
            <w:pPr>
              <w:pStyle w:val="TableTextRight"/>
            </w:pPr>
            <w:r w:rsidRPr="004C567F">
              <w:noBreakHyphen/>
            </w:r>
            <w:r w:rsidR="00B07C2A" w:rsidRPr="004C567F">
              <w:t>0.6</w:t>
            </w:r>
          </w:p>
        </w:tc>
        <w:tc>
          <w:tcPr>
            <w:tcW w:w="419" w:type="pct"/>
            <w:tcBorders>
              <w:top w:val="nil"/>
              <w:left w:val="nil"/>
              <w:bottom w:val="nil"/>
              <w:right w:val="nil"/>
            </w:tcBorders>
            <w:shd w:val="clear" w:color="auto" w:fill="CCE9F2" w:themeFill="accent6" w:themeFillTint="33"/>
            <w:vAlign w:val="bottom"/>
          </w:tcPr>
          <w:p w14:paraId="6175D7A4" w14:textId="06F1B01B" w:rsidR="00B07C2A" w:rsidRPr="004C567F" w:rsidRDefault="004B14AB" w:rsidP="004C567F">
            <w:pPr>
              <w:pStyle w:val="TableTextRight"/>
            </w:pPr>
            <w:r w:rsidRPr="004C567F">
              <w:noBreakHyphen/>
            </w:r>
            <w:r w:rsidR="00B07C2A" w:rsidRPr="004C567F">
              <w:t>1.1</w:t>
            </w:r>
          </w:p>
        </w:tc>
        <w:tc>
          <w:tcPr>
            <w:tcW w:w="419" w:type="pct"/>
            <w:tcBorders>
              <w:top w:val="nil"/>
              <w:left w:val="nil"/>
              <w:bottom w:val="nil"/>
              <w:right w:val="nil"/>
            </w:tcBorders>
            <w:shd w:val="clear" w:color="auto" w:fill="CCE9F2" w:themeFill="accent6" w:themeFillTint="33"/>
            <w:vAlign w:val="bottom"/>
          </w:tcPr>
          <w:p w14:paraId="00DE9AA1" w14:textId="00FDBE33" w:rsidR="00B07C2A" w:rsidRPr="004C567F" w:rsidRDefault="004B14AB" w:rsidP="004C567F">
            <w:pPr>
              <w:pStyle w:val="TableTextRight"/>
            </w:pPr>
            <w:r w:rsidRPr="004C567F">
              <w:noBreakHyphen/>
            </w:r>
            <w:r w:rsidR="00B07C2A" w:rsidRPr="004C567F">
              <w:t>2.8</w:t>
            </w:r>
          </w:p>
        </w:tc>
        <w:tc>
          <w:tcPr>
            <w:tcW w:w="419" w:type="pct"/>
            <w:tcBorders>
              <w:top w:val="nil"/>
              <w:left w:val="nil"/>
              <w:bottom w:val="nil"/>
              <w:right w:val="nil"/>
            </w:tcBorders>
            <w:shd w:val="clear" w:color="auto" w:fill="CCE9F2" w:themeFill="accent6" w:themeFillTint="33"/>
            <w:vAlign w:val="bottom"/>
          </w:tcPr>
          <w:p w14:paraId="65F998DB" w14:textId="21765B75" w:rsidR="00B07C2A" w:rsidRPr="004C567F" w:rsidRDefault="004B14AB" w:rsidP="004C567F">
            <w:pPr>
              <w:pStyle w:val="TableTextRight"/>
            </w:pPr>
            <w:r w:rsidRPr="004C567F">
              <w:noBreakHyphen/>
            </w:r>
            <w:r w:rsidR="00B07C2A" w:rsidRPr="004C567F">
              <w:t>3.3</w:t>
            </w:r>
          </w:p>
        </w:tc>
      </w:tr>
      <w:tr w:rsidR="00B07C2A" w:rsidRPr="00116886" w14:paraId="53BB29BE" w14:textId="548F6A96" w:rsidTr="00FA64CD">
        <w:trPr>
          <w:trHeight w:val="375"/>
        </w:trPr>
        <w:tc>
          <w:tcPr>
            <w:tcW w:w="2067" w:type="pct"/>
            <w:tcBorders>
              <w:bottom w:val="nil"/>
            </w:tcBorders>
            <w:shd w:val="clear" w:color="auto" w:fill="CCE9F2" w:themeFill="accent6" w:themeFillTint="33"/>
          </w:tcPr>
          <w:p w14:paraId="5AF02B51" w14:textId="238BD34E" w:rsidR="00B07C2A" w:rsidRPr="004C567F" w:rsidRDefault="00B07C2A" w:rsidP="004C567F">
            <w:pPr>
              <w:pStyle w:val="TableColumnHeadingLeft"/>
            </w:pPr>
            <w:r w:rsidRPr="004C567F">
              <w:t xml:space="preserve">ABS projection </w:t>
            </w:r>
            <w:r w:rsidR="004E0315" w:rsidRPr="004C567F">
              <w:t xml:space="preserve">medium </w:t>
            </w:r>
            <w:r w:rsidRPr="004C567F">
              <w:t>series, 2018</w:t>
            </w:r>
          </w:p>
        </w:tc>
        <w:tc>
          <w:tcPr>
            <w:tcW w:w="419" w:type="pct"/>
            <w:tcBorders>
              <w:top w:val="nil"/>
              <w:left w:val="nil"/>
              <w:bottom w:val="nil"/>
              <w:right w:val="nil"/>
            </w:tcBorders>
            <w:shd w:val="clear" w:color="auto" w:fill="CCE9F2" w:themeFill="accent6" w:themeFillTint="33"/>
            <w:vAlign w:val="bottom"/>
          </w:tcPr>
          <w:p w14:paraId="762BD5CD" w14:textId="549F626F"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0AB6097E" w14:textId="019013E2"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0496EF88" w14:textId="0F576EEA" w:rsidR="00B07C2A" w:rsidRPr="004C567F" w:rsidRDefault="004B14AB" w:rsidP="004C567F">
            <w:pPr>
              <w:pStyle w:val="TableTextRight"/>
            </w:pPr>
            <w:r w:rsidRPr="004C567F">
              <w:noBreakHyphen/>
            </w:r>
            <w:r w:rsidR="00B07C2A" w:rsidRPr="004C567F">
              <w:t>0.2</w:t>
            </w:r>
          </w:p>
        </w:tc>
        <w:tc>
          <w:tcPr>
            <w:tcW w:w="419" w:type="pct"/>
            <w:tcBorders>
              <w:top w:val="nil"/>
              <w:left w:val="nil"/>
              <w:bottom w:val="nil"/>
              <w:right w:val="nil"/>
            </w:tcBorders>
            <w:shd w:val="clear" w:color="auto" w:fill="CCE9F2" w:themeFill="accent6" w:themeFillTint="33"/>
            <w:vAlign w:val="bottom"/>
          </w:tcPr>
          <w:p w14:paraId="2D6FF632" w14:textId="2846C820" w:rsidR="00B07C2A" w:rsidRPr="004C567F" w:rsidRDefault="004B14AB" w:rsidP="004C567F">
            <w:pPr>
              <w:pStyle w:val="TableTextRight"/>
            </w:pPr>
            <w:r w:rsidRPr="004C567F">
              <w:noBreakHyphen/>
            </w:r>
            <w:r w:rsidR="00B07C2A" w:rsidRPr="004C567F">
              <w:t>0.4</w:t>
            </w:r>
          </w:p>
        </w:tc>
        <w:tc>
          <w:tcPr>
            <w:tcW w:w="419" w:type="pct"/>
            <w:tcBorders>
              <w:top w:val="nil"/>
              <w:left w:val="nil"/>
              <w:bottom w:val="nil"/>
              <w:right w:val="nil"/>
            </w:tcBorders>
            <w:shd w:val="clear" w:color="auto" w:fill="CCE9F2" w:themeFill="accent6" w:themeFillTint="33"/>
            <w:vAlign w:val="bottom"/>
          </w:tcPr>
          <w:p w14:paraId="3B44A213" w14:textId="3E782CAF" w:rsidR="00B07C2A" w:rsidRPr="004C567F" w:rsidRDefault="004B14AB" w:rsidP="004C567F">
            <w:pPr>
              <w:pStyle w:val="TableTextRight"/>
            </w:pPr>
            <w:r w:rsidRPr="004C567F">
              <w:noBreakHyphen/>
            </w:r>
            <w:r w:rsidR="00B07C2A" w:rsidRPr="004C567F">
              <w:t>0.9</w:t>
            </w:r>
          </w:p>
        </w:tc>
        <w:tc>
          <w:tcPr>
            <w:tcW w:w="419" w:type="pct"/>
            <w:tcBorders>
              <w:top w:val="nil"/>
              <w:left w:val="nil"/>
              <w:bottom w:val="nil"/>
              <w:right w:val="nil"/>
            </w:tcBorders>
            <w:shd w:val="clear" w:color="auto" w:fill="CCE9F2" w:themeFill="accent6" w:themeFillTint="33"/>
            <w:vAlign w:val="bottom"/>
          </w:tcPr>
          <w:p w14:paraId="530A786F" w14:textId="2357087C" w:rsidR="00B07C2A" w:rsidRPr="004C567F" w:rsidRDefault="004B14AB" w:rsidP="004C567F">
            <w:pPr>
              <w:pStyle w:val="TableTextRight"/>
            </w:pPr>
            <w:r w:rsidRPr="004C567F">
              <w:noBreakHyphen/>
            </w:r>
            <w:r w:rsidR="00B07C2A" w:rsidRPr="004C567F">
              <w:t>2.4</w:t>
            </w:r>
          </w:p>
        </w:tc>
        <w:tc>
          <w:tcPr>
            <w:tcW w:w="419" w:type="pct"/>
            <w:tcBorders>
              <w:top w:val="nil"/>
              <w:left w:val="nil"/>
              <w:bottom w:val="nil"/>
              <w:right w:val="nil"/>
            </w:tcBorders>
            <w:shd w:val="clear" w:color="auto" w:fill="CCE9F2" w:themeFill="accent6" w:themeFillTint="33"/>
            <w:vAlign w:val="bottom"/>
          </w:tcPr>
          <w:p w14:paraId="1CF8F1AF" w14:textId="5CED432E" w:rsidR="00B07C2A" w:rsidRPr="004C567F" w:rsidRDefault="004B14AB" w:rsidP="004C567F">
            <w:pPr>
              <w:pStyle w:val="TableTextRight"/>
            </w:pPr>
            <w:r w:rsidRPr="004C567F">
              <w:noBreakHyphen/>
            </w:r>
            <w:r w:rsidR="00B07C2A" w:rsidRPr="004C567F">
              <w:t>2.7</w:t>
            </w:r>
          </w:p>
        </w:tc>
      </w:tr>
      <w:tr w:rsidR="00B07C2A" w:rsidRPr="00116886" w14:paraId="59A4FD78" w14:textId="0E6E768B" w:rsidTr="00FA64CD">
        <w:trPr>
          <w:trHeight w:val="375"/>
        </w:trPr>
        <w:tc>
          <w:tcPr>
            <w:tcW w:w="2067" w:type="pct"/>
            <w:tcBorders>
              <w:bottom w:val="nil"/>
            </w:tcBorders>
            <w:shd w:val="clear" w:color="auto" w:fill="CCE9F2" w:themeFill="accent6" w:themeFillTint="33"/>
          </w:tcPr>
          <w:p w14:paraId="4E3D3BAF" w14:textId="3D512B16" w:rsidR="00B07C2A" w:rsidRPr="004C567F" w:rsidRDefault="00B07C2A" w:rsidP="004C567F">
            <w:pPr>
              <w:pStyle w:val="TableColumnHeadingLeft"/>
            </w:pPr>
            <w:r w:rsidRPr="004C567F">
              <w:t xml:space="preserve">ABS projection </w:t>
            </w:r>
            <w:r w:rsidR="00FC54D6" w:rsidRPr="004C567F">
              <w:t xml:space="preserve">low </w:t>
            </w:r>
            <w:r w:rsidRPr="004C567F">
              <w:t>series, 2018</w:t>
            </w:r>
          </w:p>
        </w:tc>
        <w:tc>
          <w:tcPr>
            <w:tcW w:w="419" w:type="pct"/>
            <w:tcBorders>
              <w:top w:val="nil"/>
              <w:left w:val="nil"/>
              <w:bottom w:val="nil"/>
              <w:right w:val="nil"/>
            </w:tcBorders>
            <w:shd w:val="clear" w:color="auto" w:fill="CCE9F2" w:themeFill="accent6" w:themeFillTint="33"/>
            <w:vAlign w:val="bottom"/>
          </w:tcPr>
          <w:p w14:paraId="6D0DAAD1" w14:textId="15371627"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405EF542" w14:textId="7D5992DB"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CCE9F2" w:themeFill="accent6" w:themeFillTint="33"/>
            <w:vAlign w:val="bottom"/>
          </w:tcPr>
          <w:p w14:paraId="15F3BD05" w14:textId="7063E0B4" w:rsidR="00B07C2A" w:rsidRPr="004C567F" w:rsidRDefault="004B14AB" w:rsidP="004C567F">
            <w:pPr>
              <w:pStyle w:val="TableTextRight"/>
            </w:pPr>
            <w:r w:rsidRPr="004C567F">
              <w:noBreakHyphen/>
            </w:r>
            <w:r w:rsidR="00B07C2A" w:rsidRPr="004C567F">
              <w:t>0.2</w:t>
            </w:r>
          </w:p>
        </w:tc>
        <w:tc>
          <w:tcPr>
            <w:tcW w:w="419" w:type="pct"/>
            <w:tcBorders>
              <w:top w:val="nil"/>
              <w:left w:val="nil"/>
              <w:bottom w:val="nil"/>
              <w:right w:val="nil"/>
            </w:tcBorders>
            <w:shd w:val="clear" w:color="auto" w:fill="CCE9F2" w:themeFill="accent6" w:themeFillTint="33"/>
            <w:vAlign w:val="bottom"/>
          </w:tcPr>
          <w:p w14:paraId="42A72CB4" w14:textId="42B0510D" w:rsidR="00B07C2A" w:rsidRPr="004C567F" w:rsidRDefault="004B14AB" w:rsidP="004C567F">
            <w:pPr>
              <w:pStyle w:val="TableTextRight"/>
            </w:pPr>
            <w:r w:rsidRPr="004C567F">
              <w:noBreakHyphen/>
            </w:r>
            <w:r w:rsidR="00B07C2A" w:rsidRPr="004C567F">
              <w:t>0.3</w:t>
            </w:r>
          </w:p>
        </w:tc>
        <w:tc>
          <w:tcPr>
            <w:tcW w:w="419" w:type="pct"/>
            <w:tcBorders>
              <w:top w:val="nil"/>
              <w:left w:val="nil"/>
              <w:bottom w:val="nil"/>
              <w:right w:val="nil"/>
            </w:tcBorders>
            <w:shd w:val="clear" w:color="auto" w:fill="CCE9F2" w:themeFill="accent6" w:themeFillTint="33"/>
            <w:vAlign w:val="bottom"/>
          </w:tcPr>
          <w:p w14:paraId="226ABE99" w14:textId="01223CB6" w:rsidR="00B07C2A" w:rsidRPr="004C567F" w:rsidRDefault="004B14AB" w:rsidP="004C567F">
            <w:pPr>
              <w:pStyle w:val="TableTextRight"/>
            </w:pPr>
            <w:r w:rsidRPr="004C567F">
              <w:noBreakHyphen/>
            </w:r>
            <w:r w:rsidR="00B07C2A" w:rsidRPr="004C567F">
              <w:t>0.6</w:t>
            </w:r>
          </w:p>
        </w:tc>
        <w:tc>
          <w:tcPr>
            <w:tcW w:w="419" w:type="pct"/>
            <w:tcBorders>
              <w:top w:val="nil"/>
              <w:left w:val="nil"/>
              <w:bottom w:val="nil"/>
              <w:right w:val="nil"/>
            </w:tcBorders>
            <w:shd w:val="clear" w:color="auto" w:fill="CCE9F2" w:themeFill="accent6" w:themeFillTint="33"/>
            <w:vAlign w:val="bottom"/>
          </w:tcPr>
          <w:p w14:paraId="741EB8D0" w14:textId="197FD58E" w:rsidR="00B07C2A" w:rsidRPr="004C567F" w:rsidRDefault="004B14AB" w:rsidP="004C567F">
            <w:pPr>
              <w:pStyle w:val="TableTextRight"/>
            </w:pPr>
            <w:r w:rsidRPr="004C567F">
              <w:noBreakHyphen/>
            </w:r>
            <w:r w:rsidR="00B07C2A" w:rsidRPr="004C567F">
              <w:t>2.0</w:t>
            </w:r>
          </w:p>
        </w:tc>
        <w:tc>
          <w:tcPr>
            <w:tcW w:w="419" w:type="pct"/>
            <w:tcBorders>
              <w:top w:val="nil"/>
              <w:left w:val="nil"/>
              <w:bottom w:val="nil"/>
              <w:right w:val="nil"/>
            </w:tcBorders>
            <w:shd w:val="clear" w:color="auto" w:fill="CCE9F2" w:themeFill="accent6" w:themeFillTint="33"/>
            <w:vAlign w:val="bottom"/>
          </w:tcPr>
          <w:p w14:paraId="3EC67DCD" w14:textId="58306E58" w:rsidR="00B07C2A" w:rsidRPr="004C567F" w:rsidRDefault="004B14AB" w:rsidP="004C567F">
            <w:pPr>
              <w:pStyle w:val="TableTextRight"/>
            </w:pPr>
            <w:r w:rsidRPr="004C567F">
              <w:noBreakHyphen/>
            </w:r>
            <w:r w:rsidR="00B07C2A" w:rsidRPr="004C567F">
              <w:t>2.2</w:t>
            </w:r>
          </w:p>
        </w:tc>
      </w:tr>
      <w:tr w:rsidR="00B07C2A" w:rsidRPr="00116886" w14:paraId="5B38E017" w14:textId="60BE61F1" w:rsidTr="00FA64CD">
        <w:trPr>
          <w:trHeight w:val="389"/>
        </w:trPr>
        <w:tc>
          <w:tcPr>
            <w:tcW w:w="2067" w:type="pct"/>
            <w:tcBorders>
              <w:top w:val="nil"/>
            </w:tcBorders>
          </w:tcPr>
          <w:p w14:paraId="299CD2D1" w14:textId="77777777" w:rsidR="00B07C2A" w:rsidRPr="004C567F" w:rsidRDefault="00B07C2A" w:rsidP="004C567F">
            <w:pPr>
              <w:pStyle w:val="TableColumnHeadingLeft"/>
            </w:pPr>
            <w:r w:rsidRPr="004C567F">
              <w:t>Population Statement 2020</w:t>
            </w:r>
          </w:p>
        </w:tc>
        <w:tc>
          <w:tcPr>
            <w:tcW w:w="419" w:type="pct"/>
            <w:tcBorders>
              <w:top w:val="nil"/>
              <w:left w:val="nil"/>
              <w:bottom w:val="nil"/>
              <w:right w:val="nil"/>
            </w:tcBorders>
            <w:vAlign w:val="bottom"/>
          </w:tcPr>
          <w:p w14:paraId="251F874A" w14:textId="55060F6E" w:rsidR="00B07C2A" w:rsidRPr="004C567F" w:rsidRDefault="004B14AB" w:rsidP="004C567F">
            <w:pPr>
              <w:pStyle w:val="TableTextRight"/>
            </w:pPr>
            <w:r w:rsidRPr="004C567F">
              <w:noBreakHyphen/>
            </w:r>
          </w:p>
        </w:tc>
        <w:tc>
          <w:tcPr>
            <w:tcW w:w="419" w:type="pct"/>
            <w:tcBorders>
              <w:top w:val="nil"/>
              <w:left w:val="nil"/>
              <w:bottom w:val="nil"/>
              <w:right w:val="nil"/>
            </w:tcBorders>
            <w:vAlign w:val="bottom"/>
          </w:tcPr>
          <w:p w14:paraId="4595E2EC" w14:textId="648ACEDE"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222F5313" w14:textId="3C2F07AB"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0C92C37E" w14:textId="73460FF9"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7562661A" w14:textId="4C02B0F9" w:rsidR="00B07C2A" w:rsidRPr="004C567F" w:rsidRDefault="00B07C2A" w:rsidP="004C567F">
            <w:pPr>
              <w:pStyle w:val="TableTextRight"/>
            </w:pPr>
            <w:r w:rsidRPr="004C567F">
              <w:t>0.0</w:t>
            </w:r>
          </w:p>
        </w:tc>
        <w:tc>
          <w:tcPr>
            <w:tcW w:w="419" w:type="pct"/>
            <w:tcBorders>
              <w:top w:val="nil"/>
              <w:left w:val="nil"/>
              <w:bottom w:val="nil"/>
              <w:right w:val="nil"/>
            </w:tcBorders>
            <w:vAlign w:val="bottom"/>
          </w:tcPr>
          <w:p w14:paraId="5AF3EF86" w14:textId="61DFB007" w:rsidR="00B07C2A" w:rsidRPr="004C567F" w:rsidRDefault="004B14AB" w:rsidP="004C567F">
            <w:pPr>
              <w:pStyle w:val="TableTextRight"/>
            </w:pPr>
            <w:r w:rsidRPr="004C567F">
              <w:noBreakHyphen/>
            </w:r>
            <w:r w:rsidR="00B07C2A" w:rsidRPr="004C567F">
              <w:t>0.1</w:t>
            </w:r>
          </w:p>
        </w:tc>
        <w:tc>
          <w:tcPr>
            <w:tcW w:w="419" w:type="pct"/>
            <w:tcBorders>
              <w:top w:val="nil"/>
              <w:left w:val="nil"/>
              <w:bottom w:val="nil"/>
              <w:right w:val="nil"/>
            </w:tcBorders>
            <w:vAlign w:val="bottom"/>
          </w:tcPr>
          <w:p w14:paraId="02C04554" w14:textId="22C5A733" w:rsidR="00B07C2A" w:rsidRPr="004C567F" w:rsidRDefault="00B07C2A" w:rsidP="004C567F">
            <w:pPr>
              <w:pStyle w:val="TableTextRight"/>
            </w:pPr>
            <w:r w:rsidRPr="004C567F">
              <w:t>0.8</w:t>
            </w:r>
          </w:p>
        </w:tc>
      </w:tr>
      <w:tr w:rsidR="00E13E21" w:rsidRPr="00116886" w14:paraId="3F8B3921" w14:textId="77777777" w:rsidTr="00FA64CD">
        <w:trPr>
          <w:trHeight w:val="375"/>
        </w:trPr>
        <w:tc>
          <w:tcPr>
            <w:tcW w:w="2067" w:type="pct"/>
          </w:tcPr>
          <w:p w14:paraId="5F903BD5" w14:textId="4F325005" w:rsidR="00E13E21" w:rsidRPr="004C567F" w:rsidRDefault="00E13E21" w:rsidP="004C567F">
            <w:pPr>
              <w:pStyle w:val="TableColumnHeadingLeft"/>
            </w:pPr>
            <w:r w:rsidRPr="004C567F">
              <w:t>Intergenerational Report, 2021</w:t>
            </w:r>
          </w:p>
        </w:tc>
        <w:tc>
          <w:tcPr>
            <w:tcW w:w="419" w:type="pct"/>
            <w:tcBorders>
              <w:top w:val="nil"/>
              <w:left w:val="nil"/>
              <w:bottom w:val="nil"/>
              <w:right w:val="nil"/>
            </w:tcBorders>
            <w:vAlign w:val="bottom"/>
          </w:tcPr>
          <w:p w14:paraId="3B544E4B" w14:textId="5D70DE06" w:rsidR="00E13E21" w:rsidRPr="004C567F" w:rsidRDefault="004B14AB" w:rsidP="004C567F">
            <w:pPr>
              <w:pStyle w:val="TableTextRight"/>
            </w:pPr>
            <w:r w:rsidRPr="004C567F">
              <w:noBreakHyphen/>
            </w:r>
          </w:p>
        </w:tc>
        <w:tc>
          <w:tcPr>
            <w:tcW w:w="419" w:type="pct"/>
            <w:tcBorders>
              <w:top w:val="nil"/>
              <w:left w:val="nil"/>
              <w:bottom w:val="nil"/>
              <w:right w:val="nil"/>
            </w:tcBorders>
            <w:vAlign w:val="bottom"/>
          </w:tcPr>
          <w:p w14:paraId="2C4C6D03" w14:textId="4E027215" w:rsidR="00E13E21"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0AFED6CC" w14:textId="4EDF6AAB" w:rsidR="00E13E21"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6D830741" w14:textId="6C0BF032" w:rsidR="00E13E21"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56BA3CD3" w14:textId="210A9258" w:rsidR="00E13E21" w:rsidRPr="004C567F" w:rsidRDefault="004B14AB" w:rsidP="004C567F">
            <w:pPr>
              <w:pStyle w:val="TableTextRight"/>
            </w:pPr>
            <w:r w:rsidRPr="004C567F">
              <w:noBreakHyphen/>
            </w:r>
          </w:p>
        </w:tc>
        <w:tc>
          <w:tcPr>
            <w:tcW w:w="419" w:type="pct"/>
            <w:tcBorders>
              <w:top w:val="nil"/>
              <w:left w:val="nil"/>
              <w:bottom w:val="nil"/>
              <w:right w:val="nil"/>
            </w:tcBorders>
            <w:vAlign w:val="bottom"/>
          </w:tcPr>
          <w:p w14:paraId="41BC605D" w14:textId="2D9D0E44" w:rsidR="00E13E21" w:rsidRPr="004C567F" w:rsidRDefault="004B14AB" w:rsidP="004C567F">
            <w:pPr>
              <w:pStyle w:val="TableTextRight"/>
            </w:pPr>
            <w:r w:rsidRPr="004C567F">
              <w:noBreakHyphen/>
            </w:r>
            <w:r w:rsidR="00E13E21" w:rsidRPr="004C567F">
              <w:t>0.2</w:t>
            </w:r>
          </w:p>
        </w:tc>
        <w:tc>
          <w:tcPr>
            <w:tcW w:w="419" w:type="pct"/>
            <w:tcBorders>
              <w:top w:val="nil"/>
              <w:left w:val="nil"/>
              <w:bottom w:val="nil"/>
              <w:right w:val="nil"/>
            </w:tcBorders>
            <w:vAlign w:val="bottom"/>
          </w:tcPr>
          <w:p w14:paraId="72C9B755" w14:textId="7BEAD726" w:rsidR="00E13E21" w:rsidRPr="004C567F" w:rsidRDefault="00E13E21" w:rsidP="004C567F">
            <w:pPr>
              <w:pStyle w:val="TableTextRight"/>
            </w:pPr>
            <w:r w:rsidRPr="004C567F">
              <w:t>0.9</w:t>
            </w:r>
          </w:p>
        </w:tc>
      </w:tr>
      <w:tr w:rsidR="00B07C2A" w:rsidRPr="00116886" w14:paraId="2D6DD43C" w14:textId="54A74661" w:rsidTr="00FA64CD">
        <w:trPr>
          <w:trHeight w:val="375"/>
        </w:trPr>
        <w:tc>
          <w:tcPr>
            <w:tcW w:w="2067" w:type="pct"/>
          </w:tcPr>
          <w:p w14:paraId="2FF9A839" w14:textId="17FEC29E" w:rsidR="00B07C2A" w:rsidRPr="004C567F" w:rsidRDefault="00B07C2A" w:rsidP="004C567F">
            <w:pPr>
              <w:pStyle w:val="TableColumnHeadingLeft"/>
            </w:pPr>
            <w:r w:rsidRPr="004C567F">
              <w:t>Population Statement 2021</w:t>
            </w:r>
          </w:p>
        </w:tc>
        <w:tc>
          <w:tcPr>
            <w:tcW w:w="419" w:type="pct"/>
            <w:tcBorders>
              <w:top w:val="nil"/>
              <w:left w:val="nil"/>
              <w:bottom w:val="nil"/>
              <w:right w:val="nil"/>
            </w:tcBorders>
            <w:vAlign w:val="bottom"/>
          </w:tcPr>
          <w:p w14:paraId="73B7BDEC" w14:textId="7D390770" w:rsidR="00B07C2A" w:rsidRPr="004C567F" w:rsidRDefault="004B14AB" w:rsidP="004C567F">
            <w:pPr>
              <w:pStyle w:val="TableTextRight"/>
            </w:pPr>
            <w:r w:rsidRPr="004C567F">
              <w:noBreakHyphen/>
            </w:r>
          </w:p>
        </w:tc>
        <w:tc>
          <w:tcPr>
            <w:tcW w:w="419" w:type="pct"/>
            <w:tcBorders>
              <w:top w:val="nil"/>
              <w:left w:val="nil"/>
              <w:bottom w:val="nil"/>
              <w:right w:val="nil"/>
            </w:tcBorders>
            <w:vAlign w:val="bottom"/>
          </w:tcPr>
          <w:p w14:paraId="6AFE0DD4" w14:textId="0FDF517F"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2F656B0A" w14:textId="054627B8"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60C81D32" w14:textId="6F6E6242" w:rsidR="00B07C2A" w:rsidRPr="004C567F" w:rsidRDefault="004B14AB" w:rsidP="004C567F">
            <w:pPr>
              <w:pStyle w:val="TableTextRight"/>
            </w:pPr>
            <w:r w:rsidRPr="004C567F">
              <w:noBreakHyphen/>
            </w:r>
          </w:p>
        </w:tc>
        <w:tc>
          <w:tcPr>
            <w:tcW w:w="419" w:type="pct"/>
            <w:tcBorders>
              <w:top w:val="nil"/>
              <w:left w:val="nil"/>
              <w:bottom w:val="nil"/>
              <w:right w:val="nil"/>
            </w:tcBorders>
            <w:shd w:val="clear" w:color="auto" w:fill="FFFFFF" w:themeFill="background1"/>
            <w:vAlign w:val="bottom"/>
          </w:tcPr>
          <w:p w14:paraId="7814FAB3" w14:textId="78BC6274" w:rsidR="00B07C2A" w:rsidRPr="004C567F" w:rsidRDefault="004B14AB" w:rsidP="004C567F">
            <w:pPr>
              <w:pStyle w:val="TableTextRight"/>
            </w:pPr>
            <w:r w:rsidRPr="004C567F">
              <w:noBreakHyphen/>
            </w:r>
          </w:p>
        </w:tc>
        <w:tc>
          <w:tcPr>
            <w:tcW w:w="419" w:type="pct"/>
            <w:tcBorders>
              <w:top w:val="nil"/>
              <w:left w:val="nil"/>
              <w:bottom w:val="nil"/>
              <w:right w:val="nil"/>
            </w:tcBorders>
            <w:vAlign w:val="bottom"/>
          </w:tcPr>
          <w:p w14:paraId="57E2A8AD" w14:textId="6E19EC4E" w:rsidR="00B07C2A" w:rsidRPr="004C567F" w:rsidRDefault="004B14AB" w:rsidP="004C567F">
            <w:pPr>
              <w:pStyle w:val="TableTextRight"/>
            </w:pPr>
            <w:r w:rsidRPr="004C567F">
              <w:noBreakHyphen/>
            </w:r>
            <w:r w:rsidR="00B07C2A" w:rsidRPr="004C567F">
              <w:t>0.2</w:t>
            </w:r>
          </w:p>
        </w:tc>
        <w:tc>
          <w:tcPr>
            <w:tcW w:w="419" w:type="pct"/>
            <w:tcBorders>
              <w:top w:val="nil"/>
              <w:left w:val="nil"/>
              <w:bottom w:val="nil"/>
              <w:right w:val="nil"/>
            </w:tcBorders>
            <w:vAlign w:val="bottom"/>
          </w:tcPr>
          <w:p w14:paraId="3043EA08" w14:textId="702A5E21" w:rsidR="00B07C2A" w:rsidRPr="004C567F" w:rsidRDefault="00B07C2A" w:rsidP="004C567F">
            <w:pPr>
              <w:pStyle w:val="TableTextRight"/>
            </w:pPr>
            <w:r w:rsidRPr="004C567F">
              <w:t>0.8</w:t>
            </w:r>
          </w:p>
        </w:tc>
      </w:tr>
      <w:tr w:rsidR="00005AF1" w:rsidRPr="00116886" w14:paraId="59BD0B8B" w14:textId="77777777" w:rsidTr="00FA64CD">
        <w:trPr>
          <w:trHeight w:val="389"/>
        </w:trPr>
        <w:tc>
          <w:tcPr>
            <w:tcW w:w="2067" w:type="pct"/>
          </w:tcPr>
          <w:p w14:paraId="05E1AA91" w14:textId="4E90B627" w:rsidR="00B07C2A" w:rsidRPr="004C567F" w:rsidRDefault="00B07C2A" w:rsidP="004C567F">
            <w:pPr>
              <w:pStyle w:val="TableColumnHeadingLeft"/>
            </w:pPr>
            <w:r w:rsidRPr="004C567F">
              <w:t>Population Statement 2022</w:t>
            </w:r>
          </w:p>
        </w:tc>
        <w:tc>
          <w:tcPr>
            <w:tcW w:w="419" w:type="pct"/>
            <w:tcBorders>
              <w:top w:val="nil"/>
              <w:left w:val="nil"/>
              <w:bottom w:val="single" w:sz="4" w:space="0" w:color="auto"/>
              <w:right w:val="nil"/>
            </w:tcBorders>
            <w:vAlign w:val="bottom"/>
          </w:tcPr>
          <w:p w14:paraId="229EAE13" w14:textId="738B6963"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vAlign w:val="bottom"/>
          </w:tcPr>
          <w:p w14:paraId="3C88CA8C" w14:textId="46570150"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shd w:val="clear" w:color="auto" w:fill="FFFFFF" w:themeFill="background1"/>
            <w:vAlign w:val="bottom"/>
          </w:tcPr>
          <w:p w14:paraId="66CF26D0" w14:textId="12DA27C4"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shd w:val="clear" w:color="auto" w:fill="FFFFFF" w:themeFill="background1"/>
            <w:vAlign w:val="bottom"/>
          </w:tcPr>
          <w:p w14:paraId="3410DE1E" w14:textId="56344B8A"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shd w:val="clear" w:color="auto" w:fill="FFFFFF" w:themeFill="background1"/>
            <w:vAlign w:val="bottom"/>
          </w:tcPr>
          <w:p w14:paraId="0625F59A" w14:textId="2F42D5F5"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vAlign w:val="bottom"/>
          </w:tcPr>
          <w:p w14:paraId="794BBA1B" w14:textId="3216F644" w:rsidR="00B07C2A" w:rsidRPr="004C567F" w:rsidRDefault="004B14AB" w:rsidP="004C567F">
            <w:pPr>
              <w:pStyle w:val="TableTextRight"/>
            </w:pPr>
            <w:r w:rsidRPr="004C567F">
              <w:noBreakHyphen/>
            </w:r>
          </w:p>
        </w:tc>
        <w:tc>
          <w:tcPr>
            <w:tcW w:w="419" w:type="pct"/>
            <w:tcBorders>
              <w:top w:val="nil"/>
              <w:left w:val="nil"/>
              <w:bottom w:val="single" w:sz="4" w:space="0" w:color="auto"/>
              <w:right w:val="nil"/>
            </w:tcBorders>
            <w:vAlign w:val="bottom"/>
          </w:tcPr>
          <w:p w14:paraId="7C8931E6" w14:textId="2A112B8E" w:rsidR="00B07C2A" w:rsidRPr="004C567F" w:rsidRDefault="00B07C2A" w:rsidP="004C567F">
            <w:pPr>
              <w:pStyle w:val="TableTextRight"/>
            </w:pPr>
            <w:r w:rsidRPr="004C567F">
              <w:t>0.2</w:t>
            </w:r>
          </w:p>
        </w:tc>
      </w:tr>
    </w:tbl>
    <w:p w14:paraId="6FB44DBE" w14:textId="35F25583" w:rsidR="00750C32" w:rsidRPr="00ED5B08" w:rsidRDefault="00750C32" w:rsidP="00E11D0C">
      <w:pPr>
        <w:pStyle w:val="Source"/>
        <w:spacing w:before="100" w:after="0"/>
      </w:pPr>
      <w:r w:rsidRPr="00ED5B08">
        <w:t>Note:</w:t>
      </w:r>
      <w:r w:rsidR="00ED5B08">
        <w:tab/>
      </w:r>
      <w:r w:rsidRPr="00ED5B08">
        <w:t>Positive numbers indicate an underestimation while negative numbers indicate an overestimation.</w:t>
      </w:r>
    </w:p>
    <w:p w14:paraId="73175D8B" w14:textId="23BB9544" w:rsidR="00750C32" w:rsidRPr="00F67DB6" w:rsidRDefault="00750C32" w:rsidP="00807A78">
      <w:pPr>
        <w:pStyle w:val="Source"/>
        <w:rPr>
          <w:rStyle w:val="Hyperlink"/>
          <w:color w:val="000000"/>
        </w:rPr>
      </w:pPr>
      <w:r w:rsidRPr="00ED5B08">
        <w:t xml:space="preserve">Source: </w:t>
      </w:r>
      <w:r w:rsidR="00ED5B08">
        <w:tab/>
      </w:r>
      <w:r w:rsidR="00DD1DCF" w:rsidRPr="00ED5B08">
        <w:t>ABS</w:t>
      </w:r>
      <w:r w:rsidRPr="00ED5B08">
        <w:t>, National, state and territory population, March 2023</w:t>
      </w:r>
      <w:r w:rsidR="00195D77">
        <w:t>,</w:t>
      </w:r>
      <w:r w:rsidR="00396F1D">
        <w:t xml:space="preserve"> ABS, Population Projections, </w:t>
      </w:r>
      <w:r w:rsidR="0042749E">
        <w:t>201</w:t>
      </w:r>
      <w:r w:rsidR="00CE2C7C">
        <w:t xml:space="preserve">7 (base) </w:t>
      </w:r>
      <w:r w:rsidR="00CE2C7C" w:rsidRPr="00703EF7">
        <w:t>–</w:t>
      </w:r>
      <w:r w:rsidR="00CE2C7C">
        <w:t xml:space="preserve"> 2066</w:t>
      </w:r>
      <w:r w:rsidR="00195D77">
        <w:t>,</w:t>
      </w:r>
      <w:r w:rsidR="00396F1D">
        <w:t xml:space="preserve"> </w:t>
      </w:r>
      <w:r w:rsidR="00E843DB">
        <w:t>the Commonwealth of Australia</w:t>
      </w:r>
      <w:r w:rsidR="008845F4">
        <w:t>, 2021 Intergenerational Report</w:t>
      </w:r>
      <w:r w:rsidRPr="00ED5B08">
        <w:t xml:space="preserve"> and Centre for Population projections.</w:t>
      </w:r>
    </w:p>
    <w:p w14:paraId="08491BC5" w14:textId="455F0EA1" w:rsidR="006B3D42" w:rsidRDefault="003C66A7" w:rsidP="002375F0">
      <w:r>
        <w:t xml:space="preserve">Previous </w:t>
      </w:r>
      <w:r w:rsidR="009672CE">
        <w:t xml:space="preserve">Population Statements </w:t>
      </w:r>
      <w:r w:rsidR="00FC63D7">
        <w:t>have</w:t>
      </w:r>
      <w:r w:rsidR="009672CE">
        <w:t xml:space="preserve"> accurately captured national growth in the first forecast year but have</w:t>
      </w:r>
      <w:r w:rsidR="00CE0DB7">
        <w:t xml:space="preserve"> </w:t>
      </w:r>
      <w:r w:rsidR="00EA5127">
        <w:t xml:space="preserve">consistently </w:t>
      </w:r>
      <w:r w:rsidR="00CE0DB7">
        <w:t>under</w:t>
      </w:r>
      <w:r w:rsidR="00E22CF3">
        <w:t xml:space="preserve">estimated </w:t>
      </w:r>
      <w:r w:rsidR="00B25225">
        <w:t>post</w:t>
      </w:r>
      <w:r w:rsidR="004B14AB">
        <w:noBreakHyphen/>
      </w:r>
      <w:r w:rsidR="00B25225">
        <w:t>pan</w:t>
      </w:r>
      <w:r w:rsidR="007D10C2">
        <w:t>demic growth (</w:t>
      </w:r>
      <w:r w:rsidR="00BE6B8D">
        <w:fldChar w:fldCharType="begin"/>
      </w:r>
      <w:r w:rsidR="00BE6B8D">
        <w:instrText xml:space="preserve"> REF _Ref117701101 \r \h </w:instrText>
      </w:r>
      <w:r w:rsidR="00ED5B08">
        <w:instrText xml:space="preserve"> \* MERGEFORMAT </w:instrText>
      </w:r>
      <w:r w:rsidR="00BE6B8D">
        <w:fldChar w:fldCharType="separate"/>
      </w:r>
      <w:r w:rsidR="00CE6FEA">
        <w:t>Chart 33</w:t>
      </w:r>
      <w:r w:rsidR="00BE6B8D">
        <w:fldChar w:fldCharType="end"/>
      </w:r>
      <w:r w:rsidR="007D10C2">
        <w:t xml:space="preserve">). </w:t>
      </w:r>
      <w:r w:rsidR="009C66CC">
        <w:t>The latest Statement forecasts s</w:t>
      </w:r>
      <w:r w:rsidR="00BB0DA2">
        <w:t xml:space="preserve">tronger </w:t>
      </w:r>
      <w:r w:rsidR="00CB03E5">
        <w:t>population</w:t>
      </w:r>
      <w:r w:rsidR="00BB0DA2">
        <w:t xml:space="preserve"> growth</w:t>
      </w:r>
      <w:r w:rsidR="00083B40">
        <w:t xml:space="preserve"> over the forecast period</w:t>
      </w:r>
      <w:r w:rsidR="00BB0DA2">
        <w:t>.</w:t>
      </w:r>
    </w:p>
    <w:p w14:paraId="4A065015" w14:textId="5E631060" w:rsidR="006B3D42" w:rsidRPr="00ED5B08" w:rsidRDefault="006B3D42" w:rsidP="002375F0">
      <w:pPr>
        <w:pStyle w:val="ChartMainHeading"/>
      </w:pPr>
      <w:bookmarkStart w:id="213" w:name="_Ref117701101"/>
      <w:bookmarkStart w:id="214" w:name="_Ref117700990"/>
      <w:r w:rsidRPr="00ED5B08">
        <w:t>Actual and forecasted annual population growth rates, Australia</w:t>
      </w:r>
      <w:bookmarkEnd w:id="213"/>
      <w:bookmarkEnd w:id="214"/>
    </w:p>
    <w:p w14:paraId="2613BAAC" w14:textId="362C01A5" w:rsidR="00834A04" w:rsidRDefault="00201D6B" w:rsidP="008454A0">
      <w:pPr>
        <w:pStyle w:val="nospace"/>
      </w:pPr>
      <w:r w:rsidRPr="00201D6B">
        <w:rPr>
          <w:noProof/>
        </w:rPr>
        <w:drawing>
          <wp:inline distT="0" distB="0" distL="0" distR="0" wp14:anchorId="4F0B6D35" wp14:editId="6FF67929">
            <wp:extent cx="5581650" cy="2886075"/>
            <wp:effectExtent l="0" t="0" r="0" b="0"/>
            <wp:docPr id="25" name="Picture 25" descr="The chart shows Australia's annual population growth rate, from 2016-17 to 2021-22, compared to the forecast growth rates in the 2020, 2021, 2022 and 2023 Population Statements up to 2026-27. Actual population growth has generally exceeded the forecasts post-pandemic. The 2023 Population Statement has forecast the highest growth from 2022-23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chart shows Australia's annual population growth rate, from 2016-17 to 2021-22, compared to the forecast growth rates in the 2020, 2021, 2022 and 2023 Population Statements up to 2026-27. Actual population growth has generally exceeded the forecasts post-pandemic. The 2023 Population Statement has forecast the highest growth from 2022-23 onward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06D6AF53" w14:textId="1A3F9B73" w:rsidR="00DD5049" w:rsidRDefault="000B26E3" w:rsidP="008454A0">
      <w:pPr>
        <w:pStyle w:val="Source"/>
        <w:rPr>
          <w:rStyle w:val="Hyperlink"/>
          <w:rFonts w:ascii="Calibri" w:eastAsia="Times New Roman" w:hAnsi="Calibri" w:cs="Times New Roman"/>
          <w:lang w:eastAsia="en-AU"/>
        </w:rPr>
      </w:pPr>
      <w:r w:rsidRPr="00116886">
        <w:t>Source:</w:t>
      </w:r>
      <w:r w:rsidR="00ED5B08">
        <w:tab/>
      </w:r>
      <w:r w:rsidR="00DD1DCF">
        <w:rPr>
          <w:noProof/>
        </w:rPr>
        <w:t>ABS</w:t>
      </w:r>
      <w:r>
        <w:rPr>
          <w:noProof/>
        </w:rPr>
        <w:t xml:space="preserve">, National, state and territory population, March </w:t>
      </w:r>
      <w:r w:rsidR="007E08F1">
        <w:rPr>
          <w:noProof/>
        </w:rPr>
        <w:t>2023 and</w:t>
      </w:r>
      <w:r w:rsidRPr="00116886">
        <w:t xml:space="preserve"> Centre for Population projections.</w:t>
      </w:r>
    </w:p>
    <w:p w14:paraId="51EB6D3F" w14:textId="77777777" w:rsidR="00F91CB9" w:rsidRDefault="00F91CB9">
      <w:pPr>
        <w:spacing w:before="0" w:after="160" w:line="259" w:lineRule="auto"/>
        <w:rPr>
          <w:b/>
          <w:smallCaps/>
          <w:color w:val="002C47" w:themeColor="accent1"/>
          <w:spacing w:val="15"/>
        </w:rPr>
      </w:pPr>
      <w:r>
        <w:br w:type="page"/>
      </w:r>
    </w:p>
    <w:p w14:paraId="6349F18F" w14:textId="742F3404" w:rsidR="00833057" w:rsidRPr="00ED5B08" w:rsidRDefault="00833057" w:rsidP="00C80802">
      <w:pPr>
        <w:pStyle w:val="Heading3Numbered"/>
      </w:pPr>
      <w:r w:rsidRPr="00ED5B08">
        <w:lastRenderedPageBreak/>
        <w:t>State and territory forecasts</w:t>
      </w:r>
    </w:p>
    <w:p w14:paraId="3E25463E" w14:textId="0E5F5860" w:rsidR="004B4BB1" w:rsidRDefault="00A33A9E" w:rsidP="00ED5B08">
      <w:r>
        <w:t>The largest difference</w:t>
      </w:r>
      <w:r w:rsidR="00117994">
        <w:t xml:space="preserve"> between</w:t>
      </w:r>
      <w:r>
        <w:t xml:space="preserve"> state level population forecasts </w:t>
      </w:r>
      <w:r w:rsidR="00A03386">
        <w:t xml:space="preserve">and outcomes </w:t>
      </w:r>
      <w:r w:rsidR="00E74D2A">
        <w:t xml:space="preserve">have tended to be </w:t>
      </w:r>
      <w:r>
        <w:t xml:space="preserve">for the </w:t>
      </w:r>
      <w:r w:rsidR="00E74D2A">
        <w:t>states</w:t>
      </w:r>
      <w:r>
        <w:t xml:space="preserve"> and </w:t>
      </w:r>
      <w:r w:rsidR="00E74D2A">
        <w:t>ter</w:t>
      </w:r>
      <w:r w:rsidR="004B4BB1">
        <w:t>ritories with smaller population</w:t>
      </w:r>
      <w:r w:rsidR="00AC76E0">
        <w:t>s</w:t>
      </w:r>
      <w:r>
        <w:t xml:space="preserve"> (</w:t>
      </w:r>
      <w:r w:rsidR="00BE02BB">
        <w:fldChar w:fldCharType="begin"/>
      </w:r>
      <w:r w:rsidR="00BE02BB">
        <w:instrText xml:space="preserve"> REF _Ref151464560 \r \h </w:instrText>
      </w:r>
      <w:r w:rsidR="00ED5B08">
        <w:instrText xml:space="preserve"> \* MERGEFORMAT </w:instrText>
      </w:r>
      <w:r w:rsidR="00BE02BB">
        <w:fldChar w:fldCharType="separate"/>
      </w:r>
      <w:r w:rsidR="00CE6FEA">
        <w:t>Chart 34</w:t>
      </w:r>
      <w:r w:rsidR="00BE02BB">
        <w:fldChar w:fldCharType="end"/>
      </w:r>
      <w:r w:rsidR="00BE6B8D">
        <w:t>)</w:t>
      </w:r>
      <w:r w:rsidR="00E12804">
        <w:t>.</w:t>
      </w:r>
    </w:p>
    <w:p w14:paraId="33E6F9BC" w14:textId="7D04D0AD" w:rsidR="004A0A84" w:rsidRDefault="00150884" w:rsidP="00ED5B08">
      <w:r>
        <w:t xml:space="preserve">In the 2022 Population Statement, the largest forecast errors </w:t>
      </w:r>
      <w:r w:rsidR="0008278D">
        <w:t>in</w:t>
      </w:r>
      <w:r w:rsidR="001F3B6F">
        <w:t> per cent</w:t>
      </w:r>
      <w:r w:rsidR="0008278D">
        <w:t xml:space="preserve"> terms</w:t>
      </w:r>
      <w:r>
        <w:t xml:space="preserve"> are </w:t>
      </w:r>
      <w:r w:rsidR="00225708">
        <w:t>mostly</w:t>
      </w:r>
      <w:r>
        <w:t xml:space="preserve"> attributable to </w:t>
      </w:r>
      <w:r w:rsidR="00431951">
        <w:t xml:space="preserve">differences </w:t>
      </w:r>
      <w:r w:rsidR="001C4758">
        <w:t xml:space="preserve">between </w:t>
      </w:r>
      <w:r w:rsidR="00431951">
        <w:t>the forecast</w:t>
      </w:r>
      <w:r w:rsidR="00F30961">
        <w:t xml:space="preserve"> </w:t>
      </w:r>
      <w:r w:rsidR="00A1566C">
        <w:t>and actual</w:t>
      </w:r>
      <w:r w:rsidR="001C4758">
        <w:t xml:space="preserve"> data</w:t>
      </w:r>
      <w:r w:rsidR="00A1566C">
        <w:t xml:space="preserve"> for </w:t>
      </w:r>
      <w:r w:rsidR="001B2434">
        <w:t xml:space="preserve">net </w:t>
      </w:r>
      <w:r w:rsidR="00A1566C">
        <w:t>interstate migration</w:t>
      </w:r>
      <w:r w:rsidR="00B35DAD">
        <w:t>, which were impacted by the COVID</w:t>
      </w:r>
      <w:r w:rsidR="004B14AB">
        <w:noBreakHyphen/>
      </w:r>
      <w:r w:rsidR="00B35DAD">
        <w:t>19 mass vaccination program (page</w:t>
      </w:r>
      <w:r w:rsidR="00023FD1">
        <w:t>s 23</w:t>
      </w:r>
      <w:r w:rsidR="00D06F46">
        <w:t>–</w:t>
      </w:r>
      <w:r w:rsidR="00023FD1">
        <w:t xml:space="preserve">24 and </w:t>
      </w:r>
      <w:r w:rsidR="00741685">
        <w:t>53</w:t>
      </w:r>
      <w:r w:rsidR="00D06F46">
        <w:t>–</w:t>
      </w:r>
      <w:r w:rsidR="00741685">
        <w:t>54</w:t>
      </w:r>
      <w:r w:rsidR="006A51C0">
        <w:t xml:space="preserve"> of the 2022</w:t>
      </w:r>
      <w:r w:rsidR="006A51C0" w:rsidDel="00C77A70">
        <w:t xml:space="preserve"> </w:t>
      </w:r>
      <w:r w:rsidR="006A51C0">
        <w:t>Population Statement</w:t>
      </w:r>
      <w:r w:rsidR="00741685">
        <w:t>).</w:t>
      </w:r>
      <w:r w:rsidR="00A1566C">
        <w:t xml:space="preserve"> Higher than expected </w:t>
      </w:r>
      <w:r w:rsidR="008D3629">
        <w:t xml:space="preserve">net overseas migration </w:t>
      </w:r>
      <w:r w:rsidR="00DA3004">
        <w:t xml:space="preserve">was </w:t>
      </w:r>
      <w:r w:rsidR="008D3629">
        <w:t>the largest contributor to the forecast errors for Queensland and Western Australia.</w:t>
      </w:r>
    </w:p>
    <w:p w14:paraId="3BB1F145" w14:textId="5381A3FA" w:rsidR="00C23571" w:rsidRDefault="00A33A9E" w:rsidP="00ED5B08">
      <w:r>
        <w:t xml:space="preserve">The 2021 Census revision of outcomes included major revisions to the base estimates used in the </w:t>
      </w:r>
      <w:r w:rsidR="00773413">
        <w:t>2021</w:t>
      </w:r>
      <w:r w:rsidR="007A404A">
        <w:t> </w:t>
      </w:r>
      <w:r w:rsidR="00773413">
        <w:t>Population Statement, which resulted in</w:t>
      </w:r>
      <w:r>
        <w:t xml:space="preserve"> </w:t>
      </w:r>
      <w:r w:rsidR="00773413">
        <w:t>large</w:t>
      </w:r>
      <w:r>
        <w:t xml:space="preserve"> forecast error</w:t>
      </w:r>
      <w:r w:rsidR="00773413">
        <w:t>s</w:t>
      </w:r>
      <w:r>
        <w:t xml:space="preserve"> for most states.</w:t>
      </w:r>
    </w:p>
    <w:p w14:paraId="02D06BA5" w14:textId="5AA70840" w:rsidR="00C23571" w:rsidRPr="00ED5B08" w:rsidRDefault="009F4F67" w:rsidP="002375F0">
      <w:pPr>
        <w:pStyle w:val="ChartMainHeading"/>
      </w:pPr>
      <w:bookmarkStart w:id="215" w:name="_Ref151464560"/>
      <w:r w:rsidRPr="00ED5B08">
        <w:t xml:space="preserve">Difference between population forecasts and outcome, by state, </w:t>
      </w:r>
      <w:r w:rsidR="00BE02BB" w:rsidRPr="00ED5B08">
        <w:t xml:space="preserve">30 June </w:t>
      </w:r>
      <w:r w:rsidRPr="00ED5B08">
        <w:t>2022</w:t>
      </w:r>
      <w:bookmarkEnd w:id="215"/>
    </w:p>
    <w:p w14:paraId="10BE442E" w14:textId="22FDCF23" w:rsidR="00C23571" w:rsidRDefault="00D977FE" w:rsidP="002375F0">
      <w:pPr>
        <w:pStyle w:val="ChartGraphic"/>
      </w:pPr>
      <w:r>
        <w:rPr>
          <w:noProof/>
        </w:rPr>
        <w:drawing>
          <wp:inline distT="0" distB="0" distL="0" distR="0" wp14:anchorId="64E30FAF" wp14:editId="0A28661F">
            <wp:extent cx="5581648" cy="2886075"/>
            <wp:effectExtent l="0" t="0" r="0" b="9525"/>
            <wp:docPr id="51" name="Picture 51" descr="The chart shows, in percentage terms, the difference between population forecasts for 30 June 2022 in the 2020, 2021 and 2022 Population Statements and the population outcome, by state. The largest differences have been for Western Australia, Tasmania, the Northern Territory and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chart shows, in percentage terms, the difference between population forecasts for 30 June 2022 in the 2020, 2021 and 2022 Population Statements and the population outcome, by state. The largest differences have been for Western Australia, Tasmania, the Northern Territory and the Australian Capital Territory."/>
                    <pic:cNvPicPr/>
                  </pic:nvPicPr>
                  <pic:blipFill>
                    <a:blip r:embed="rId70">
                      <a:extLst>
                        <a:ext uri="{28A0092B-C50C-407E-A947-70E740481C1C}">
                          <a14:useLocalDpi xmlns:a14="http://schemas.microsoft.com/office/drawing/2010/main" val="0"/>
                        </a:ext>
                      </a:extLst>
                    </a:blip>
                    <a:stretch>
                      <a:fillRect/>
                    </a:stretch>
                  </pic:blipFill>
                  <pic:spPr>
                    <a:xfrm>
                      <a:off x="0" y="0"/>
                      <a:ext cx="5581648" cy="2886075"/>
                    </a:xfrm>
                    <a:prstGeom prst="rect">
                      <a:avLst/>
                    </a:prstGeom>
                  </pic:spPr>
                </pic:pic>
              </a:graphicData>
            </a:graphic>
          </wp:inline>
        </w:drawing>
      </w:r>
    </w:p>
    <w:p w14:paraId="6DDEDA6B" w14:textId="177C8C9D" w:rsidR="009F4F67" w:rsidRPr="00ED5B08" w:rsidRDefault="009F4F67" w:rsidP="00E11D0C">
      <w:pPr>
        <w:pStyle w:val="Source"/>
        <w:spacing w:before="100" w:after="0"/>
      </w:pPr>
      <w:r w:rsidRPr="00ED5B08">
        <w:t>Note:</w:t>
      </w:r>
      <w:r w:rsidR="00ED5B08">
        <w:tab/>
      </w:r>
      <w:r w:rsidRPr="00ED5B08">
        <w:t>Positive numbers indicate an underestimation while negative numbers indicate an overestimation.</w:t>
      </w:r>
    </w:p>
    <w:p w14:paraId="196E3A7A" w14:textId="0575DAEB" w:rsidR="009F4F67" w:rsidRPr="00ED5B08" w:rsidRDefault="009F4F67" w:rsidP="00807A78">
      <w:pPr>
        <w:pStyle w:val="Source"/>
      </w:pPr>
      <w:r w:rsidRPr="00ED5B08">
        <w:t>Source:</w:t>
      </w:r>
      <w:r w:rsidR="00ED5B08">
        <w:tab/>
      </w:r>
      <w:r w:rsidRPr="00ED5B08">
        <w:t>ABS, National, state and territory population, March 2023 and Centre for Population projections.</w:t>
      </w:r>
    </w:p>
    <w:p w14:paraId="086D67ED" w14:textId="05BD71F6" w:rsidR="00D87679" w:rsidRPr="00ED5B08" w:rsidRDefault="00B611A0" w:rsidP="00C80802">
      <w:pPr>
        <w:pStyle w:val="Heading3Numbered"/>
      </w:pPr>
      <w:r w:rsidRPr="00ED5B08">
        <w:t>Capital city and rest</w:t>
      </w:r>
      <w:r w:rsidR="001C2D4C">
        <w:t>-</w:t>
      </w:r>
      <w:r w:rsidRPr="00ED5B08">
        <w:t>of</w:t>
      </w:r>
      <w:r w:rsidR="001C2D4C">
        <w:t>-</w:t>
      </w:r>
      <w:r w:rsidRPr="00ED5B08">
        <w:t xml:space="preserve">state </w:t>
      </w:r>
      <w:r w:rsidR="00075B97" w:rsidRPr="00ED5B08">
        <w:t>forecasts</w:t>
      </w:r>
    </w:p>
    <w:p w14:paraId="1717AF5A" w14:textId="51453F1F" w:rsidR="00F91CB9" w:rsidRDefault="00EF7C4E" w:rsidP="00ED5B08">
      <w:r>
        <w:t xml:space="preserve">Forecasts in the 2020 and 2021 Population Statements overestimated the </w:t>
      </w:r>
      <w:r w:rsidR="008B7B16">
        <w:t>2</w:t>
      </w:r>
      <w:r>
        <w:t xml:space="preserve"> most populous greater capital city areas in 2021</w:t>
      </w:r>
      <w:r w:rsidR="00E54F9C">
        <w:t>–</w:t>
      </w:r>
      <w:r w:rsidR="001C05CA">
        <w:t>22</w:t>
      </w:r>
      <w:r>
        <w:t xml:space="preserve"> (</w:t>
      </w:r>
      <w:r w:rsidR="00130CC0">
        <w:fldChar w:fldCharType="begin"/>
      </w:r>
      <w:r w:rsidR="00130CC0">
        <w:instrText xml:space="preserve"> REF _Ref153295811 \r \h </w:instrText>
      </w:r>
      <w:r w:rsidR="00130CC0">
        <w:fldChar w:fldCharType="separate"/>
      </w:r>
      <w:r w:rsidR="00CE6FEA">
        <w:t>Chart 35</w:t>
      </w:r>
      <w:r w:rsidR="00130CC0">
        <w:fldChar w:fldCharType="end"/>
      </w:r>
      <w:r>
        <w:t xml:space="preserve">), while </w:t>
      </w:r>
      <w:r w:rsidR="008E4C75">
        <w:t xml:space="preserve">almost </w:t>
      </w:r>
      <w:r>
        <w:t xml:space="preserve">all other regions were underestimated. </w:t>
      </w:r>
      <w:r w:rsidR="00D7315E">
        <w:t>In the 2022 Population Statement,</w:t>
      </w:r>
      <w:r w:rsidR="006F5628">
        <w:t xml:space="preserve"> forecast errors at the GCCSA level </w:t>
      </w:r>
      <w:r w:rsidR="00100B67">
        <w:t>largely mirrored state</w:t>
      </w:r>
      <w:r w:rsidR="004B14AB">
        <w:noBreakHyphen/>
      </w:r>
      <w:r w:rsidR="00100B67">
        <w:t>level errors. T</w:t>
      </w:r>
      <w:r w:rsidR="00661960">
        <w:t>he population of Darwin was overestimated by</w:t>
      </w:r>
      <w:r w:rsidR="00830DE5">
        <w:t xml:space="preserve"> a larger percentage than </w:t>
      </w:r>
      <w:r w:rsidR="00BA4550">
        <w:t xml:space="preserve">the </w:t>
      </w:r>
      <w:r w:rsidR="003A7C91">
        <w:t xml:space="preserve">remainder of </w:t>
      </w:r>
      <w:r w:rsidR="00586F93">
        <w:t xml:space="preserve">the </w:t>
      </w:r>
      <w:r w:rsidR="00830DE5">
        <w:t xml:space="preserve">Northern Territory, while </w:t>
      </w:r>
      <w:r w:rsidR="003533FD">
        <w:t>rest</w:t>
      </w:r>
      <w:r w:rsidR="004B14AB">
        <w:noBreakHyphen/>
      </w:r>
      <w:r w:rsidR="003533FD">
        <w:t>of</w:t>
      </w:r>
      <w:r w:rsidR="004B14AB">
        <w:noBreakHyphen/>
      </w:r>
      <w:r w:rsidR="003533FD">
        <w:t>state area</w:t>
      </w:r>
      <w:r w:rsidR="005572A8">
        <w:t>s</w:t>
      </w:r>
      <w:r w:rsidR="003533FD">
        <w:t xml:space="preserve"> for </w:t>
      </w:r>
      <w:r w:rsidR="00EF5FEE">
        <w:t>New South Wales and Western Australia were underestimated by more than the respective capital cities.</w:t>
      </w:r>
    </w:p>
    <w:p w14:paraId="1E05655F" w14:textId="7F2DFABC" w:rsidR="00EF7C4E" w:rsidRDefault="00F91CB9" w:rsidP="00F91CB9">
      <w:pPr>
        <w:spacing w:before="0" w:after="160" w:line="259" w:lineRule="auto"/>
      </w:pPr>
      <w:r>
        <w:br w:type="page"/>
      </w:r>
    </w:p>
    <w:p w14:paraId="11842555" w14:textId="6E7DD3F5" w:rsidR="00F8128B" w:rsidRPr="00ED5B08" w:rsidRDefault="00F8128B" w:rsidP="002375F0">
      <w:pPr>
        <w:pStyle w:val="ChartMainHeading"/>
      </w:pPr>
      <w:bookmarkStart w:id="216" w:name="_Ref120633155"/>
      <w:bookmarkStart w:id="217" w:name="_Ref153295811"/>
      <w:r w:rsidRPr="00ED5B08">
        <w:lastRenderedPageBreak/>
        <w:t>Difference between population forecasts and outcomes, by Greater Capital Statistical Areas, 30 June 202</w:t>
      </w:r>
      <w:bookmarkEnd w:id="216"/>
      <w:r w:rsidR="008F1794" w:rsidRPr="00ED5B08">
        <w:t>2</w:t>
      </w:r>
      <w:bookmarkEnd w:id="217"/>
    </w:p>
    <w:p w14:paraId="69DDB8C4" w14:textId="59876444" w:rsidR="00BF2F77" w:rsidRDefault="00EF1DBC" w:rsidP="00E01AE5">
      <w:pPr>
        <w:pStyle w:val="ChartGraphic"/>
        <w:jc w:val="left"/>
      </w:pPr>
      <w:r w:rsidRPr="00EF1DBC">
        <w:t xml:space="preserve"> </w:t>
      </w:r>
      <w:r w:rsidRPr="00EF1DBC">
        <w:rPr>
          <w:noProof/>
        </w:rPr>
        <w:drawing>
          <wp:inline distT="0" distB="0" distL="0" distR="0" wp14:anchorId="200CA53E" wp14:editId="67152CE5">
            <wp:extent cx="5583600" cy="2887200"/>
            <wp:effectExtent l="0" t="0" r="0" b="8890"/>
            <wp:docPr id="47" name="Picture 47" descr="The chart shows the difference, in percentage terms, between the greater capital city and rest-of-state population forecasts in the 2020, 2021 and 2022 Population Statements, and the outcome as published by the Australian Bureau of Statistics. For the 2020 Population Statement, the largest differences were for the rest of Tasmania, the rest of Western Australia, Darwin, Hobart, and Melbourne. For the 2021 Population Statement, the largest differences were for Hobart, the rest of Tasmania, the rest of Western Australia, and Melbourne. For the 2022 Population Statement, the largest differences were Greater Hobart, rest of Tasmania and rest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chart shows the difference, in percentage terms, between the greater capital city and rest-of-state population forecasts in the 2020, 2021 and 2022 Population Statements, and the outcome as published by the Australian Bureau of Statistics. For the 2020 Population Statement, the largest differences were for the rest of Tasmania, the rest of Western Australia, Darwin, Hobart, and Melbourne. For the 2021 Population Statement, the largest differences were for Hobart, the rest of Tasmania, the rest of Western Australia, and Melbourne. For the 2022 Population Statement, the largest differences were Greater Hobart, rest of Tasmania and rest of New South Wa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3600" cy="2887200"/>
                    </a:xfrm>
                    <a:prstGeom prst="rect">
                      <a:avLst/>
                    </a:prstGeom>
                    <a:noFill/>
                    <a:ln>
                      <a:noFill/>
                    </a:ln>
                  </pic:spPr>
                </pic:pic>
              </a:graphicData>
            </a:graphic>
          </wp:inline>
        </w:drawing>
      </w:r>
    </w:p>
    <w:p w14:paraId="7373A904" w14:textId="56B38F14" w:rsidR="00ED5B08" w:rsidRDefault="00F8128B" w:rsidP="00830151">
      <w:pPr>
        <w:pStyle w:val="ChartorTableNote"/>
      </w:pPr>
      <w:r w:rsidRPr="00ED5B08">
        <w:t>Note:</w:t>
      </w:r>
      <w:r w:rsidR="00ED5B08">
        <w:tab/>
      </w:r>
      <w:r w:rsidRPr="00ED5B08">
        <w:t>Positive numbers indicate an underestimation while negative numbers indicate an overestimation.</w:t>
      </w:r>
    </w:p>
    <w:p w14:paraId="52A0B7F0" w14:textId="5919911D" w:rsidR="006A4BC1" w:rsidRDefault="00F8128B" w:rsidP="00E01AE5">
      <w:pPr>
        <w:pStyle w:val="Source"/>
        <w:rPr>
          <w:rStyle w:val="Hyperlink"/>
        </w:rPr>
      </w:pPr>
      <w:r w:rsidRPr="00ED5B08">
        <w:t>Source:</w:t>
      </w:r>
      <w:r w:rsidR="00ED5B08">
        <w:tab/>
      </w:r>
      <w:r w:rsidR="00DD1DCF" w:rsidRPr="00ED5B08">
        <w:t>ABS</w:t>
      </w:r>
      <w:r w:rsidRPr="00ED5B08">
        <w:t>, Regional population, 2021</w:t>
      </w:r>
      <w:r w:rsidR="009D7BD6" w:rsidRPr="00ED5B08">
        <w:t>–22</w:t>
      </w:r>
      <w:r w:rsidR="004C2E20">
        <w:t xml:space="preserve"> </w:t>
      </w:r>
      <w:r w:rsidRPr="00ED5B08">
        <w:t>and Centre for Population projections.</w:t>
      </w:r>
    </w:p>
    <w:p w14:paraId="6DFF53D7" w14:textId="4E08B021" w:rsidR="006A4BC1" w:rsidRDefault="006A4BC1" w:rsidP="006A4BC1">
      <w:pPr>
        <w:pStyle w:val="Heading3Numbered"/>
      </w:pPr>
      <w:r w:rsidRPr="00ED5B08">
        <w:t>Forecast components</w:t>
      </w:r>
    </w:p>
    <w:p w14:paraId="3A592864" w14:textId="75793BDB" w:rsidR="009C2E26" w:rsidRDefault="00A1721E" w:rsidP="00ED5B08">
      <w:r>
        <w:t xml:space="preserve">Net overseas migration has historically been the most volatile component of national population growth and consequently the most difficult to forecast. </w:t>
      </w:r>
      <w:r w:rsidR="005C3278">
        <w:t>Net overseas migration was t</w:t>
      </w:r>
      <w:r w:rsidR="00A23A4E">
        <w:t xml:space="preserve">he largest source of forecast error in </w:t>
      </w:r>
      <w:r w:rsidR="005C3278">
        <w:t>2021–22</w:t>
      </w:r>
      <w:r w:rsidR="00A23A4E">
        <w:t xml:space="preserve"> population growth as published in the 202</w:t>
      </w:r>
      <w:r w:rsidR="000D353E">
        <w:t>2</w:t>
      </w:r>
      <w:r w:rsidR="00A23A4E">
        <w:t xml:space="preserve"> Population Statement, </w:t>
      </w:r>
      <w:r w:rsidR="0043631E">
        <w:t xml:space="preserve">at the national level and for the </w:t>
      </w:r>
      <w:r w:rsidR="001A4EAB">
        <w:t>larger</w:t>
      </w:r>
      <w:r w:rsidR="004B14AB">
        <w:noBreakHyphen/>
      </w:r>
      <w:r w:rsidR="001A4EAB">
        <w:t>population states</w:t>
      </w:r>
      <w:r w:rsidR="00A23A4E">
        <w:t xml:space="preserve"> (</w:t>
      </w:r>
      <w:r w:rsidR="00853760">
        <w:fldChar w:fldCharType="begin"/>
      </w:r>
      <w:r w:rsidR="00853760">
        <w:instrText xml:space="preserve"> REF _Ref149574701 \r \h </w:instrText>
      </w:r>
      <w:r w:rsidR="00ED5B08">
        <w:instrText xml:space="preserve"> \* MERGEFORMAT </w:instrText>
      </w:r>
      <w:r w:rsidR="00853760">
        <w:fldChar w:fldCharType="separate"/>
      </w:r>
      <w:r w:rsidR="00CE6FEA">
        <w:t>Table 12</w:t>
      </w:r>
      <w:r w:rsidR="00853760">
        <w:fldChar w:fldCharType="end"/>
      </w:r>
      <w:r w:rsidR="00A23A4E">
        <w:t xml:space="preserve">). </w:t>
      </w:r>
      <w:r w:rsidR="009C2E26">
        <w:t xml:space="preserve">The disruption of overseas migration </w:t>
      </w:r>
      <w:r w:rsidR="00E21DDB">
        <w:t xml:space="preserve">during the pandemic has made forecasting </w:t>
      </w:r>
      <w:r w:rsidR="00E46A77">
        <w:t>more difficult</w:t>
      </w:r>
      <w:r w:rsidR="006A4781">
        <w:t>, with most of the error being concentrated in temporary migrant arrivals (</w:t>
      </w:r>
      <w:r w:rsidR="007B576C">
        <w:fldChar w:fldCharType="begin"/>
      </w:r>
      <w:r w:rsidR="007B576C">
        <w:instrText xml:space="preserve"> REF _Ref152623434 \r \h </w:instrText>
      </w:r>
      <w:r w:rsidR="007B576C">
        <w:fldChar w:fldCharType="separate"/>
      </w:r>
      <w:r w:rsidR="00CE6FEA">
        <w:t>Chart 36</w:t>
      </w:r>
      <w:r w:rsidR="007B576C">
        <w:fldChar w:fldCharType="end"/>
      </w:r>
      <w:r w:rsidR="006A4781">
        <w:t>).</w:t>
      </w:r>
    </w:p>
    <w:p w14:paraId="3614D010" w14:textId="679E0C9B" w:rsidR="00F91CB9" w:rsidRDefault="006A4217" w:rsidP="00E01AE5">
      <w:r>
        <w:t>Net interstate migration</w:t>
      </w:r>
      <w:r w:rsidR="0023093A">
        <w:t xml:space="preserve"> </w:t>
      </w:r>
      <w:r w:rsidR="008617DD">
        <w:t xml:space="preserve">was the main driver of error for South Australia, Tasmania, </w:t>
      </w:r>
      <w:r w:rsidR="00DC250F">
        <w:t xml:space="preserve">the </w:t>
      </w:r>
      <w:r w:rsidR="008617DD">
        <w:t>Northern Territory and the Australian Capital Territory.</w:t>
      </w:r>
      <w:r w:rsidR="0023093A">
        <w:t xml:space="preserve"> </w:t>
      </w:r>
      <w:r w:rsidR="008C366B">
        <w:t>B</w:t>
      </w:r>
      <w:r w:rsidR="0023093A">
        <w:t xml:space="preserve">irths and deaths tended to be underestimated in the </w:t>
      </w:r>
      <w:r w:rsidR="0066314C">
        <w:t>larger</w:t>
      </w:r>
      <w:r w:rsidR="004B14AB">
        <w:noBreakHyphen/>
      </w:r>
      <w:r w:rsidR="005732F9">
        <w:t>population</w:t>
      </w:r>
      <w:r w:rsidR="0023093A">
        <w:t xml:space="preserve"> states and overestimated in the </w:t>
      </w:r>
      <w:r w:rsidR="0066314C">
        <w:t>smaller</w:t>
      </w:r>
      <w:r w:rsidR="004B14AB">
        <w:noBreakHyphen/>
      </w:r>
      <w:r w:rsidR="005732F9">
        <w:t>populatio</w:t>
      </w:r>
      <w:r w:rsidR="00431767">
        <w:t>n</w:t>
      </w:r>
      <w:r w:rsidR="0023093A">
        <w:t xml:space="preserve"> states.</w:t>
      </w:r>
      <w:r w:rsidR="00A23A4E">
        <w:t xml:space="preserve"> </w:t>
      </w:r>
    </w:p>
    <w:p w14:paraId="0D35E4FA" w14:textId="3E602D8A" w:rsidR="0030706E" w:rsidRDefault="00F91CB9" w:rsidP="00DB4A76">
      <w:pPr>
        <w:spacing w:before="0" w:after="160" w:line="259" w:lineRule="auto"/>
      </w:pPr>
      <w:r>
        <w:br w:type="page"/>
      </w:r>
    </w:p>
    <w:p w14:paraId="58659A7A" w14:textId="70778322" w:rsidR="003B36A6" w:rsidRDefault="003B36A6" w:rsidP="002375F0">
      <w:pPr>
        <w:pStyle w:val="TableMainHeading"/>
      </w:pPr>
      <w:bookmarkStart w:id="218" w:name="_Ref120876198"/>
      <w:bookmarkStart w:id="219" w:name="_Ref149574701"/>
      <w:r w:rsidRPr="00116886">
        <w:lastRenderedPageBreak/>
        <w:t>Difference between 202</w:t>
      </w:r>
      <w:r w:rsidR="006524FA">
        <w:t>2</w:t>
      </w:r>
      <w:r w:rsidRPr="00116886">
        <w:t xml:space="preserve"> Population Statement component </w:t>
      </w:r>
      <w:r>
        <w:t>forecasts</w:t>
      </w:r>
      <w:r w:rsidRPr="00116886">
        <w:t xml:space="preserve"> and outcome, by state, 202</w:t>
      </w:r>
      <w:r w:rsidR="006524FA">
        <w:t>1</w:t>
      </w:r>
      <w:r>
        <w:t>–</w:t>
      </w:r>
      <w:r w:rsidRPr="00116886">
        <w:t>2</w:t>
      </w:r>
      <w:bookmarkEnd w:id="218"/>
      <w:r w:rsidR="006524FA">
        <w:t>2</w:t>
      </w:r>
      <w:bookmarkEnd w:id="219"/>
    </w:p>
    <w:tbl>
      <w:tblPr>
        <w:tblStyle w:val="CPOPTable"/>
        <w:tblW w:w="5000" w:type="pct"/>
        <w:tblLayout w:type="fixed"/>
        <w:tblLook w:val="04A0" w:firstRow="1" w:lastRow="0" w:firstColumn="1" w:lastColumn="0" w:noHBand="0" w:noVBand="1"/>
      </w:tblPr>
      <w:tblGrid>
        <w:gridCol w:w="2797"/>
        <w:gridCol w:w="857"/>
        <w:gridCol w:w="856"/>
        <w:gridCol w:w="856"/>
        <w:gridCol w:w="856"/>
        <w:gridCol w:w="1426"/>
        <w:gridCol w:w="1424"/>
      </w:tblGrid>
      <w:tr w:rsidR="00EA5A0A" w:rsidRPr="00116886" w14:paraId="0FCBF34F" w14:textId="77777777" w:rsidTr="002375F0">
        <w:trPr>
          <w:cnfStyle w:val="100000000000" w:firstRow="1" w:lastRow="0" w:firstColumn="0" w:lastColumn="0" w:oddVBand="0" w:evenVBand="0" w:oddHBand="0" w:evenHBand="0" w:firstRowFirstColumn="0" w:firstRowLastColumn="0" w:lastRowFirstColumn="0" w:lastRowLastColumn="0"/>
        </w:trPr>
        <w:tc>
          <w:tcPr>
            <w:tcW w:w="1541" w:type="pct"/>
            <w:tcBorders>
              <w:top w:val="single" w:sz="4" w:space="0" w:color="auto"/>
              <w:bottom w:val="single" w:sz="4" w:space="0" w:color="auto"/>
            </w:tcBorders>
          </w:tcPr>
          <w:p w14:paraId="46CCB95D" w14:textId="77777777" w:rsidR="00AB5D28" w:rsidRPr="002375F0" w:rsidRDefault="00AB5D28" w:rsidP="002375F0">
            <w:pPr>
              <w:pStyle w:val="TableSecondHeading"/>
              <w:rPr>
                <w:b w:val="0"/>
              </w:rPr>
            </w:pPr>
          </w:p>
        </w:tc>
        <w:tc>
          <w:tcPr>
            <w:tcW w:w="472" w:type="pct"/>
            <w:tcBorders>
              <w:top w:val="single" w:sz="4" w:space="0" w:color="auto"/>
              <w:bottom w:val="single" w:sz="4" w:space="0" w:color="auto"/>
            </w:tcBorders>
          </w:tcPr>
          <w:p w14:paraId="36F00418" w14:textId="77777777" w:rsidR="00AB5D28" w:rsidRPr="004C567F" w:rsidRDefault="00AB5D28" w:rsidP="004C567F">
            <w:pPr>
              <w:pStyle w:val="TableSecondHeading"/>
            </w:pPr>
            <w:r w:rsidRPr="004C567F">
              <w:t>Births</w:t>
            </w:r>
          </w:p>
        </w:tc>
        <w:tc>
          <w:tcPr>
            <w:tcW w:w="472" w:type="pct"/>
            <w:tcBorders>
              <w:top w:val="single" w:sz="4" w:space="0" w:color="auto"/>
              <w:bottom w:val="single" w:sz="4" w:space="0" w:color="auto"/>
            </w:tcBorders>
          </w:tcPr>
          <w:p w14:paraId="30D9E85B" w14:textId="77777777" w:rsidR="00AB5D28" w:rsidRPr="004C567F" w:rsidRDefault="00AB5D28" w:rsidP="004C567F">
            <w:pPr>
              <w:pStyle w:val="TableSecondHeading"/>
            </w:pPr>
          </w:p>
        </w:tc>
        <w:tc>
          <w:tcPr>
            <w:tcW w:w="472" w:type="pct"/>
            <w:tcBorders>
              <w:top w:val="single" w:sz="4" w:space="0" w:color="auto"/>
              <w:bottom w:val="single" w:sz="4" w:space="0" w:color="auto"/>
            </w:tcBorders>
          </w:tcPr>
          <w:p w14:paraId="32B3CA85" w14:textId="77777777" w:rsidR="00AB5D28" w:rsidRPr="004C567F" w:rsidRDefault="00AB5D28" w:rsidP="004C567F">
            <w:pPr>
              <w:pStyle w:val="TableSecondHeading"/>
            </w:pPr>
            <w:r w:rsidRPr="004C567F">
              <w:t>Deaths</w:t>
            </w:r>
          </w:p>
        </w:tc>
        <w:tc>
          <w:tcPr>
            <w:tcW w:w="472" w:type="pct"/>
            <w:tcBorders>
              <w:top w:val="single" w:sz="4" w:space="0" w:color="auto"/>
              <w:bottom w:val="single" w:sz="4" w:space="0" w:color="auto"/>
            </w:tcBorders>
          </w:tcPr>
          <w:p w14:paraId="366D1387" w14:textId="77777777" w:rsidR="00AB5D28" w:rsidRPr="004C567F" w:rsidRDefault="00AB5D28" w:rsidP="004C567F">
            <w:pPr>
              <w:pStyle w:val="TableSecondHeading"/>
            </w:pPr>
          </w:p>
        </w:tc>
        <w:tc>
          <w:tcPr>
            <w:tcW w:w="786" w:type="pct"/>
            <w:tcBorders>
              <w:top w:val="single" w:sz="4" w:space="0" w:color="auto"/>
              <w:bottom w:val="single" w:sz="4" w:space="0" w:color="auto"/>
            </w:tcBorders>
          </w:tcPr>
          <w:p w14:paraId="1192F943" w14:textId="77777777" w:rsidR="00AB5D28" w:rsidRPr="004C567F" w:rsidRDefault="00AB5D28" w:rsidP="004C567F">
            <w:pPr>
              <w:pStyle w:val="TableSecondHeading"/>
            </w:pPr>
            <w:r w:rsidRPr="004C567F">
              <w:t>Net overseas migration</w:t>
            </w:r>
          </w:p>
        </w:tc>
        <w:tc>
          <w:tcPr>
            <w:tcW w:w="785" w:type="pct"/>
            <w:tcBorders>
              <w:top w:val="single" w:sz="4" w:space="0" w:color="auto"/>
              <w:bottom w:val="single" w:sz="4" w:space="0" w:color="auto"/>
            </w:tcBorders>
          </w:tcPr>
          <w:p w14:paraId="4E71434D" w14:textId="77777777" w:rsidR="00AB5D28" w:rsidRPr="004C567F" w:rsidRDefault="00AB5D28" w:rsidP="004C567F">
            <w:pPr>
              <w:pStyle w:val="TableSecondHeading"/>
            </w:pPr>
            <w:r w:rsidRPr="004C567F">
              <w:t>Net interstate migration</w:t>
            </w:r>
          </w:p>
        </w:tc>
      </w:tr>
      <w:tr w:rsidR="00EA5A0A" w:rsidRPr="00481999" w14:paraId="0C4A95E6" w14:textId="77777777" w:rsidTr="002375F0">
        <w:tc>
          <w:tcPr>
            <w:tcW w:w="1541" w:type="pct"/>
            <w:tcBorders>
              <w:top w:val="single" w:sz="4" w:space="0" w:color="auto"/>
            </w:tcBorders>
          </w:tcPr>
          <w:p w14:paraId="42ABBFEB" w14:textId="2640A327" w:rsidR="00AB5D28" w:rsidRPr="004C567F" w:rsidRDefault="00AB5D28" w:rsidP="004C567F">
            <w:pPr>
              <w:pStyle w:val="TableColumnHeadingLeft"/>
            </w:pPr>
          </w:p>
        </w:tc>
        <w:tc>
          <w:tcPr>
            <w:tcW w:w="472" w:type="pct"/>
            <w:tcBorders>
              <w:top w:val="single" w:sz="4" w:space="0" w:color="auto"/>
              <w:left w:val="nil"/>
              <w:bottom w:val="nil"/>
              <w:right w:val="nil"/>
            </w:tcBorders>
          </w:tcPr>
          <w:p w14:paraId="51EE6E4A" w14:textId="7A8D8CD1" w:rsidR="00AB5D28" w:rsidRPr="004C567F" w:rsidRDefault="00AB5D28" w:rsidP="004C567F">
            <w:pPr>
              <w:pStyle w:val="TableColumnHeadingRight"/>
            </w:pPr>
            <w:r w:rsidRPr="004C567F">
              <w:t>no.</w:t>
            </w:r>
          </w:p>
        </w:tc>
        <w:tc>
          <w:tcPr>
            <w:tcW w:w="472" w:type="pct"/>
            <w:tcBorders>
              <w:top w:val="single" w:sz="4" w:space="0" w:color="auto"/>
            </w:tcBorders>
          </w:tcPr>
          <w:p w14:paraId="4309F782" w14:textId="09F104A7" w:rsidR="00AB5D28" w:rsidRPr="004C567F" w:rsidRDefault="00AB5D28" w:rsidP="004C567F">
            <w:pPr>
              <w:pStyle w:val="TableColumnHeadingRight"/>
            </w:pPr>
            <w:r w:rsidRPr="004C567F">
              <w:t>%</w:t>
            </w:r>
          </w:p>
        </w:tc>
        <w:tc>
          <w:tcPr>
            <w:tcW w:w="472" w:type="pct"/>
            <w:tcBorders>
              <w:top w:val="single" w:sz="4" w:space="0" w:color="auto"/>
            </w:tcBorders>
          </w:tcPr>
          <w:p w14:paraId="7068FBE8" w14:textId="2EA0C750" w:rsidR="00AB5D28" w:rsidRPr="004C567F" w:rsidRDefault="00AB5D28" w:rsidP="004C567F">
            <w:pPr>
              <w:pStyle w:val="TableColumnHeadingRight"/>
            </w:pPr>
            <w:r w:rsidRPr="004C567F">
              <w:t>no.</w:t>
            </w:r>
          </w:p>
        </w:tc>
        <w:tc>
          <w:tcPr>
            <w:tcW w:w="472" w:type="pct"/>
            <w:tcBorders>
              <w:top w:val="single" w:sz="4" w:space="0" w:color="auto"/>
            </w:tcBorders>
          </w:tcPr>
          <w:p w14:paraId="0694F0A4" w14:textId="6508CBB1" w:rsidR="00AB5D28" w:rsidRPr="004C567F" w:rsidRDefault="00AB5D28" w:rsidP="004C567F">
            <w:pPr>
              <w:pStyle w:val="TableColumnHeadingRight"/>
            </w:pPr>
            <w:r w:rsidRPr="004C567F">
              <w:t>%</w:t>
            </w:r>
          </w:p>
        </w:tc>
        <w:tc>
          <w:tcPr>
            <w:tcW w:w="786" w:type="pct"/>
            <w:tcBorders>
              <w:top w:val="single" w:sz="4" w:space="0" w:color="auto"/>
              <w:left w:val="nil"/>
              <w:bottom w:val="nil"/>
              <w:right w:val="nil"/>
            </w:tcBorders>
          </w:tcPr>
          <w:p w14:paraId="1AE072B6" w14:textId="7F5A07BB" w:rsidR="00AB5D28" w:rsidRPr="004C567F" w:rsidRDefault="00AB5D28" w:rsidP="004C567F">
            <w:pPr>
              <w:pStyle w:val="TableColumnHeadingRight"/>
            </w:pPr>
            <w:r w:rsidRPr="004C567F">
              <w:t>no.</w:t>
            </w:r>
          </w:p>
        </w:tc>
        <w:tc>
          <w:tcPr>
            <w:tcW w:w="785" w:type="pct"/>
            <w:tcBorders>
              <w:top w:val="single" w:sz="4" w:space="0" w:color="auto"/>
            </w:tcBorders>
          </w:tcPr>
          <w:p w14:paraId="2F9D6D43" w14:textId="77777777" w:rsidR="00AB5D28" w:rsidRPr="004C567F" w:rsidRDefault="00AB5D28" w:rsidP="004C567F">
            <w:pPr>
              <w:pStyle w:val="TableColumnHeadingRight"/>
            </w:pPr>
            <w:r w:rsidRPr="004C567F">
              <w:t>no.</w:t>
            </w:r>
          </w:p>
        </w:tc>
      </w:tr>
      <w:tr w:rsidR="00EA5A0A" w:rsidRPr="00116886" w14:paraId="5B1486FE" w14:textId="77777777" w:rsidTr="002375F0">
        <w:tc>
          <w:tcPr>
            <w:tcW w:w="1541" w:type="pct"/>
          </w:tcPr>
          <w:p w14:paraId="42D2531D" w14:textId="56B951EA" w:rsidR="0023267B" w:rsidRPr="004C567F" w:rsidRDefault="0023267B" w:rsidP="004C567F">
            <w:pPr>
              <w:pStyle w:val="TableColumnHeadingLeft"/>
            </w:pPr>
            <w:r w:rsidRPr="004C567F">
              <w:t>Australia</w:t>
            </w:r>
          </w:p>
        </w:tc>
        <w:tc>
          <w:tcPr>
            <w:tcW w:w="472" w:type="pct"/>
            <w:tcBorders>
              <w:top w:val="nil"/>
              <w:left w:val="nil"/>
              <w:bottom w:val="nil"/>
              <w:right w:val="nil"/>
            </w:tcBorders>
            <w:vAlign w:val="center"/>
          </w:tcPr>
          <w:p w14:paraId="19CB57BA" w14:textId="56D09E4B" w:rsidR="0023267B" w:rsidRPr="004C567F" w:rsidRDefault="00261351" w:rsidP="004C567F">
            <w:pPr>
              <w:pStyle w:val="TableTextRight"/>
            </w:pPr>
            <w:r w:rsidRPr="004C567F">
              <w:t>4,352</w:t>
            </w:r>
          </w:p>
        </w:tc>
        <w:tc>
          <w:tcPr>
            <w:tcW w:w="472" w:type="pct"/>
            <w:tcBorders>
              <w:top w:val="nil"/>
              <w:left w:val="nil"/>
              <w:bottom w:val="nil"/>
              <w:right w:val="nil"/>
            </w:tcBorders>
            <w:vAlign w:val="center"/>
          </w:tcPr>
          <w:p w14:paraId="28F14C65" w14:textId="62A2ECBC" w:rsidR="0023267B" w:rsidRPr="004C567F" w:rsidRDefault="00B00001" w:rsidP="004C567F">
            <w:pPr>
              <w:pStyle w:val="TableTextRight"/>
            </w:pPr>
            <w:r w:rsidRPr="004C567F">
              <w:t>1.4</w:t>
            </w:r>
          </w:p>
        </w:tc>
        <w:tc>
          <w:tcPr>
            <w:tcW w:w="472" w:type="pct"/>
            <w:tcBorders>
              <w:top w:val="nil"/>
              <w:left w:val="nil"/>
              <w:bottom w:val="nil"/>
              <w:right w:val="nil"/>
            </w:tcBorders>
            <w:vAlign w:val="center"/>
          </w:tcPr>
          <w:p w14:paraId="4C0C7FA7" w14:textId="64DEDAE2" w:rsidR="0023267B" w:rsidRPr="004C567F" w:rsidRDefault="00B00001" w:rsidP="004C567F">
            <w:pPr>
              <w:pStyle w:val="TableTextRight"/>
            </w:pPr>
            <w:r w:rsidRPr="004C567F">
              <w:t>1,595</w:t>
            </w:r>
          </w:p>
        </w:tc>
        <w:tc>
          <w:tcPr>
            <w:tcW w:w="472" w:type="pct"/>
            <w:tcBorders>
              <w:top w:val="nil"/>
              <w:left w:val="nil"/>
              <w:bottom w:val="nil"/>
              <w:right w:val="nil"/>
            </w:tcBorders>
            <w:vAlign w:val="center"/>
          </w:tcPr>
          <w:p w14:paraId="168A1604" w14:textId="5AA48C5C" w:rsidR="0023267B" w:rsidRPr="004C567F" w:rsidRDefault="008D0430" w:rsidP="004C567F">
            <w:pPr>
              <w:pStyle w:val="TableTextRight"/>
            </w:pPr>
            <w:r w:rsidRPr="004C567F">
              <w:t>0.9</w:t>
            </w:r>
          </w:p>
        </w:tc>
        <w:tc>
          <w:tcPr>
            <w:tcW w:w="786" w:type="pct"/>
            <w:tcBorders>
              <w:top w:val="nil"/>
              <w:left w:val="nil"/>
              <w:bottom w:val="nil"/>
              <w:right w:val="nil"/>
            </w:tcBorders>
            <w:vAlign w:val="center"/>
          </w:tcPr>
          <w:p w14:paraId="4A7B63F4" w14:textId="6AAAE3E1" w:rsidR="0023267B" w:rsidRPr="004C567F" w:rsidRDefault="008D0430" w:rsidP="004C567F">
            <w:pPr>
              <w:pStyle w:val="TableTextRight"/>
            </w:pPr>
            <w:r w:rsidRPr="004C567F">
              <w:t>51,870</w:t>
            </w:r>
          </w:p>
        </w:tc>
        <w:tc>
          <w:tcPr>
            <w:tcW w:w="785" w:type="pct"/>
            <w:tcBorders>
              <w:top w:val="nil"/>
              <w:left w:val="nil"/>
              <w:bottom w:val="nil"/>
              <w:right w:val="nil"/>
            </w:tcBorders>
            <w:vAlign w:val="center"/>
          </w:tcPr>
          <w:p w14:paraId="7AB672EF" w14:textId="1DE087AE" w:rsidR="0023267B" w:rsidRPr="004C567F" w:rsidRDefault="0023267B" w:rsidP="004C567F">
            <w:pPr>
              <w:pStyle w:val="TableTextRight"/>
            </w:pPr>
            <w:r w:rsidRPr="004C567F">
              <w:t>–</w:t>
            </w:r>
          </w:p>
        </w:tc>
      </w:tr>
      <w:tr w:rsidR="00EA5A0A" w:rsidRPr="00116886" w14:paraId="197BF724" w14:textId="77777777" w:rsidTr="002375F0">
        <w:tc>
          <w:tcPr>
            <w:tcW w:w="1541" w:type="pct"/>
          </w:tcPr>
          <w:p w14:paraId="54DA460C" w14:textId="384B867C" w:rsidR="0023267B" w:rsidRPr="004C567F" w:rsidRDefault="0023267B" w:rsidP="004C567F">
            <w:pPr>
              <w:pStyle w:val="TableColumnHeadingLeft"/>
            </w:pPr>
            <w:r w:rsidRPr="004C567F">
              <w:t>New South Wales</w:t>
            </w:r>
          </w:p>
        </w:tc>
        <w:tc>
          <w:tcPr>
            <w:tcW w:w="472" w:type="pct"/>
            <w:tcBorders>
              <w:top w:val="nil"/>
              <w:left w:val="nil"/>
              <w:bottom w:val="nil"/>
              <w:right w:val="nil"/>
            </w:tcBorders>
            <w:vAlign w:val="center"/>
          </w:tcPr>
          <w:p w14:paraId="54BE1A1E" w14:textId="34A3D006" w:rsidR="0023267B" w:rsidRPr="004C567F" w:rsidRDefault="0023267B" w:rsidP="004C567F">
            <w:pPr>
              <w:pStyle w:val="TableTextRight"/>
            </w:pPr>
            <w:r w:rsidRPr="004C567F">
              <w:t>3,701</w:t>
            </w:r>
          </w:p>
        </w:tc>
        <w:tc>
          <w:tcPr>
            <w:tcW w:w="472" w:type="pct"/>
            <w:tcBorders>
              <w:top w:val="nil"/>
              <w:left w:val="nil"/>
              <w:bottom w:val="nil"/>
              <w:right w:val="nil"/>
            </w:tcBorders>
            <w:vAlign w:val="center"/>
          </w:tcPr>
          <w:p w14:paraId="1BFCCFFC" w14:textId="1CEFC22F" w:rsidR="0023267B" w:rsidRPr="004C567F" w:rsidRDefault="0023267B" w:rsidP="004C567F">
            <w:pPr>
              <w:pStyle w:val="TableTextRight"/>
            </w:pPr>
            <w:r w:rsidRPr="004C567F">
              <w:t>3.7</w:t>
            </w:r>
          </w:p>
        </w:tc>
        <w:tc>
          <w:tcPr>
            <w:tcW w:w="472" w:type="pct"/>
            <w:tcBorders>
              <w:top w:val="nil"/>
              <w:left w:val="nil"/>
              <w:bottom w:val="nil"/>
              <w:right w:val="nil"/>
            </w:tcBorders>
            <w:vAlign w:val="center"/>
          </w:tcPr>
          <w:p w14:paraId="4CC3BD47" w14:textId="6AACF02C" w:rsidR="0023267B" w:rsidRPr="004C567F" w:rsidRDefault="0023267B" w:rsidP="004C567F">
            <w:pPr>
              <w:pStyle w:val="TableTextRight"/>
            </w:pPr>
            <w:r w:rsidRPr="004C567F">
              <w:t>982</w:t>
            </w:r>
          </w:p>
        </w:tc>
        <w:tc>
          <w:tcPr>
            <w:tcW w:w="472" w:type="pct"/>
            <w:tcBorders>
              <w:top w:val="nil"/>
              <w:left w:val="nil"/>
              <w:bottom w:val="nil"/>
              <w:right w:val="nil"/>
            </w:tcBorders>
            <w:vAlign w:val="center"/>
          </w:tcPr>
          <w:p w14:paraId="0C41389E" w14:textId="0786BF46" w:rsidR="0023267B" w:rsidRPr="004C567F" w:rsidRDefault="0023267B" w:rsidP="004C567F">
            <w:pPr>
              <w:pStyle w:val="TableTextRight"/>
            </w:pPr>
            <w:r w:rsidRPr="004C567F">
              <w:t>1.6</w:t>
            </w:r>
          </w:p>
        </w:tc>
        <w:tc>
          <w:tcPr>
            <w:tcW w:w="786" w:type="pct"/>
            <w:tcBorders>
              <w:top w:val="nil"/>
              <w:left w:val="nil"/>
              <w:bottom w:val="nil"/>
              <w:right w:val="nil"/>
            </w:tcBorders>
            <w:vAlign w:val="center"/>
          </w:tcPr>
          <w:p w14:paraId="3D25C77C" w14:textId="22A9EE4F" w:rsidR="0023267B" w:rsidRPr="004C567F" w:rsidRDefault="0023267B" w:rsidP="004C567F">
            <w:pPr>
              <w:pStyle w:val="TableTextRight"/>
            </w:pPr>
            <w:r w:rsidRPr="004C567F">
              <w:t>11,207</w:t>
            </w:r>
          </w:p>
        </w:tc>
        <w:tc>
          <w:tcPr>
            <w:tcW w:w="785" w:type="pct"/>
            <w:tcBorders>
              <w:top w:val="nil"/>
              <w:left w:val="nil"/>
              <w:bottom w:val="nil"/>
              <w:right w:val="nil"/>
            </w:tcBorders>
            <w:vAlign w:val="center"/>
          </w:tcPr>
          <w:p w14:paraId="6D62C1D3" w14:textId="4987F192" w:rsidR="0023267B" w:rsidRPr="004C567F" w:rsidRDefault="0023267B" w:rsidP="004C567F">
            <w:pPr>
              <w:pStyle w:val="TableTextRight"/>
            </w:pPr>
            <w:r w:rsidRPr="004C567F">
              <w:t>779</w:t>
            </w:r>
          </w:p>
        </w:tc>
      </w:tr>
      <w:tr w:rsidR="00EA5A0A" w:rsidRPr="00116886" w14:paraId="05C07DBC" w14:textId="77777777" w:rsidTr="002375F0">
        <w:tc>
          <w:tcPr>
            <w:tcW w:w="1541" w:type="pct"/>
          </w:tcPr>
          <w:p w14:paraId="6419EF83" w14:textId="77777777" w:rsidR="0023267B" w:rsidRPr="004C567F" w:rsidRDefault="0023267B" w:rsidP="004C567F">
            <w:pPr>
              <w:pStyle w:val="TableColumnHeadingLeft"/>
            </w:pPr>
            <w:r w:rsidRPr="004C567F">
              <w:t>Victoria</w:t>
            </w:r>
          </w:p>
        </w:tc>
        <w:tc>
          <w:tcPr>
            <w:tcW w:w="472" w:type="pct"/>
            <w:tcBorders>
              <w:top w:val="nil"/>
              <w:left w:val="nil"/>
              <w:bottom w:val="nil"/>
              <w:right w:val="nil"/>
            </w:tcBorders>
            <w:vAlign w:val="center"/>
          </w:tcPr>
          <w:p w14:paraId="52066A87" w14:textId="7F4B5C68" w:rsidR="0023267B" w:rsidRPr="004C567F" w:rsidRDefault="0023267B" w:rsidP="004C567F">
            <w:pPr>
              <w:pStyle w:val="TableTextRight"/>
            </w:pPr>
            <w:r w:rsidRPr="004C567F">
              <w:t>335</w:t>
            </w:r>
          </w:p>
        </w:tc>
        <w:tc>
          <w:tcPr>
            <w:tcW w:w="472" w:type="pct"/>
            <w:tcBorders>
              <w:top w:val="nil"/>
              <w:left w:val="nil"/>
              <w:bottom w:val="nil"/>
              <w:right w:val="nil"/>
            </w:tcBorders>
            <w:vAlign w:val="center"/>
          </w:tcPr>
          <w:p w14:paraId="5B319E99" w14:textId="0924F0FA" w:rsidR="0023267B" w:rsidRPr="004C567F" w:rsidRDefault="0023267B" w:rsidP="004C567F">
            <w:pPr>
              <w:pStyle w:val="TableTextRight"/>
            </w:pPr>
            <w:r w:rsidRPr="004C567F">
              <w:t>0.4</w:t>
            </w:r>
          </w:p>
        </w:tc>
        <w:tc>
          <w:tcPr>
            <w:tcW w:w="472" w:type="pct"/>
            <w:tcBorders>
              <w:top w:val="nil"/>
              <w:left w:val="nil"/>
              <w:bottom w:val="nil"/>
              <w:right w:val="nil"/>
            </w:tcBorders>
            <w:vAlign w:val="center"/>
          </w:tcPr>
          <w:p w14:paraId="199E4075" w14:textId="693D6F93" w:rsidR="0023267B" w:rsidRPr="004C567F" w:rsidRDefault="0023267B" w:rsidP="004C567F">
            <w:pPr>
              <w:pStyle w:val="TableTextRight"/>
            </w:pPr>
            <w:r w:rsidRPr="004C567F">
              <w:t>1,596</w:t>
            </w:r>
          </w:p>
        </w:tc>
        <w:tc>
          <w:tcPr>
            <w:tcW w:w="472" w:type="pct"/>
            <w:tcBorders>
              <w:top w:val="nil"/>
              <w:left w:val="nil"/>
              <w:bottom w:val="nil"/>
              <w:right w:val="nil"/>
            </w:tcBorders>
            <w:vAlign w:val="center"/>
          </w:tcPr>
          <w:p w14:paraId="671B790E" w14:textId="74EE428D" w:rsidR="0023267B" w:rsidRPr="004C567F" w:rsidRDefault="0023267B" w:rsidP="004C567F">
            <w:pPr>
              <w:pStyle w:val="TableTextRight"/>
            </w:pPr>
            <w:r w:rsidRPr="004C567F">
              <w:t>3.5</w:t>
            </w:r>
          </w:p>
        </w:tc>
        <w:tc>
          <w:tcPr>
            <w:tcW w:w="786" w:type="pct"/>
            <w:tcBorders>
              <w:top w:val="nil"/>
              <w:left w:val="nil"/>
              <w:bottom w:val="nil"/>
              <w:right w:val="nil"/>
            </w:tcBorders>
            <w:vAlign w:val="center"/>
          </w:tcPr>
          <w:p w14:paraId="240002E7" w14:textId="737C077E" w:rsidR="0023267B" w:rsidRPr="004C567F" w:rsidRDefault="0023267B" w:rsidP="004C567F">
            <w:pPr>
              <w:pStyle w:val="TableTextRight"/>
            </w:pPr>
            <w:r w:rsidRPr="004C567F">
              <w:t>16,453</w:t>
            </w:r>
          </w:p>
        </w:tc>
        <w:tc>
          <w:tcPr>
            <w:tcW w:w="785" w:type="pct"/>
            <w:tcBorders>
              <w:top w:val="nil"/>
              <w:left w:val="nil"/>
              <w:bottom w:val="nil"/>
              <w:right w:val="nil"/>
            </w:tcBorders>
            <w:vAlign w:val="center"/>
          </w:tcPr>
          <w:p w14:paraId="2F7C1237" w14:textId="783858BE" w:rsidR="0023267B" w:rsidRPr="004C567F" w:rsidRDefault="0023267B" w:rsidP="004C567F">
            <w:pPr>
              <w:pStyle w:val="TableTextRight"/>
            </w:pPr>
            <w:r w:rsidRPr="004C567F">
              <w:t>1,726</w:t>
            </w:r>
          </w:p>
        </w:tc>
      </w:tr>
      <w:tr w:rsidR="00EA5A0A" w:rsidRPr="00116886" w14:paraId="0EADDB67" w14:textId="77777777" w:rsidTr="002375F0">
        <w:tc>
          <w:tcPr>
            <w:tcW w:w="1541" w:type="pct"/>
          </w:tcPr>
          <w:p w14:paraId="5F05B439" w14:textId="77777777" w:rsidR="0023267B" w:rsidRPr="004C567F" w:rsidRDefault="0023267B" w:rsidP="004C567F">
            <w:pPr>
              <w:pStyle w:val="TableColumnHeadingLeft"/>
            </w:pPr>
            <w:r w:rsidRPr="004C567F">
              <w:t>Queensland</w:t>
            </w:r>
          </w:p>
        </w:tc>
        <w:tc>
          <w:tcPr>
            <w:tcW w:w="472" w:type="pct"/>
            <w:tcBorders>
              <w:top w:val="nil"/>
              <w:left w:val="nil"/>
              <w:bottom w:val="nil"/>
              <w:right w:val="nil"/>
            </w:tcBorders>
            <w:vAlign w:val="center"/>
          </w:tcPr>
          <w:p w14:paraId="78DFDF05" w14:textId="24B1677D" w:rsidR="0023267B" w:rsidRPr="004C567F" w:rsidRDefault="0023267B" w:rsidP="004C567F">
            <w:pPr>
              <w:pStyle w:val="TableTextRight"/>
            </w:pPr>
            <w:r w:rsidRPr="004C567F">
              <w:t>1,095</w:t>
            </w:r>
          </w:p>
        </w:tc>
        <w:tc>
          <w:tcPr>
            <w:tcW w:w="472" w:type="pct"/>
            <w:tcBorders>
              <w:top w:val="nil"/>
              <w:left w:val="nil"/>
              <w:bottom w:val="nil"/>
              <w:right w:val="nil"/>
            </w:tcBorders>
            <w:vAlign w:val="center"/>
          </w:tcPr>
          <w:p w14:paraId="3F7BCDBC" w14:textId="44DBE0A1" w:rsidR="0023267B" w:rsidRPr="004C567F" w:rsidRDefault="0023267B" w:rsidP="004C567F">
            <w:pPr>
              <w:pStyle w:val="TableTextRight"/>
            </w:pPr>
            <w:r w:rsidRPr="004C567F">
              <w:t>1.7</w:t>
            </w:r>
          </w:p>
        </w:tc>
        <w:tc>
          <w:tcPr>
            <w:tcW w:w="472" w:type="pct"/>
            <w:tcBorders>
              <w:top w:val="nil"/>
              <w:left w:val="nil"/>
              <w:bottom w:val="nil"/>
              <w:right w:val="nil"/>
            </w:tcBorders>
            <w:vAlign w:val="center"/>
          </w:tcPr>
          <w:p w14:paraId="0B907626" w14:textId="42455F7F" w:rsidR="0023267B" w:rsidRPr="004C567F" w:rsidRDefault="0023267B" w:rsidP="004C567F">
            <w:pPr>
              <w:pStyle w:val="TableTextRight"/>
            </w:pPr>
            <w:r w:rsidRPr="004C567F">
              <w:t>68</w:t>
            </w:r>
          </w:p>
        </w:tc>
        <w:tc>
          <w:tcPr>
            <w:tcW w:w="472" w:type="pct"/>
            <w:tcBorders>
              <w:top w:val="nil"/>
              <w:left w:val="nil"/>
              <w:bottom w:val="nil"/>
              <w:right w:val="nil"/>
            </w:tcBorders>
            <w:vAlign w:val="center"/>
          </w:tcPr>
          <w:p w14:paraId="401142E8" w14:textId="7A6D7143" w:rsidR="0023267B" w:rsidRPr="004C567F" w:rsidRDefault="0023267B" w:rsidP="004C567F">
            <w:pPr>
              <w:pStyle w:val="TableTextRight"/>
            </w:pPr>
            <w:r w:rsidRPr="004C567F">
              <w:t>0.2</w:t>
            </w:r>
          </w:p>
        </w:tc>
        <w:tc>
          <w:tcPr>
            <w:tcW w:w="786" w:type="pct"/>
            <w:tcBorders>
              <w:top w:val="nil"/>
              <w:left w:val="nil"/>
              <w:bottom w:val="nil"/>
              <w:right w:val="nil"/>
            </w:tcBorders>
            <w:vAlign w:val="center"/>
          </w:tcPr>
          <w:p w14:paraId="71409379" w14:textId="746ACFF0" w:rsidR="0023267B" w:rsidRPr="004C567F" w:rsidRDefault="0023267B" w:rsidP="004C567F">
            <w:pPr>
              <w:pStyle w:val="TableTextRight"/>
            </w:pPr>
            <w:r w:rsidRPr="004C567F">
              <w:t>11,475</w:t>
            </w:r>
          </w:p>
        </w:tc>
        <w:tc>
          <w:tcPr>
            <w:tcW w:w="785" w:type="pct"/>
            <w:tcBorders>
              <w:top w:val="nil"/>
              <w:left w:val="nil"/>
              <w:bottom w:val="nil"/>
              <w:right w:val="nil"/>
            </w:tcBorders>
            <w:vAlign w:val="center"/>
          </w:tcPr>
          <w:p w14:paraId="556676F3" w14:textId="16E73D62" w:rsidR="0023267B" w:rsidRPr="004C567F" w:rsidRDefault="0023267B" w:rsidP="004C567F">
            <w:pPr>
              <w:pStyle w:val="TableTextRight"/>
            </w:pPr>
            <w:r w:rsidRPr="004C567F">
              <w:t>8,427</w:t>
            </w:r>
          </w:p>
        </w:tc>
      </w:tr>
      <w:tr w:rsidR="00EA5A0A" w:rsidRPr="00116886" w14:paraId="1749DF95" w14:textId="77777777" w:rsidTr="002375F0">
        <w:tc>
          <w:tcPr>
            <w:tcW w:w="1541" w:type="pct"/>
          </w:tcPr>
          <w:p w14:paraId="0C59FFA3" w14:textId="77777777" w:rsidR="0023267B" w:rsidRPr="004C567F" w:rsidRDefault="0023267B" w:rsidP="004C567F">
            <w:pPr>
              <w:pStyle w:val="TableColumnHeadingLeft"/>
            </w:pPr>
            <w:r w:rsidRPr="004C567F">
              <w:t>South Australia</w:t>
            </w:r>
          </w:p>
        </w:tc>
        <w:tc>
          <w:tcPr>
            <w:tcW w:w="472" w:type="pct"/>
            <w:tcBorders>
              <w:top w:val="nil"/>
              <w:left w:val="nil"/>
              <w:bottom w:val="nil"/>
              <w:right w:val="nil"/>
            </w:tcBorders>
            <w:vAlign w:val="center"/>
          </w:tcPr>
          <w:p w14:paraId="73B0D020" w14:textId="402AA57A" w:rsidR="0023267B" w:rsidRPr="004C567F" w:rsidRDefault="0023267B" w:rsidP="004C567F">
            <w:pPr>
              <w:pStyle w:val="TableTextRight"/>
            </w:pPr>
            <w:r w:rsidRPr="004C567F">
              <w:t>35</w:t>
            </w:r>
          </w:p>
        </w:tc>
        <w:tc>
          <w:tcPr>
            <w:tcW w:w="472" w:type="pct"/>
            <w:tcBorders>
              <w:top w:val="nil"/>
              <w:left w:val="nil"/>
              <w:bottom w:val="nil"/>
              <w:right w:val="nil"/>
            </w:tcBorders>
            <w:vAlign w:val="center"/>
          </w:tcPr>
          <w:p w14:paraId="612D5981" w14:textId="3F1B2119" w:rsidR="0023267B" w:rsidRPr="004C567F" w:rsidRDefault="0023267B" w:rsidP="004C567F">
            <w:pPr>
              <w:pStyle w:val="TableTextRight"/>
            </w:pPr>
            <w:r w:rsidRPr="004C567F">
              <w:t>0.2</w:t>
            </w:r>
          </w:p>
        </w:tc>
        <w:tc>
          <w:tcPr>
            <w:tcW w:w="472" w:type="pct"/>
            <w:tcBorders>
              <w:top w:val="nil"/>
              <w:left w:val="nil"/>
              <w:bottom w:val="nil"/>
              <w:right w:val="nil"/>
            </w:tcBorders>
            <w:vAlign w:val="center"/>
          </w:tcPr>
          <w:p w14:paraId="23CF89B3" w14:textId="08359402" w:rsidR="0023267B" w:rsidRPr="004C567F" w:rsidRDefault="004B14AB" w:rsidP="004C567F">
            <w:pPr>
              <w:pStyle w:val="TableTextRight"/>
            </w:pPr>
            <w:r w:rsidRPr="004C567F">
              <w:noBreakHyphen/>
            </w:r>
            <w:r w:rsidR="0023267B" w:rsidRPr="004C567F">
              <w:t>176</w:t>
            </w:r>
          </w:p>
        </w:tc>
        <w:tc>
          <w:tcPr>
            <w:tcW w:w="472" w:type="pct"/>
            <w:tcBorders>
              <w:top w:val="nil"/>
              <w:left w:val="nil"/>
              <w:bottom w:val="nil"/>
              <w:right w:val="nil"/>
            </w:tcBorders>
            <w:vAlign w:val="center"/>
          </w:tcPr>
          <w:p w14:paraId="6BE257B7" w14:textId="0A7BD07E" w:rsidR="0023267B" w:rsidRPr="004C567F" w:rsidRDefault="004B14AB" w:rsidP="004C567F">
            <w:pPr>
              <w:pStyle w:val="TableTextRight"/>
            </w:pPr>
            <w:r w:rsidRPr="004C567F">
              <w:noBreakHyphen/>
            </w:r>
            <w:r w:rsidR="0023267B" w:rsidRPr="004C567F">
              <w:t>1.1</w:t>
            </w:r>
          </w:p>
        </w:tc>
        <w:tc>
          <w:tcPr>
            <w:tcW w:w="786" w:type="pct"/>
            <w:tcBorders>
              <w:top w:val="nil"/>
              <w:left w:val="nil"/>
              <w:bottom w:val="nil"/>
              <w:right w:val="nil"/>
            </w:tcBorders>
            <w:vAlign w:val="center"/>
          </w:tcPr>
          <w:p w14:paraId="654BF074" w14:textId="54E9E91D" w:rsidR="0023267B" w:rsidRPr="004C567F" w:rsidRDefault="0023267B" w:rsidP="004C567F">
            <w:pPr>
              <w:pStyle w:val="TableTextRight"/>
            </w:pPr>
            <w:r w:rsidRPr="004C567F">
              <w:t>3,272</w:t>
            </w:r>
          </w:p>
        </w:tc>
        <w:tc>
          <w:tcPr>
            <w:tcW w:w="785" w:type="pct"/>
            <w:tcBorders>
              <w:top w:val="nil"/>
              <w:left w:val="nil"/>
              <w:bottom w:val="nil"/>
              <w:right w:val="nil"/>
            </w:tcBorders>
            <w:vAlign w:val="center"/>
          </w:tcPr>
          <w:p w14:paraId="2D547E6A" w14:textId="4AFA3B5A" w:rsidR="0023267B" w:rsidRPr="004C567F" w:rsidRDefault="004B14AB" w:rsidP="004C567F">
            <w:pPr>
              <w:pStyle w:val="TableTextRight"/>
            </w:pPr>
            <w:r w:rsidRPr="004C567F">
              <w:noBreakHyphen/>
            </w:r>
            <w:r w:rsidR="0023267B" w:rsidRPr="004C567F">
              <w:t>4,193</w:t>
            </w:r>
          </w:p>
        </w:tc>
      </w:tr>
      <w:tr w:rsidR="00EA5A0A" w:rsidRPr="00116886" w14:paraId="21751A82" w14:textId="77777777" w:rsidTr="002375F0">
        <w:tc>
          <w:tcPr>
            <w:tcW w:w="1541" w:type="pct"/>
            <w:tcBorders>
              <w:bottom w:val="nil"/>
            </w:tcBorders>
          </w:tcPr>
          <w:p w14:paraId="2FC4650D" w14:textId="77777777" w:rsidR="0023267B" w:rsidRPr="004C567F" w:rsidRDefault="0023267B" w:rsidP="004C567F">
            <w:pPr>
              <w:pStyle w:val="TableColumnHeadingLeft"/>
            </w:pPr>
            <w:r w:rsidRPr="004C567F">
              <w:t>Western Australia</w:t>
            </w:r>
          </w:p>
        </w:tc>
        <w:tc>
          <w:tcPr>
            <w:tcW w:w="472" w:type="pct"/>
            <w:tcBorders>
              <w:top w:val="nil"/>
              <w:left w:val="nil"/>
              <w:bottom w:val="nil"/>
              <w:right w:val="nil"/>
            </w:tcBorders>
            <w:vAlign w:val="center"/>
          </w:tcPr>
          <w:p w14:paraId="1C658163" w14:textId="7CC3D3C4" w:rsidR="0023267B" w:rsidRPr="004C567F" w:rsidRDefault="004B14AB" w:rsidP="004C567F">
            <w:pPr>
              <w:pStyle w:val="TableTextRight"/>
            </w:pPr>
            <w:r w:rsidRPr="004C567F">
              <w:noBreakHyphen/>
            </w:r>
            <w:r w:rsidR="0023267B" w:rsidRPr="004C567F">
              <w:t>215</w:t>
            </w:r>
          </w:p>
        </w:tc>
        <w:tc>
          <w:tcPr>
            <w:tcW w:w="472" w:type="pct"/>
            <w:tcBorders>
              <w:top w:val="nil"/>
              <w:left w:val="nil"/>
              <w:bottom w:val="nil"/>
              <w:right w:val="nil"/>
            </w:tcBorders>
            <w:vAlign w:val="center"/>
          </w:tcPr>
          <w:p w14:paraId="7D216863" w14:textId="7FA011DE" w:rsidR="0023267B" w:rsidRPr="004C567F" w:rsidRDefault="004B14AB" w:rsidP="004C567F">
            <w:pPr>
              <w:pStyle w:val="TableTextRight"/>
            </w:pPr>
            <w:r w:rsidRPr="004C567F">
              <w:noBreakHyphen/>
            </w:r>
            <w:r w:rsidR="0023267B" w:rsidRPr="004C567F">
              <w:t>0.6</w:t>
            </w:r>
          </w:p>
        </w:tc>
        <w:tc>
          <w:tcPr>
            <w:tcW w:w="472" w:type="pct"/>
            <w:tcBorders>
              <w:top w:val="nil"/>
              <w:left w:val="nil"/>
              <w:bottom w:val="nil"/>
              <w:right w:val="nil"/>
            </w:tcBorders>
            <w:vAlign w:val="center"/>
          </w:tcPr>
          <w:p w14:paraId="05AE8B5D" w14:textId="3ADA61AB" w:rsidR="0023267B" w:rsidRPr="004C567F" w:rsidRDefault="004B14AB" w:rsidP="004C567F">
            <w:pPr>
              <w:pStyle w:val="TableTextRight"/>
            </w:pPr>
            <w:r w:rsidRPr="004C567F">
              <w:noBreakHyphen/>
            </w:r>
            <w:r w:rsidR="0023267B" w:rsidRPr="004C567F">
              <w:t>760</w:t>
            </w:r>
          </w:p>
        </w:tc>
        <w:tc>
          <w:tcPr>
            <w:tcW w:w="472" w:type="pct"/>
            <w:tcBorders>
              <w:top w:val="nil"/>
              <w:left w:val="nil"/>
              <w:bottom w:val="nil"/>
              <w:right w:val="nil"/>
            </w:tcBorders>
            <w:vAlign w:val="center"/>
          </w:tcPr>
          <w:p w14:paraId="142529C2" w14:textId="66E1A5E0" w:rsidR="0023267B" w:rsidRPr="004C567F" w:rsidRDefault="004B14AB" w:rsidP="004C567F">
            <w:pPr>
              <w:pStyle w:val="TableTextRight"/>
            </w:pPr>
            <w:r w:rsidRPr="004C567F">
              <w:noBreakHyphen/>
            </w:r>
            <w:r w:rsidR="0023267B" w:rsidRPr="004C567F">
              <w:t>4.6</w:t>
            </w:r>
          </w:p>
        </w:tc>
        <w:tc>
          <w:tcPr>
            <w:tcW w:w="786" w:type="pct"/>
            <w:tcBorders>
              <w:top w:val="nil"/>
              <w:left w:val="nil"/>
              <w:bottom w:val="nil"/>
              <w:right w:val="nil"/>
            </w:tcBorders>
            <w:vAlign w:val="center"/>
          </w:tcPr>
          <w:p w14:paraId="70BFA914" w14:textId="71EC981E" w:rsidR="0023267B" w:rsidRPr="004C567F" w:rsidRDefault="0023267B" w:rsidP="004C567F">
            <w:pPr>
              <w:pStyle w:val="TableTextRight"/>
            </w:pPr>
            <w:r w:rsidRPr="004C567F">
              <w:t>8,407</w:t>
            </w:r>
          </w:p>
        </w:tc>
        <w:tc>
          <w:tcPr>
            <w:tcW w:w="785" w:type="pct"/>
            <w:tcBorders>
              <w:top w:val="nil"/>
              <w:left w:val="nil"/>
              <w:bottom w:val="nil"/>
              <w:right w:val="nil"/>
            </w:tcBorders>
            <w:vAlign w:val="center"/>
          </w:tcPr>
          <w:p w14:paraId="03C6478D" w14:textId="1C94BCCC" w:rsidR="0023267B" w:rsidRPr="004C567F" w:rsidRDefault="0023267B" w:rsidP="004C567F">
            <w:pPr>
              <w:pStyle w:val="TableTextRight"/>
            </w:pPr>
            <w:r w:rsidRPr="004C567F">
              <w:t>2,893</w:t>
            </w:r>
          </w:p>
        </w:tc>
      </w:tr>
      <w:tr w:rsidR="00EA5A0A" w:rsidRPr="00116886" w14:paraId="2000A2A3" w14:textId="77777777" w:rsidTr="002375F0">
        <w:tc>
          <w:tcPr>
            <w:tcW w:w="1541" w:type="pct"/>
            <w:tcBorders>
              <w:bottom w:val="nil"/>
            </w:tcBorders>
          </w:tcPr>
          <w:p w14:paraId="4C253D2B" w14:textId="77777777" w:rsidR="0023267B" w:rsidRPr="004C567F" w:rsidRDefault="0023267B" w:rsidP="004C567F">
            <w:pPr>
              <w:pStyle w:val="TableColumnHeadingLeft"/>
            </w:pPr>
            <w:r w:rsidRPr="004C567F">
              <w:t>Tasmania</w:t>
            </w:r>
          </w:p>
        </w:tc>
        <w:tc>
          <w:tcPr>
            <w:tcW w:w="472" w:type="pct"/>
            <w:tcBorders>
              <w:top w:val="nil"/>
              <w:left w:val="nil"/>
              <w:bottom w:val="nil"/>
              <w:right w:val="nil"/>
            </w:tcBorders>
            <w:vAlign w:val="center"/>
          </w:tcPr>
          <w:p w14:paraId="4BA86D91" w14:textId="79A56A86" w:rsidR="0023267B" w:rsidRPr="004C567F" w:rsidRDefault="004B14AB" w:rsidP="004C567F">
            <w:pPr>
              <w:pStyle w:val="TableTextRight"/>
            </w:pPr>
            <w:r w:rsidRPr="004C567F">
              <w:noBreakHyphen/>
            </w:r>
            <w:r w:rsidR="0023267B" w:rsidRPr="004C567F">
              <w:t>258</w:t>
            </w:r>
          </w:p>
        </w:tc>
        <w:tc>
          <w:tcPr>
            <w:tcW w:w="472" w:type="pct"/>
            <w:tcBorders>
              <w:top w:val="nil"/>
              <w:left w:val="nil"/>
              <w:bottom w:val="nil"/>
              <w:right w:val="nil"/>
            </w:tcBorders>
            <w:vAlign w:val="center"/>
          </w:tcPr>
          <w:p w14:paraId="17803071" w14:textId="59F482F3" w:rsidR="0023267B" w:rsidRPr="004C567F" w:rsidRDefault="004B14AB" w:rsidP="004C567F">
            <w:pPr>
              <w:pStyle w:val="TableTextRight"/>
            </w:pPr>
            <w:r w:rsidRPr="004C567F">
              <w:noBreakHyphen/>
            </w:r>
            <w:r w:rsidR="0023267B" w:rsidRPr="004C567F">
              <w:t>4.4</w:t>
            </w:r>
          </w:p>
        </w:tc>
        <w:tc>
          <w:tcPr>
            <w:tcW w:w="472" w:type="pct"/>
            <w:tcBorders>
              <w:top w:val="nil"/>
              <w:left w:val="nil"/>
              <w:bottom w:val="nil"/>
              <w:right w:val="nil"/>
            </w:tcBorders>
            <w:vAlign w:val="center"/>
          </w:tcPr>
          <w:p w14:paraId="2BCF0D95" w14:textId="14509041" w:rsidR="0023267B" w:rsidRPr="004C567F" w:rsidRDefault="004B14AB" w:rsidP="004C567F">
            <w:pPr>
              <w:pStyle w:val="TableTextRight"/>
            </w:pPr>
            <w:r w:rsidRPr="004C567F">
              <w:noBreakHyphen/>
            </w:r>
            <w:r w:rsidR="0023267B" w:rsidRPr="004C567F">
              <w:t>67</w:t>
            </w:r>
          </w:p>
        </w:tc>
        <w:tc>
          <w:tcPr>
            <w:tcW w:w="472" w:type="pct"/>
            <w:tcBorders>
              <w:top w:val="nil"/>
              <w:left w:val="nil"/>
              <w:bottom w:val="nil"/>
              <w:right w:val="nil"/>
            </w:tcBorders>
            <w:vAlign w:val="center"/>
          </w:tcPr>
          <w:p w14:paraId="4148DF40" w14:textId="71BAB745" w:rsidR="0023267B" w:rsidRPr="004C567F" w:rsidRDefault="004B14AB" w:rsidP="004C567F">
            <w:pPr>
              <w:pStyle w:val="TableTextRight"/>
            </w:pPr>
            <w:r w:rsidRPr="004C567F">
              <w:noBreakHyphen/>
            </w:r>
            <w:r w:rsidR="0023267B" w:rsidRPr="004C567F">
              <w:t>1.3</w:t>
            </w:r>
          </w:p>
        </w:tc>
        <w:tc>
          <w:tcPr>
            <w:tcW w:w="786" w:type="pct"/>
            <w:tcBorders>
              <w:top w:val="nil"/>
              <w:left w:val="nil"/>
              <w:bottom w:val="nil"/>
              <w:right w:val="nil"/>
            </w:tcBorders>
            <w:vAlign w:val="center"/>
          </w:tcPr>
          <w:p w14:paraId="23A97717" w14:textId="2315D1F9" w:rsidR="0023267B" w:rsidRPr="004C567F" w:rsidRDefault="004B14AB" w:rsidP="004C567F">
            <w:pPr>
              <w:pStyle w:val="TableTextRight"/>
            </w:pPr>
            <w:r w:rsidRPr="004C567F">
              <w:noBreakHyphen/>
            </w:r>
            <w:r w:rsidR="0023267B" w:rsidRPr="004C567F">
              <w:t>179</w:t>
            </w:r>
          </w:p>
        </w:tc>
        <w:tc>
          <w:tcPr>
            <w:tcW w:w="785" w:type="pct"/>
            <w:tcBorders>
              <w:top w:val="nil"/>
              <w:left w:val="nil"/>
              <w:bottom w:val="nil"/>
              <w:right w:val="nil"/>
            </w:tcBorders>
            <w:vAlign w:val="center"/>
          </w:tcPr>
          <w:p w14:paraId="374A62DB" w14:textId="1724F355" w:rsidR="0023267B" w:rsidRPr="004C567F" w:rsidRDefault="004B14AB" w:rsidP="004C567F">
            <w:pPr>
              <w:pStyle w:val="TableTextRight"/>
            </w:pPr>
            <w:r w:rsidRPr="004C567F">
              <w:noBreakHyphen/>
            </w:r>
            <w:r w:rsidR="0023267B" w:rsidRPr="004C567F">
              <w:t>3,081</w:t>
            </w:r>
          </w:p>
        </w:tc>
      </w:tr>
      <w:tr w:rsidR="00EA5A0A" w:rsidRPr="00116886" w14:paraId="136317BA" w14:textId="77777777" w:rsidTr="002375F0">
        <w:tc>
          <w:tcPr>
            <w:tcW w:w="1541" w:type="pct"/>
            <w:tcBorders>
              <w:top w:val="nil"/>
              <w:bottom w:val="nil"/>
            </w:tcBorders>
          </w:tcPr>
          <w:p w14:paraId="32100029" w14:textId="77777777" w:rsidR="0023267B" w:rsidRPr="004C567F" w:rsidRDefault="0023267B" w:rsidP="004C567F">
            <w:pPr>
              <w:pStyle w:val="TableColumnHeadingLeft"/>
            </w:pPr>
            <w:r w:rsidRPr="004C567F">
              <w:t>Northern Territory</w:t>
            </w:r>
          </w:p>
        </w:tc>
        <w:tc>
          <w:tcPr>
            <w:tcW w:w="472" w:type="pct"/>
            <w:tcBorders>
              <w:top w:val="nil"/>
              <w:left w:val="nil"/>
              <w:bottom w:val="nil"/>
              <w:right w:val="nil"/>
            </w:tcBorders>
            <w:vAlign w:val="center"/>
          </w:tcPr>
          <w:p w14:paraId="2AE2FD3D" w14:textId="7F97CE5B" w:rsidR="0023267B" w:rsidRPr="004C567F" w:rsidRDefault="004B14AB" w:rsidP="004C567F">
            <w:pPr>
              <w:pStyle w:val="TableTextRight"/>
            </w:pPr>
            <w:r w:rsidRPr="004C567F">
              <w:noBreakHyphen/>
            </w:r>
            <w:r w:rsidR="0023267B" w:rsidRPr="004C567F">
              <w:t>147</w:t>
            </w:r>
          </w:p>
        </w:tc>
        <w:tc>
          <w:tcPr>
            <w:tcW w:w="472" w:type="pct"/>
            <w:tcBorders>
              <w:top w:val="nil"/>
              <w:left w:val="nil"/>
              <w:bottom w:val="nil"/>
              <w:right w:val="nil"/>
            </w:tcBorders>
            <w:vAlign w:val="center"/>
          </w:tcPr>
          <w:p w14:paraId="6119C68E" w14:textId="7DD46806" w:rsidR="0023267B" w:rsidRPr="004C567F" w:rsidRDefault="004B14AB" w:rsidP="004C567F">
            <w:pPr>
              <w:pStyle w:val="TableTextRight"/>
            </w:pPr>
            <w:r w:rsidRPr="004C567F">
              <w:noBreakHyphen/>
            </w:r>
            <w:r w:rsidR="0023267B" w:rsidRPr="004C567F">
              <w:t>4.1</w:t>
            </w:r>
          </w:p>
        </w:tc>
        <w:tc>
          <w:tcPr>
            <w:tcW w:w="472" w:type="pct"/>
            <w:tcBorders>
              <w:top w:val="nil"/>
              <w:left w:val="nil"/>
              <w:bottom w:val="nil"/>
              <w:right w:val="nil"/>
            </w:tcBorders>
            <w:vAlign w:val="center"/>
          </w:tcPr>
          <w:p w14:paraId="34E314AC" w14:textId="71150934" w:rsidR="0023267B" w:rsidRPr="004C567F" w:rsidRDefault="0023267B" w:rsidP="004C567F">
            <w:pPr>
              <w:pStyle w:val="TableTextRight"/>
            </w:pPr>
            <w:r w:rsidRPr="004C567F">
              <w:t>39</w:t>
            </w:r>
          </w:p>
        </w:tc>
        <w:tc>
          <w:tcPr>
            <w:tcW w:w="472" w:type="pct"/>
            <w:tcBorders>
              <w:top w:val="nil"/>
              <w:left w:val="nil"/>
              <w:bottom w:val="nil"/>
              <w:right w:val="nil"/>
            </w:tcBorders>
            <w:vAlign w:val="center"/>
          </w:tcPr>
          <w:p w14:paraId="069CD138" w14:textId="4F0F0B99" w:rsidR="0023267B" w:rsidRPr="004C567F" w:rsidRDefault="0023267B" w:rsidP="004C567F">
            <w:pPr>
              <w:pStyle w:val="TableTextRight"/>
            </w:pPr>
            <w:r w:rsidRPr="004C567F">
              <w:t>3.0</w:t>
            </w:r>
          </w:p>
        </w:tc>
        <w:tc>
          <w:tcPr>
            <w:tcW w:w="786" w:type="pct"/>
            <w:tcBorders>
              <w:top w:val="nil"/>
              <w:left w:val="nil"/>
              <w:bottom w:val="nil"/>
              <w:right w:val="nil"/>
            </w:tcBorders>
            <w:vAlign w:val="center"/>
          </w:tcPr>
          <w:p w14:paraId="491316CD" w14:textId="0F3CC23A" w:rsidR="0023267B" w:rsidRPr="004C567F" w:rsidRDefault="0023267B" w:rsidP="004C567F">
            <w:pPr>
              <w:pStyle w:val="TableTextRight"/>
            </w:pPr>
            <w:r w:rsidRPr="004C567F">
              <w:t>422</w:t>
            </w:r>
          </w:p>
        </w:tc>
        <w:tc>
          <w:tcPr>
            <w:tcW w:w="785" w:type="pct"/>
            <w:tcBorders>
              <w:top w:val="nil"/>
              <w:left w:val="nil"/>
              <w:bottom w:val="nil"/>
              <w:right w:val="nil"/>
            </w:tcBorders>
            <w:vAlign w:val="center"/>
          </w:tcPr>
          <w:p w14:paraId="7C5E9EEB" w14:textId="58A7AED5" w:rsidR="0023267B" w:rsidRPr="004C567F" w:rsidRDefault="004B14AB" w:rsidP="004C567F">
            <w:pPr>
              <w:pStyle w:val="TableTextRight"/>
            </w:pPr>
            <w:r w:rsidRPr="004C567F">
              <w:noBreakHyphen/>
            </w:r>
            <w:r w:rsidR="0023267B" w:rsidRPr="004C567F">
              <w:t>3,519</w:t>
            </w:r>
          </w:p>
        </w:tc>
      </w:tr>
      <w:tr w:rsidR="00EA5A0A" w:rsidRPr="00116886" w14:paraId="3460848B" w14:textId="77777777" w:rsidTr="002375F0">
        <w:tc>
          <w:tcPr>
            <w:tcW w:w="1541" w:type="pct"/>
            <w:tcBorders>
              <w:bottom w:val="single" w:sz="4" w:space="0" w:color="auto"/>
              <w:right w:val="nil"/>
            </w:tcBorders>
          </w:tcPr>
          <w:p w14:paraId="07F19472" w14:textId="77777777" w:rsidR="0023267B" w:rsidRPr="004C567F" w:rsidRDefault="0023267B" w:rsidP="004C567F">
            <w:pPr>
              <w:pStyle w:val="TableColumnHeadingLeft"/>
            </w:pPr>
            <w:r w:rsidRPr="004C567F">
              <w:t>Australian Capital Territory</w:t>
            </w:r>
          </w:p>
        </w:tc>
        <w:tc>
          <w:tcPr>
            <w:tcW w:w="472" w:type="pct"/>
            <w:tcBorders>
              <w:top w:val="nil"/>
              <w:left w:val="nil"/>
              <w:bottom w:val="single" w:sz="4" w:space="0" w:color="auto"/>
              <w:right w:val="nil"/>
            </w:tcBorders>
            <w:vAlign w:val="center"/>
          </w:tcPr>
          <w:p w14:paraId="59D88492" w14:textId="33EAF693" w:rsidR="0023267B" w:rsidRPr="004C567F" w:rsidRDefault="004B14AB" w:rsidP="004C567F">
            <w:pPr>
              <w:pStyle w:val="TableTextRight"/>
            </w:pPr>
            <w:r w:rsidRPr="004C567F">
              <w:noBreakHyphen/>
            </w:r>
            <w:r w:rsidR="0023267B" w:rsidRPr="004C567F">
              <w:t>175</w:t>
            </w:r>
          </w:p>
        </w:tc>
        <w:tc>
          <w:tcPr>
            <w:tcW w:w="472" w:type="pct"/>
            <w:tcBorders>
              <w:top w:val="nil"/>
              <w:left w:val="nil"/>
              <w:bottom w:val="single" w:sz="4" w:space="0" w:color="auto"/>
              <w:right w:val="nil"/>
            </w:tcBorders>
            <w:vAlign w:val="center"/>
          </w:tcPr>
          <w:p w14:paraId="6262C6DA" w14:textId="58022D08" w:rsidR="0023267B" w:rsidRPr="004C567F" w:rsidRDefault="004B14AB" w:rsidP="004C567F">
            <w:pPr>
              <w:pStyle w:val="TableTextRight"/>
            </w:pPr>
            <w:r w:rsidRPr="004C567F">
              <w:noBreakHyphen/>
            </w:r>
            <w:r w:rsidR="0023267B" w:rsidRPr="004C567F">
              <w:t>3.1</w:t>
            </w:r>
          </w:p>
        </w:tc>
        <w:tc>
          <w:tcPr>
            <w:tcW w:w="472" w:type="pct"/>
            <w:tcBorders>
              <w:top w:val="nil"/>
              <w:left w:val="nil"/>
              <w:bottom w:val="single" w:sz="4" w:space="0" w:color="auto"/>
              <w:right w:val="nil"/>
            </w:tcBorders>
            <w:vAlign w:val="center"/>
          </w:tcPr>
          <w:p w14:paraId="02739608" w14:textId="66867E9F" w:rsidR="0023267B" w:rsidRPr="004C567F" w:rsidRDefault="004B14AB" w:rsidP="004C567F">
            <w:pPr>
              <w:pStyle w:val="TableTextRight"/>
            </w:pPr>
            <w:r w:rsidRPr="004C567F">
              <w:noBreakHyphen/>
            </w:r>
            <w:r w:rsidR="0023267B" w:rsidRPr="004C567F">
              <w:t>83</w:t>
            </w:r>
          </w:p>
        </w:tc>
        <w:tc>
          <w:tcPr>
            <w:tcW w:w="472" w:type="pct"/>
            <w:tcBorders>
              <w:top w:val="nil"/>
              <w:left w:val="nil"/>
              <w:bottom w:val="single" w:sz="4" w:space="0" w:color="auto"/>
              <w:right w:val="nil"/>
            </w:tcBorders>
            <w:vAlign w:val="center"/>
          </w:tcPr>
          <w:p w14:paraId="274F558C" w14:textId="50B4771F" w:rsidR="0023267B" w:rsidRPr="004C567F" w:rsidRDefault="004B14AB" w:rsidP="004C567F">
            <w:pPr>
              <w:pStyle w:val="TableTextRight"/>
            </w:pPr>
            <w:r w:rsidRPr="004C567F">
              <w:noBreakHyphen/>
            </w:r>
            <w:r w:rsidR="0023267B" w:rsidRPr="004C567F">
              <w:t>3.5</w:t>
            </w:r>
          </w:p>
        </w:tc>
        <w:tc>
          <w:tcPr>
            <w:tcW w:w="786" w:type="pct"/>
            <w:tcBorders>
              <w:top w:val="nil"/>
              <w:left w:val="nil"/>
              <w:bottom w:val="single" w:sz="4" w:space="0" w:color="auto"/>
              <w:right w:val="nil"/>
            </w:tcBorders>
            <w:vAlign w:val="center"/>
          </w:tcPr>
          <w:p w14:paraId="2991AEE2" w14:textId="438F0003" w:rsidR="0023267B" w:rsidRPr="004C567F" w:rsidRDefault="0023267B" w:rsidP="004C567F">
            <w:pPr>
              <w:pStyle w:val="TableTextRight"/>
            </w:pPr>
            <w:r w:rsidRPr="004C567F">
              <w:t>741</w:t>
            </w:r>
          </w:p>
        </w:tc>
        <w:tc>
          <w:tcPr>
            <w:tcW w:w="785" w:type="pct"/>
            <w:tcBorders>
              <w:top w:val="nil"/>
              <w:left w:val="nil"/>
              <w:bottom w:val="single" w:sz="4" w:space="0" w:color="auto"/>
              <w:right w:val="nil"/>
            </w:tcBorders>
            <w:vAlign w:val="center"/>
          </w:tcPr>
          <w:p w14:paraId="54EEE878" w14:textId="364AC68A" w:rsidR="0023267B" w:rsidRPr="004C567F" w:rsidRDefault="004B14AB" w:rsidP="004C567F">
            <w:pPr>
              <w:pStyle w:val="TableTextRight"/>
            </w:pPr>
            <w:r w:rsidRPr="004C567F">
              <w:noBreakHyphen/>
            </w:r>
            <w:r w:rsidR="0023267B" w:rsidRPr="004C567F">
              <w:t>3,032</w:t>
            </w:r>
          </w:p>
        </w:tc>
      </w:tr>
    </w:tbl>
    <w:p w14:paraId="0A8A7592" w14:textId="6DAF73A6" w:rsidR="003B36A6" w:rsidRPr="00ED5B08" w:rsidRDefault="003B36A6" w:rsidP="002375F0">
      <w:pPr>
        <w:pStyle w:val="ChartorTableNote"/>
      </w:pPr>
      <w:r w:rsidRPr="00ED5B08">
        <w:t>Note:</w:t>
      </w:r>
      <w:r w:rsidR="00A653DE">
        <w:tab/>
      </w:r>
      <w:r w:rsidRPr="00ED5B08">
        <w:t>Positive numbers indicate an underestimation while negative numbers indicate an overestimation.</w:t>
      </w:r>
    </w:p>
    <w:p w14:paraId="0C747C98" w14:textId="2C61C418" w:rsidR="003B36A6" w:rsidRDefault="003B36A6" w:rsidP="00C14BAE">
      <w:pPr>
        <w:pStyle w:val="Source"/>
        <w:rPr>
          <w:rStyle w:val="Hyperlink"/>
        </w:rPr>
      </w:pPr>
      <w:r w:rsidRPr="00ED5B08">
        <w:t>Source:</w:t>
      </w:r>
      <w:r w:rsidR="00A653DE">
        <w:tab/>
      </w:r>
      <w:r w:rsidR="00DD1DCF" w:rsidRPr="00ED5B08">
        <w:t>ABS</w:t>
      </w:r>
      <w:r w:rsidRPr="00ED5B08">
        <w:t>, National, state and territory population, March 202</w:t>
      </w:r>
      <w:r w:rsidR="003955D5" w:rsidRPr="00ED5B08">
        <w:t>3</w:t>
      </w:r>
      <w:r w:rsidRPr="00ED5B08">
        <w:t xml:space="preserve"> and Centre for Population projections.</w:t>
      </w:r>
    </w:p>
    <w:p w14:paraId="400720D3" w14:textId="77777777" w:rsidR="00DB4A76" w:rsidRPr="00DB4A76" w:rsidRDefault="00DB4A76" w:rsidP="00DB4A76">
      <w:pPr>
        <w:pStyle w:val="SingleParagraph"/>
      </w:pPr>
    </w:p>
    <w:p w14:paraId="1ACCC794" w14:textId="6C18E0E4" w:rsidR="0048592A" w:rsidRPr="0048592A" w:rsidRDefault="003955D5" w:rsidP="0028054E">
      <w:pPr>
        <w:pStyle w:val="ChartMainHeading"/>
      </w:pPr>
      <w:bookmarkStart w:id="220" w:name="_Ref120622151"/>
      <w:bookmarkStart w:id="221" w:name="_Ref152623434"/>
      <w:r w:rsidRPr="00ED5B08">
        <w:t>Difference between 202</w:t>
      </w:r>
      <w:r w:rsidR="008873E0" w:rsidRPr="00ED5B08">
        <w:t>2</w:t>
      </w:r>
      <w:r w:rsidRPr="00ED5B08">
        <w:t xml:space="preserve"> Population Statement overseas migration forecast and outcome, 202</w:t>
      </w:r>
      <w:bookmarkEnd w:id="220"/>
      <w:r w:rsidR="008873E0" w:rsidRPr="00ED5B08">
        <w:t>1</w:t>
      </w:r>
      <w:r w:rsidRPr="00ED5B08">
        <w:t>–2</w:t>
      </w:r>
      <w:r w:rsidR="008873E0" w:rsidRPr="00ED5B08">
        <w:t>2</w:t>
      </w:r>
      <w:bookmarkEnd w:id="221"/>
    </w:p>
    <w:p w14:paraId="7FD6C7FC" w14:textId="26800F79" w:rsidR="00B16F3E" w:rsidRPr="00B16F3E" w:rsidRDefault="00B16F3E" w:rsidP="00F726A8">
      <w:r w:rsidRPr="00B16F3E">
        <w:rPr>
          <w:noProof/>
        </w:rPr>
        <w:drawing>
          <wp:inline distT="0" distB="0" distL="0" distR="0" wp14:anchorId="5B77575C" wp14:editId="15CE18DD">
            <wp:extent cx="5581650" cy="2874010"/>
            <wp:effectExtent l="0" t="0" r="0" b="2540"/>
            <wp:docPr id="123" name="Picture 123" descr="This chart shows the largest difference between the 2022 Population Statement overseas migration forecasts and outcomes is for temporary visa migrant arrivals, where the forecast is lower by 57,000. Forecast errors for all other visa groups were under 10,000 in ei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is chart shows the largest difference between the 2022 Population Statement overseas migration forecasts and outcomes is for temporary visa migrant arrivals, where the forecast is lower by 57,000. Forecast errors for all other visa groups were under 10,000 in either direc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1650" cy="2874010"/>
                    </a:xfrm>
                    <a:prstGeom prst="rect">
                      <a:avLst/>
                    </a:prstGeom>
                    <a:noFill/>
                    <a:ln>
                      <a:noFill/>
                    </a:ln>
                  </pic:spPr>
                </pic:pic>
              </a:graphicData>
            </a:graphic>
          </wp:inline>
        </w:drawing>
      </w:r>
    </w:p>
    <w:p w14:paraId="04926850" w14:textId="2340A6C3" w:rsidR="00ED5B08" w:rsidRDefault="003955D5" w:rsidP="0030706E">
      <w:pPr>
        <w:pStyle w:val="ChartorTableNote"/>
      </w:pPr>
      <w:r w:rsidRPr="00ED5B08">
        <w:t>Note:</w:t>
      </w:r>
      <w:r w:rsidR="00ED5B08">
        <w:tab/>
      </w:r>
      <w:r w:rsidRPr="00ED5B08">
        <w:t>Positive numbers indicate an underestimation while negative numbers indicate an overestimation.</w:t>
      </w:r>
    </w:p>
    <w:p w14:paraId="2B168D83" w14:textId="40F1D071" w:rsidR="00F91CB9" w:rsidRDefault="003955D5" w:rsidP="00E01AE5">
      <w:pPr>
        <w:pStyle w:val="Source"/>
        <w:rPr>
          <w:rStyle w:val="Hyperlink"/>
        </w:rPr>
      </w:pPr>
      <w:r w:rsidRPr="00ED5B08">
        <w:t>Source:</w:t>
      </w:r>
      <w:r w:rsidR="00ED5B08">
        <w:tab/>
      </w:r>
      <w:r w:rsidR="00DD1DCF" w:rsidRPr="00ED5B08">
        <w:t>ABS</w:t>
      </w:r>
      <w:r w:rsidRPr="00ED5B08">
        <w:t>, Customised data consultancy and Centre for Population projections.</w:t>
      </w:r>
      <w:bookmarkStart w:id="222" w:name="_Toc151994734"/>
    </w:p>
    <w:p w14:paraId="55DB8F93" w14:textId="77777777" w:rsidR="00F91CB9" w:rsidRDefault="00F91CB9">
      <w:pPr>
        <w:spacing w:before="0" w:after="160" w:line="259" w:lineRule="auto"/>
        <w:rPr>
          <w:rStyle w:val="Hyperlink"/>
          <w:sz w:val="18"/>
          <w:bdr w:val="none" w:sz="0" w:space="0" w:color="auto" w:frame="1"/>
        </w:rPr>
      </w:pPr>
      <w:r>
        <w:rPr>
          <w:rStyle w:val="Hyperlink"/>
        </w:rPr>
        <w:br w:type="page"/>
      </w:r>
    </w:p>
    <w:p w14:paraId="45B058F6" w14:textId="209D47D3" w:rsidR="00DB5EF5" w:rsidRPr="00FD68B9" w:rsidRDefault="00DB5EF5" w:rsidP="002375F0">
      <w:pPr>
        <w:pStyle w:val="Heading2Numbered"/>
      </w:pPr>
      <w:r>
        <w:lastRenderedPageBreak/>
        <w:t xml:space="preserve"> </w:t>
      </w:r>
      <w:bookmarkStart w:id="223" w:name="_Toc154050223"/>
      <w:r>
        <w:t>Compar</w:t>
      </w:r>
      <w:r w:rsidR="00AF2A7B">
        <w:t>ison</w:t>
      </w:r>
      <w:r w:rsidR="00372E6A">
        <w:t xml:space="preserve"> to the</w:t>
      </w:r>
      <w:r>
        <w:t xml:space="preserve"> ABS</w:t>
      </w:r>
      <w:r w:rsidR="00F86C33">
        <w:t xml:space="preserve"> population</w:t>
      </w:r>
      <w:r>
        <w:t xml:space="preserve"> projections</w:t>
      </w:r>
      <w:bookmarkEnd w:id="222"/>
      <w:bookmarkEnd w:id="223"/>
    </w:p>
    <w:p w14:paraId="3030956B" w14:textId="741AFD52" w:rsidR="0001777D" w:rsidRDefault="003D7A9B" w:rsidP="00ED5B08">
      <w:r w:rsidRPr="003D7A9B">
        <w:t xml:space="preserve">Every </w:t>
      </w:r>
      <w:r w:rsidR="00377429">
        <w:t>5 </w:t>
      </w:r>
      <w:r w:rsidRPr="003D7A9B">
        <w:t xml:space="preserve">years the ABS publishes </w:t>
      </w:r>
      <w:r w:rsidR="006D551E">
        <w:t xml:space="preserve">a set of </w:t>
      </w:r>
      <w:r w:rsidRPr="003D7A9B">
        <w:t>long</w:t>
      </w:r>
      <w:r w:rsidR="004B14AB">
        <w:noBreakHyphen/>
      </w:r>
      <w:r w:rsidRPr="003D7A9B">
        <w:t>run projections of Australia</w:t>
      </w:r>
      <w:r w:rsidR="004B14AB">
        <w:t>‘</w:t>
      </w:r>
      <w:r w:rsidRPr="003D7A9B">
        <w:t xml:space="preserve">s population </w:t>
      </w:r>
      <w:r w:rsidR="00E272B0">
        <w:t xml:space="preserve">at the national, </w:t>
      </w:r>
      <w:r w:rsidR="00DA72DA">
        <w:t xml:space="preserve">state and </w:t>
      </w:r>
      <w:r w:rsidRPr="003D7A9B">
        <w:t>GCCSA level</w:t>
      </w:r>
      <w:r w:rsidR="00DA72DA">
        <w:t>s</w:t>
      </w:r>
      <w:r w:rsidRPr="003D7A9B">
        <w:t xml:space="preserve"> out 50</w:t>
      </w:r>
      <w:r w:rsidR="00377429">
        <w:t> year</w:t>
      </w:r>
      <w:r w:rsidRPr="003D7A9B">
        <w:t xml:space="preserve">s. </w:t>
      </w:r>
      <w:r w:rsidR="00D42607">
        <w:t xml:space="preserve">The </w:t>
      </w:r>
      <w:r>
        <w:t>latest</w:t>
      </w:r>
      <w:r w:rsidR="002D08F4">
        <w:t xml:space="preserve"> projections </w:t>
      </w:r>
      <w:r w:rsidR="00833CF5">
        <w:t>were release</w:t>
      </w:r>
      <w:r w:rsidR="00786507">
        <w:t>d</w:t>
      </w:r>
      <w:r w:rsidR="00833CF5">
        <w:t xml:space="preserve"> </w:t>
      </w:r>
      <w:r w:rsidR="00845521">
        <w:t>on 2</w:t>
      </w:r>
      <w:r w:rsidR="00723643">
        <w:t>3</w:t>
      </w:r>
      <w:r w:rsidR="00845521">
        <w:t xml:space="preserve"> November 2023. </w:t>
      </w:r>
      <w:r w:rsidR="00C94DD0">
        <w:t xml:space="preserve">They </w:t>
      </w:r>
      <w:r w:rsidR="00623953">
        <w:t>present</w:t>
      </w:r>
      <w:r w:rsidR="00C94DD0">
        <w:t xml:space="preserve"> what would happen to Australia</w:t>
      </w:r>
      <w:r w:rsidR="004B14AB">
        <w:t>’</w:t>
      </w:r>
      <w:r w:rsidR="00C94DD0">
        <w:t>s population if assumed levels of the components of population change (births, deaths and migration) were to occur between 2022 and 2071.</w:t>
      </w:r>
      <w:r w:rsidR="005233AF">
        <w:t xml:space="preserve"> </w:t>
      </w:r>
    </w:p>
    <w:p w14:paraId="703C5915" w14:textId="5E4EA56B" w:rsidR="00DB5EF5" w:rsidRDefault="00336C77" w:rsidP="00ED5B08">
      <w:r w:rsidRPr="00336C77">
        <w:t>The ABS</w:t>
      </w:r>
      <w:r w:rsidR="004B14AB">
        <w:t>’</w:t>
      </w:r>
      <w:r w:rsidRPr="00336C77">
        <w:t>s assumptions are formulated based on past demographic trends</w:t>
      </w:r>
      <w:r>
        <w:t xml:space="preserve"> and</w:t>
      </w:r>
      <w:r w:rsidR="00AA15BD">
        <w:t>, unlike the Centre</w:t>
      </w:r>
      <w:r w:rsidR="004B14AB">
        <w:t>’</w:t>
      </w:r>
      <w:r w:rsidR="00AA15BD">
        <w:t>s,</w:t>
      </w:r>
      <w:r>
        <w:t xml:space="preserve"> do not allow for non</w:t>
      </w:r>
      <w:r w:rsidR="004B14AB">
        <w:noBreakHyphen/>
      </w:r>
      <w:r>
        <w:t>demographic factors</w:t>
      </w:r>
      <w:r w:rsidR="006B2A1E">
        <w:t xml:space="preserve"> such as government policy, economic factors</w:t>
      </w:r>
      <w:r w:rsidR="00C20ED3">
        <w:t xml:space="preserve"> or significant health treatment </w:t>
      </w:r>
      <w:r w:rsidR="00291654">
        <w:t>improvements.</w:t>
      </w:r>
      <w:r w:rsidRPr="00336C77">
        <w:t xml:space="preserve"> </w:t>
      </w:r>
      <w:r w:rsidR="00821DDA" w:rsidRPr="005233AF">
        <w:t xml:space="preserve">In total the ABS produces 54 scenarios (72 including the zero </w:t>
      </w:r>
      <w:r w:rsidR="00DF6594">
        <w:t>net overseas migration</w:t>
      </w:r>
      <w:r w:rsidR="00821DDA" w:rsidRPr="005233AF">
        <w:t xml:space="preserve"> scenarios). These are intended to illustrate a range of possible future outcomes</w:t>
      </w:r>
      <w:r w:rsidR="00291654">
        <w:t>.</w:t>
      </w:r>
    </w:p>
    <w:p w14:paraId="2313B972" w14:textId="3F102497" w:rsidR="00B51CFB" w:rsidRDefault="00B51CFB" w:rsidP="009E1A74">
      <w:pPr>
        <w:pStyle w:val="Heading3Numbered"/>
      </w:pPr>
      <w:r>
        <w:t>National</w:t>
      </w:r>
    </w:p>
    <w:p w14:paraId="2596A267" w14:textId="5CA500C1" w:rsidR="00C94DD0" w:rsidRDefault="006F0C7F" w:rsidP="00C94DD0">
      <w:r>
        <w:t>Th</w:t>
      </w:r>
      <w:r w:rsidR="003B5EA3">
        <w:t xml:space="preserve">e </w:t>
      </w:r>
      <w:r w:rsidR="00B02548">
        <w:t>2023 Population Statement</w:t>
      </w:r>
      <w:r>
        <w:t>’s</w:t>
      </w:r>
      <w:r w:rsidR="00B02548">
        <w:t xml:space="preserve"> project</w:t>
      </w:r>
      <w:r w:rsidR="00783C41">
        <w:t>ed</w:t>
      </w:r>
      <w:r w:rsidR="00B02548">
        <w:t xml:space="preserve"> population </w:t>
      </w:r>
      <w:r>
        <w:t>for 2033</w:t>
      </w:r>
      <w:r w:rsidR="00D05622">
        <w:t>–</w:t>
      </w:r>
      <w:r>
        <w:t>34</w:t>
      </w:r>
      <w:r w:rsidR="00B02548">
        <w:t xml:space="preserve"> </w:t>
      </w:r>
      <w:r w:rsidR="00FD5A7C">
        <w:t>(</w:t>
      </w:r>
      <w:r w:rsidR="00FF68AD">
        <w:t>30.9 million) is</w:t>
      </w:r>
      <w:r w:rsidR="00B02548">
        <w:t xml:space="preserve"> within the range of </w:t>
      </w:r>
      <w:r w:rsidR="00FF68AD">
        <w:t>the</w:t>
      </w:r>
      <w:r w:rsidR="003B5EA3">
        <w:t xml:space="preserve"> ABS project</w:t>
      </w:r>
      <w:r w:rsidR="00FF68AD">
        <w:t>ion</w:t>
      </w:r>
      <w:r w:rsidR="002E52AA">
        <w:t>s</w:t>
      </w:r>
      <w:r w:rsidR="001C7187">
        <w:t xml:space="preserve"> of</w:t>
      </w:r>
      <w:r w:rsidR="002E52AA">
        <w:t xml:space="preserve"> </w:t>
      </w:r>
      <w:r w:rsidR="003B5EA3">
        <w:t xml:space="preserve">between </w:t>
      </w:r>
      <w:r w:rsidR="008A17F3">
        <w:t>29.7</w:t>
      </w:r>
      <w:r w:rsidR="00B50A82">
        <w:t xml:space="preserve"> and 31.6 million</w:t>
      </w:r>
      <w:r>
        <w:t>, although</w:t>
      </w:r>
      <w:r w:rsidR="00CE7D1C">
        <w:t xml:space="preserve"> </w:t>
      </w:r>
      <w:r w:rsidR="00051817">
        <w:t>is</w:t>
      </w:r>
      <w:r w:rsidR="00CE7D1C">
        <w:t xml:space="preserve"> </w:t>
      </w:r>
      <w:r w:rsidR="00FB466C">
        <w:t>331,000</w:t>
      </w:r>
      <w:r w:rsidR="00CE7D1C">
        <w:t xml:space="preserve"> (</w:t>
      </w:r>
      <w:r w:rsidR="00AF1A7B">
        <w:t>1.1</w:t>
      </w:r>
      <w:r w:rsidR="001F3B6F">
        <w:t> per cent</w:t>
      </w:r>
      <w:r w:rsidR="00CE7D1C">
        <w:t>) highe</w:t>
      </w:r>
      <w:r w:rsidR="003F58F9">
        <w:t>r</w:t>
      </w:r>
      <w:r w:rsidR="00CE7D1C">
        <w:t xml:space="preserve"> </w:t>
      </w:r>
      <w:r w:rsidR="00AB15B0">
        <w:t>than the ABS</w:t>
      </w:r>
      <w:r w:rsidR="004B14AB">
        <w:t>’</w:t>
      </w:r>
      <w:r w:rsidR="00AB15B0">
        <w:t>s medium growth scenario</w:t>
      </w:r>
      <w:r>
        <w:t xml:space="preserve"> (</w:t>
      </w:r>
      <w:r w:rsidR="00753750">
        <w:fldChar w:fldCharType="begin"/>
      </w:r>
      <w:r w:rsidR="00753750">
        <w:instrText xml:space="preserve"> REF _Ref152917682 \r \h </w:instrText>
      </w:r>
      <w:r w:rsidR="00753750">
        <w:fldChar w:fldCharType="separate"/>
      </w:r>
      <w:r w:rsidR="00CE6FEA">
        <w:t>Chart 37</w:t>
      </w:r>
      <w:r w:rsidR="00753750">
        <w:fldChar w:fldCharType="end"/>
      </w:r>
      <w:r>
        <w:t>)</w:t>
      </w:r>
      <w:r w:rsidR="00CE7D1C">
        <w:t>.</w:t>
      </w:r>
      <w:r w:rsidR="00D535EE">
        <w:t xml:space="preserve"> This difference is driven by </w:t>
      </w:r>
      <w:r w:rsidR="003F58F9">
        <w:t xml:space="preserve">the </w:t>
      </w:r>
      <w:r w:rsidR="009F7B6E">
        <w:t>different a</w:t>
      </w:r>
      <w:r w:rsidR="003F58F9">
        <w:t>ge structure</w:t>
      </w:r>
      <w:r w:rsidR="008A47E4">
        <w:t xml:space="preserve"> of the population</w:t>
      </w:r>
      <w:r w:rsidR="00A730EE">
        <w:t xml:space="preserve">, with the </w:t>
      </w:r>
      <w:r w:rsidR="00DA44B2">
        <w:t>2023 Population Statement</w:t>
      </w:r>
      <w:r w:rsidR="00A730EE">
        <w:t xml:space="preserve"> having a </w:t>
      </w:r>
      <w:r w:rsidR="00DA44B2">
        <w:t>lower</w:t>
      </w:r>
      <w:r w:rsidR="00A730EE">
        <w:t xml:space="preserve"> median age, </w:t>
      </w:r>
      <w:r w:rsidR="00012B62">
        <w:t>more births</w:t>
      </w:r>
      <w:r w:rsidR="00C67F48">
        <w:t>,</w:t>
      </w:r>
      <w:r w:rsidR="00012B62">
        <w:t xml:space="preserve"> and</w:t>
      </w:r>
      <w:r w:rsidR="00A730EE">
        <w:t xml:space="preserve"> </w:t>
      </w:r>
      <w:r w:rsidR="00DA44B2">
        <w:t xml:space="preserve">fewer </w:t>
      </w:r>
      <w:r w:rsidR="00A730EE">
        <w:t xml:space="preserve">deaths </w:t>
      </w:r>
      <w:r w:rsidR="00DA44B2">
        <w:t>(</w:t>
      </w:r>
      <w:r w:rsidR="00753750">
        <w:fldChar w:fldCharType="begin"/>
      </w:r>
      <w:r w:rsidR="00753750">
        <w:instrText xml:space="preserve"> REF _Ref152917634 \r \h </w:instrText>
      </w:r>
      <w:r w:rsidR="00753750">
        <w:fldChar w:fldCharType="separate"/>
      </w:r>
      <w:r w:rsidR="00CE6FEA">
        <w:t>Chart 38</w:t>
      </w:r>
      <w:r w:rsidR="00753750">
        <w:fldChar w:fldCharType="end"/>
      </w:r>
      <w:r w:rsidR="00DA44B2">
        <w:t>)</w:t>
      </w:r>
      <w:r w:rsidR="00A730EE">
        <w:t>.</w:t>
      </w:r>
    </w:p>
    <w:p w14:paraId="0BF7CDE4" w14:textId="6497165E" w:rsidR="000D119A" w:rsidRDefault="004153A8" w:rsidP="002375F0">
      <w:pPr>
        <w:pStyle w:val="ChartMainHeading"/>
      </w:pPr>
      <w:bookmarkStart w:id="224" w:name="_Ref152917682"/>
      <w:r>
        <w:t xml:space="preserve">National </w:t>
      </w:r>
      <w:r w:rsidR="00746CFE">
        <w:t>p</w:t>
      </w:r>
      <w:r>
        <w:t>opulation, comparison to ABS projections</w:t>
      </w:r>
      <w:bookmarkEnd w:id="224"/>
    </w:p>
    <w:p w14:paraId="5133C471" w14:textId="22957AB9" w:rsidR="000D119A" w:rsidRDefault="0047014C" w:rsidP="009F117D">
      <w:pPr>
        <w:pStyle w:val="ChartGraphic"/>
      </w:pPr>
      <w:r w:rsidRPr="0047014C">
        <w:t xml:space="preserve"> </w:t>
      </w:r>
      <w:r w:rsidR="00BF38BF" w:rsidRPr="00BF38BF">
        <w:rPr>
          <w:noProof/>
        </w:rPr>
        <w:drawing>
          <wp:inline distT="0" distB="0" distL="0" distR="0" wp14:anchorId="1D02BFAB" wp14:editId="231411BD">
            <wp:extent cx="5581650" cy="2886075"/>
            <wp:effectExtent l="0" t="0" r="0" b="0"/>
            <wp:docPr id="33" name="Picture 33" descr="A line chart comparing the population projections for Australia from 2022–23 to 2033–34 in the 2023 Population Statement and the Australian Bureau of Statistics’ projections. It shows that the 2023 Statement projects a larger population than the ABS medium series over the projections, but a lower population than the ABS high series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ine chart comparing the population projections for Australia from 2022–23 to 2033–34 in the 2023 Population Statement and the Australian Bureau of Statistics’ projections. It shows that the 2023 Statement projects a larger population than the ABS medium series over the projections, but a lower population than the ABS high series projectio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0BB6674D" w14:textId="1C14E76E" w:rsidR="00794398" w:rsidRDefault="00794398" w:rsidP="00F91CB9">
      <w:pPr>
        <w:pStyle w:val="ChartorTableNote"/>
      </w:pPr>
      <w:r w:rsidRPr="007D5E71">
        <w:t>Note:</w:t>
      </w:r>
      <w:r w:rsidR="00ED5B08">
        <w:tab/>
      </w:r>
      <w:r w:rsidR="00AF2A7B">
        <w:t xml:space="preserve">The </w:t>
      </w:r>
      <w:r>
        <w:t>s</w:t>
      </w:r>
      <w:r w:rsidRPr="007D5E71">
        <w:t>haded area shows the range of high and low scenarios.</w:t>
      </w:r>
    </w:p>
    <w:p w14:paraId="5436F2EE" w14:textId="1C74246E" w:rsidR="004379B5" w:rsidRPr="00F80376" w:rsidRDefault="00BA60B0" w:rsidP="00075B32">
      <w:pPr>
        <w:pStyle w:val="Source"/>
        <w:rPr>
          <w:szCs w:val="18"/>
        </w:rPr>
      </w:pPr>
      <w:r w:rsidRPr="00077286">
        <w:rPr>
          <w:szCs w:val="18"/>
        </w:rPr>
        <w:t>Source:</w:t>
      </w:r>
      <w:r w:rsidRPr="00077286">
        <w:rPr>
          <w:szCs w:val="18"/>
        </w:rPr>
        <w:tab/>
      </w:r>
      <w:r w:rsidRPr="00077286">
        <w:rPr>
          <w:rFonts w:ascii="Calibri" w:hAnsi="Calibri" w:cs="Calibri"/>
          <w:szCs w:val="18"/>
        </w:rPr>
        <w:t xml:space="preserve">ABS, </w:t>
      </w:r>
      <w:r w:rsidR="00AE61FE" w:rsidRPr="00077286">
        <w:rPr>
          <w:rFonts w:ascii="Calibri" w:hAnsi="Calibri" w:cs="Calibri"/>
          <w:noProof/>
          <w:szCs w:val="18"/>
        </w:rPr>
        <w:t xml:space="preserve">Population Projections, 2022 </w:t>
      </w:r>
      <w:r w:rsidR="009945B7">
        <w:t>(</w:t>
      </w:r>
      <w:r w:rsidR="009945B7" w:rsidRPr="00075B32">
        <w:t>base</w:t>
      </w:r>
      <w:r w:rsidR="009945B7">
        <w:t xml:space="preserve">) </w:t>
      </w:r>
      <w:r w:rsidR="009945B7" w:rsidRPr="00703EF7">
        <w:t>–</w:t>
      </w:r>
      <w:r w:rsidR="009945B7">
        <w:t xml:space="preserve"> 2071</w:t>
      </w:r>
      <w:r w:rsidR="009945B7" w:rsidRPr="00075B32">
        <w:t xml:space="preserve"> </w:t>
      </w:r>
      <w:r w:rsidR="00AE61FE" w:rsidRPr="00077286">
        <w:rPr>
          <w:rFonts w:ascii="Calibri" w:hAnsi="Calibri" w:cs="Calibri"/>
          <w:szCs w:val="18"/>
        </w:rPr>
        <w:t>and Centre for Population projections.</w:t>
      </w:r>
    </w:p>
    <w:p w14:paraId="5A1AA4DA" w14:textId="79C6DBE3" w:rsidR="00ED5B08" w:rsidRPr="00F125E2" w:rsidRDefault="00F91CB9" w:rsidP="00F91CB9">
      <w:pPr>
        <w:spacing w:before="0" w:after="160" w:line="259" w:lineRule="auto"/>
      </w:pPr>
      <w:r>
        <w:br w:type="page"/>
      </w:r>
    </w:p>
    <w:p w14:paraId="39BEC5CF" w14:textId="0687749E" w:rsidR="00E60EE3" w:rsidRDefault="00530991" w:rsidP="002375F0">
      <w:pPr>
        <w:pStyle w:val="ChartMainHeading"/>
      </w:pPr>
      <w:bookmarkStart w:id="225" w:name="_Ref152917634"/>
      <w:r>
        <w:lastRenderedPageBreak/>
        <w:t>Difference in population</w:t>
      </w:r>
      <w:r w:rsidR="00E60EE3">
        <w:t xml:space="preserve">, </w:t>
      </w:r>
      <w:r>
        <w:t xml:space="preserve">2023 Population Statement less ABS </w:t>
      </w:r>
      <w:r w:rsidR="0079742A">
        <w:t>m</w:t>
      </w:r>
      <w:r>
        <w:t>edium scenario, by cumulative component contribution</w:t>
      </w:r>
      <w:bookmarkStart w:id="226" w:name="_Ref152144861"/>
      <w:bookmarkEnd w:id="225"/>
    </w:p>
    <w:bookmarkEnd w:id="226"/>
    <w:p w14:paraId="7F99162C" w14:textId="7BA22A4F" w:rsidR="00606952" w:rsidRDefault="00252565" w:rsidP="009F117D">
      <w:pPr>
        <w:pStyle w:val="ChartGraphic"/>
        <w:rPr>
          <w:rFonts w:ascii="Arial" w:hAnsi="Arial" w:cs="Arial"/>
          <w:sz w:val="18"/>
          <w:szCs w:val="18"/>
        </w:rPr>
      </w:pPr>
      <w:r w:rsidRPr="00252565">
        <w:rPr>
          <w:rFonts w:ascii="Arial" w:hAnsi="Arial" w:cs="Arial"/>
          <w:sz w:val="18"/>
          <w:szCs w:val="18"/>
        </w:rPr>
        <w:t xml:space="preserve"> </w:t>
      </w:r>
      <w:r w:rsidR="00910C91" w:rsidRPr="009F117D">
        <w:rPr>
          <w:noProof/>
        </w:rPr>
        <w:drawing>
          <wp:inline distT="0" distB="0" distL="0" distR="0" wp14:anchorId="5C56F7F4" wp14:editId="34C8CAD1">
            <wp:extent cx="5581650" cy="2886075"/>
            <wp:effectExtent l="0" t="0" r="0" b="0"/>
            <wp:docPr id="38" name="Picture 38" descr="A bar chart comparing the 2023 population statement and ABS medium scenario by cumulative component contributions. It shows that there are lower deaths and births, but higher net overseas migration in the 2023 population statement than projected in the ABS. This difference results in the pop statement projecting a smaller population by 2033-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ar chart comparing the 2023 population statement and ABS medium scenario by cumulative component contributions. It shows that there are lower deaths and births, but higher net overseas migration in the 2023 population statement than projected in the ABS. This difference results in the pop statement projecting a smaller population by 2033-34.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13E17A10" w14:textId="5467B3F2" w:rsidR="002E52AA" w:rsidRDefault="002E52AA" w:rsidP="00F91CB9">
      <w:pPr>
        <w:pStyle w:val="ChartorTableNote"/>
        <w:rPr>
          <w:rStyle w:val="SourceChar"/>
        </w:rPr>
      </w:pPr>
      <w:r w:rsidRPr="00F125E2">
        <w:rPr>
          <w:rStyle w:val="SourceChar"/>
        </w:rPr>
        <w:t>Note:</w:t>
      </w:r>
      <w:r w:rsidR="00ED5B08" w:rsidRPr="00606952">
        <w:rPr>
          <w:rStyle w:val="SourceChar"/>
        </w:rPr>
        <w:tab/>
      </w:r>
      <w:r w:rsidR="00AF2A7B" w:rsidRPr="00F125E2">
        <w:rPr>
          <w:rStyle w:val="SourceChar"/>
        </w:rPr>
        <w:t>P</w:t>
      </w:r>
      <w:r w:rsidRPr="00F125E2">
        <w:rPr>
          <w:rStyle w:val="SourceChar"/>
        </w:rPr>
        <w:t xml:space="preserve">ositive </w:t>
      </w:r>
      <w:r w:rsidR="004B14AB" w:rsidRPr="00F125E2">
        <w:rPr>
          <w:rStyle w:val="SourceChar"/>
        </w:rPr>
        <w:t>‘</w:t>
      </w:r>
      <w:r w:rsidR="00AF2A7B" w:rsidRPr="00F125E2">
        <w:rPr>
          <w:rStyle w:val="SourceChar"/>
        </w:rPr>
        <w:t>D</w:t>
      </w:r>
      <w:r w:rsidRPr="00F125E2">
        <w:rPr>
          <w:rStyle w:val="SourceChar"/>
        </w:rPr>
        <w:t>eaths</w:t>
      </w:r>
      <w:r w:rsidR="004B14AB" w:rsidRPr="00F125E2">
        <w:rPr>
          <w:rStyle w:val="SourceChar"/>
        </w:rPr>
        <w:t>’</w:t>
      </w:r>
      <w:r w:rsidRPr="00F125E2">
        <w:rPr>
          <w:rStyle w:val="SourceChar"/>
        </w:rPr>
        <w:t xml:space="preserve"> bar indicates lower deaths in the 2023 Population Statement projections</w:t>
      </w:r>
    </w:p>
    <w:p w14:paraId="1A4CB1C9" w14:textId="04BE3CBD" w:rsidR="003A3D31" w:rsidRPr="003A3D31" w:rsidRDefault="003A3D31" w:rsidP="00075B32">
      <w:pPr>
        <w:pStyle w:val="Source"/>
        <w:rPr>
          <w:color w:val="0563C1"/>
          <w:szCs w:val="18"/>
        </w:rPr>
      </w:pPr>
      <w:r w:rsidRPr="00C65B7B">
        <w:rPr>
          <w:szCs w:val="18"/>
        </w:rPr>
        <w:t>Source:</w:t>
      </w:r>
      <w:r w:rsidRPr="00C65B7B">
        <w:rPr>
          <w:szCs w:val="18"/>
        </w:rPr>
        <w:tab/>
      </w:r>
      <w:r w:rsidRPr="00C65B7B">
        <w:rPr>
          <w:rFonts w:ascii="Calibri" w:hAnsi="Calibri" w:cs="Calibri"/>
          <w:szCs w:val="18"/>
        </w:rPr>
        <w:t xml:space="preserve">ABS, </w:t>
      </w:r>
      <w:r w:rsidRPr="00C65B7B">
        <w:rPr>
          <w:rFonts w:ascii="Calibri" w:hAnsi="Calibri" w:cs="Calibri"/>
          <w:noProof/>
          <w:szCs w:val="18"/>
        </w:rPr>
        <w:t xml:space="preserve">Population </w:t>
      </w:r>
      <w:r w:rsidRPr="00077286">
        <w:rPr>
          <w:rFonts w:ascii="Calibri" w:hAnsi="Calibri" w:cs="Calibri"/>
          <w:noProof/>
          <w:szCs w:val="18"/>
        </w:rPr>
        <w:t>Projections</w:t>
      </w:r>
      <w:r w:rsidRPr="00077286">
        <w:rPr>
          <w:noProof/>
          <w:szCs w:val="18"/>
        </w:rPr>
        <w:t xml:space="preserve">, 2022 </w:t>
      </w:r>
      <w:r w:rsidR="009945B7">
        <w:t>(</w:t>
      </w:r>
      <w:r w:rsidR="009945B7" w:rsidRPr="00077286">
        <w:rPr>
          <w:szCs w:val="18"/>
        </w:rPr>
        <w:t>base</w:t>
      </w:r>
      <w:r w:rsidR="009945B7">
        <w:t xml:space="preserve">) </w:t>
      </w:r>
      <w:r w:rsidR="009945B7" w:rsidRPr="00703EF7">
        <w:t>–</w:t>
      </w:r>
      <w:r w:rsidR="009945B7">
        <w:t xml:space="preserve"> 2071</w:t>
      </w:r>
      <w:r w:rsidR="009945B7" w:rsidRPr="00077286">
        <w:rPr>
          <w:szCs w:val="18"/>
        </w:rPr>
        <w:t xml:space="preserve"> </w:t>
      </w:r>
      <w:r w:rsidRPr="00077286">
        <w:rPr>
          <w:szCs w:val="18"/>
        </w:rPr>
        <w:t>and Centre for Population projections.</w:t>
      </w:r>
    </w:p>
    <w:p w14:paraId="7B91F01C" w14:textId="0A5D7338" w:rsidR="003A3D31" w:rsidRDefault="003A3D31">
      <w:pPr>
        <w:spacing w:before="0" w:after="160" w:line="259" w:lineRule="auto"/>
      </w:pPr>
      <w:r>
        <w:br w:type="page"/>
      </w:r>
    </w:p>
    <w:p w14:paraId="51D2CDB3" w14:textId="77777777" w:rsidR="003A3D31" w:rsidRPr="007D5E71" w:rsidRDefault="003A3D31" w:rsidP="003A3D31">
      <w:pPr>
        <w:pStyle w:val="Heading3Numbered"/>
      </w:pPr>
      <w:r>
        <w:lastRenderedPageBreak/>
        <w:t>State</w:t>
      </w:r>
    </w:p>
    <w:p w14:paraId="2A47219B" w14:textId="3C11C8D6" w:rsidR="00B23771" w:rsidRDefault="00B23771" w:rsidP="00E171E2">
      <w:pPr>
        <w:keepLines/>
      </w:pPr>
      <w:r>
        <w:t xml:space="preserve">The largest difference </w:t>
      </w:r>
      <w:r w:rsidR="00FB458D">
        <w:t>between</w:t>
      </w:r>
      <w:r>
        <w:t xml:space="preserve"> the Centre’s state population forecasts for 2033</w:t>
      </w:r>
      <w:r w:rsidR="001A4A82">
        <w:t>–</w:t>
      </w:r>
      <w:r>
        <w:t xml:space="preserve">34, and the ABS medium </w:t>
      </w:r>
      <w:r w:rsidR="006302BC">
        <w:t xml:space="preserve">growth </w:t>
      </w:r>
      <w:r>
        <w:t>scenario, are for Western Australia (4.1</w:t>
      </w:r>
      <w:r w:rsidR="001F3B6F">
        <w:t> per cent</w:t>
      </w:r>
      <w:r>
        <w:t xml:space="preserve"> higher than the ABS)</w:t>
      </w:r>
      <w:r w:rsidR="008271DA">
        <w:t>,</w:t>
      </w:r>
      <w:r>
        <w:t xml:space="preserve"> the Australian Capital Territory (3.1</w:t>
      </w:r>
      <w:r w:rsidR="001F3B6F">
        <w:t> per cent</w:t>
      </w:r>
      <w:r>
        <w:t xml:space="preserve"> higher) and Tasmania (3.1</w:t>
      </w:r>
      <w:r w:rsidR="001F3B6F">
        <w:t> per cent</w:t>
      </w:r>
      <w:r>
        <w:t xml:space="preserve"> higher). These reflect the Centre assuming higher net overseas migration, with more births also contributing to the difference for Western Australia and the Australian Capital Territory</w:t>
      </w:r>
      <w:r w:rsidR="00995922">
        <w:t xml:space="preserve"> (</w:t>
      </w:r>
      <w:r w:rsidR="00995922">
        <w:fldChar w:fldCharType="begin"/>
      </w:r>
      <w:r w:rsidR="00995922">
        <w:instrText xml:space="preserve"> REF _Ref152145148 \r \h </w:instrText>
      </w:r>
      <w:r w:rsidR="00995922">
        <w:fldChar w:fldCharType="separate"/>
      </w:r>
      <w:r w:rsidR="00CE6FEA">
        <w:t>Chart 39</w:t>
      </w:r>
      <w:r w:rsidR="00995922">
        <w:fldChar w:fldCharType="end"/>
      </w:r>
      <w:r w:rsidR="00995922">
        <w:t>)</w:t>
      </w:r>
      <w:r>
        <w:t>. New South Wales and the Northern Territory are the only states or territories where the 2023 Population Statement projects a lower 2033</w:t>
      </w:r>
      <w:r w:rsidR="001A4A82">
        <w:t>–</w:t>
      </w:r>
      <w:r>
        <w:t>34 population than the ABS (0.5</w:t>
      </w:r>
      <w:r w:rsidR="001F3B6F">
        <w:t> per cent</w:t>
      </w:r>
      <w:r>
        <w:t xml:space="preserve"> and 0.4</w:t>
      </w:r>
      <w:r w:rsidR="001F3B6F">
        <w:t> per cent</w:t>
      </w:r>
      <w:r>
        <w:t xml:space="preserve"> lower respectively, driven by lower net overseas migration, and more negative net interstate migration for </w:t>
      </w:r>
      <w:r w:rsidR="00641D58">
        <w:br/>
      </w:r>
      <w:r w:rsidR="001A4A82">
        <w:t>New South Wales</w:t>
      </w:r>
      <w:r>
        <w:t>).</w:t>
      </w:r>
    </w:p>
    <w:p w14:paraId="2296AD22" w14:textId="6AB63A41" w:rsidR="00FC0492" w:rsidRPr="003A3D31" w:rsidRDefault="00FC0492" w:rsidP="003A3D31">
      <w:pPr>
        <w:pStyle w:val="ChartMainHeading"/>
      </w:pPr>
      <w:bookmarkStart w:id="227" w:name="_Ref152145148"/>
      <w:r w:rsidRPr="003A3D31">
        <w:t xml:space="preserve">Difference </w:t>
      </w:r>
      <w:r w:rsidR="00516BB0" w:rsidRPr="003A3D31">
        <w:t xml:space="preserve">in </w:t>
      </w:r>
      <w:r w:rsidRPr="003A3D31">
        <w:t>population</w:t>
      </w:r>
      <w:r w:rsidR="001D0538" w:rsidRPr="003A3D31">
        <w:t xml:space="preserve">, 2023 Population Statement less ABS </w:t>
      </w:r>
      <w:r w:rsidR="0079742A">
        <w:t>m</w:t>
      </w:r>
      <w:r w:rsidR="001D0538" w:rsidRPr="003A3D31">
        <w:t>edium scenario</w:t>
      </w:r>
      <w:r w:rsidRPr="003A3D31">
        <w:t>, by</w:t>
      </w:r>
      <w:r w:rsidR="007C6A4F" w:rsidRPr="003A3D31">
        <w:t xml:space="preserve"> cumulative component contribution</w:t>
      </w:r>
      <w:r w:rsidRPr="003A3D31">
        <w:t xml:space="preserve">, 30 June </w:t>
      </w:r>
      <w:bookmarkEnd w:id="227"/>
      <w:r w:rsidRPr="003A3D31">
        <w:t>20</w:t>
      </w:r>
      <w:r w:rsidR="00CF13AD" w:rsidRPr="003A3D31">
        <w:t>34</w:t>
      </w:r>
    </w:p>
    <w:p w14:paraId="097CA581" w14:textId="07607559" w:rsidR="00FC0492" w:rsidRDefault="0020437F" w:rsidP="009F117D">
      <w:pPr>
        <w:pStyle w:val="ChartGraphic"/>
      </w:pPr>
      <w:r w:rsidRPr="0020437F">
        <w:t xml:space="preserve"> </w:t>
      </w:r>
      <w:r w:rsidR="0017186B" w:rsidRPr="009F117D">
        <w:rPr>
          <w:noProof/>
        </w:rPr>
        <w:drawing>
          <wp:inline distT="0" distB="0" distL="0" distR="0" wp14:anchorId="2C3EDE17" wp14:editId="47367858">
            <wp:extent cx="5581650" cy="2886075"/>
            <wp:effectExtent l="0" t="0" r="0" b="0"/>
            <wp:docPr id="18" name="Picture 18" descr="A bar chart showing the difference between the state and territory population projections by cumulative component contribution in the 2023 Population Statement and the Australian Bureau of Statistics’ medium series at 30 June 2034. It shows that the Centre’s projections for Western Australia, the Australian Capital Territory and Tasmania in 2033–34 are over 3 per cent higher than the ABS medium series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the difference between the state and territory population projections by cumulative component contribution in the 2023 Population Statement and the Australian Bureau of Statistics’ medium series at 30 June 2034. It shows that the Centre’s projections for Western Australia, the Australian Capital Territory and Tasmania in 2033–34 are over 3 per cent higher than the ABS medium series projec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62DB57AF" w14:textId="77777777" w:rsidR="00075B32" w:rsidRDefault="00FA2AF0" w:rsidP="006F48FB">
      <w:pPr>
        <w:pStyle w:val="ChartorTableNote"/>
      </w:pPr>
      <w:r w:rsidRPr="00075B32">
        <w:rPr>
          <w:rStyle w:val="SourceChar"/>
          <w:bdr w:val="none" w:sz="0" w:space="0" w:color="auto"/>
        </w:rPr>
        <w:t xml:space="preserve">Note: </w:t>
      </w:r>
      <w:r w:rsidR="00EF32F2" w:rsidRPr="00075B32">
        <w:rPr>
          <w:rStyle w:val="SourceChar"/>
          <w:bdr w:val="none" w:sz="0" w:space="0" w:color="auto"/>
        </w:rPr>
        <w:tab/>
      </w:r>
      <w:r w:rsidRPr="00075B32">
        <w:rPr>
          <w:rStyle w:val="SourceChar"/>
          <w:bdr w:val="none" w:sz="0" w:space="0" w:color="auto"/>
        </w:rPr>
        <w:t>Positive ‘Deaths’ bar indicates lower deaths in the 2023 Population Statement projections.</w:t>
      </w:r>
      <w:r w:rsidR="00075B32" w:rsidRPr="00075B32">
        <w:t xml:space="preserve"> </w:t>
      </w:r>
    </w:p>
    <w:p w14:paraId="57BC460E" w14:textId="15C12F7E" w:rsidR="00FA2AF0" w:rsidRPr="00075B32" w:rsidRDefault="00FA2AF0" w:rsidP="00075B32">
      <w:pPr>
        <w:pStyle w:val="Source"/>
      </w:pPr>
      <w:r w:rsidRPr="00075B32">
        <w:t xml:space="preserve">Source: </w:t>
      </w:r>
      <w:r w:rsidR="00EF32F2" w:rsidRPr="00075B32">
        <w:tab/>
      </w:r>
      <w:r w:rsidRPr="00075B32">
        <w:t xml:space="preserve">ABS, Population Projections, 2022 </w:t>
      </w:r>
      <w:r w:rsidR="00703EF7">
        <w:t>(</w:t>
      </w:r>
      <w:r w:rsidRPr="00075B32">
        <w:t>base</w:t>
      </w:r>
      <w:r w:rsidR="00703EF7">
        <w:t xml:space="preserve">) </w:t>
      </w:r>
      <w:r w:rsidR="00703EF7" w:rsidRPr="00703EF7">
        <w:t>–</w:t>
      </w:r>
      <w:r w:rsidR="00703EF7">
        <w:t xml:space="preserve"> </w:t>
      </w:r>
      <w:r w:rsidR="009945B7">
        <w:t>2071</w:t>
      </w:r>
      <w:r w:rsidRPr="00075B32">
        <w:t xml:space="preserve"> and Centre for Population projections.</w:t>
      </w:r>
    </w:p>
    <w:p w14:paraId="100CCE6D" w14:textId="1AB2944A" w:rsidR="00963F7D" w:rsidRDefault="00963F7D" w:rsidP="00C72C8E">
      <w:pPr>
        <w:pStyle w:val="Heading3Numbered"/>
      </w:pPr>
      <w:r>
        <w:t>Capital city and rest</w:t>
      </w:r>
      <w:r w:rsidR="00385504">
        <w:t>-</w:t>
      </w:r>
      <w:r>
        <w:t>of</w:t>
      </w:r>
      <w:r w:rsidR="00385504">
        <w:t>-</w:t>
      </w:r>
      <w:r>
        <w:t>state areas</w:t>
      </w:r>
    </w:p>
    <w:p w14:paraId="491E3A17" w14:textId="084B8BB0" w:rsidR="004B14AB" w:rsidRDefault="00BC558C" w:rsidP="00E01AE5">
      <w:r>
        <w:t xml:space="preserve">The 2023 Population Statement projections have higher growth for combined capital cities and lower growth for combined rest-of-state areas compared to the ABS medium growth scenario (although both </w:t>
      </w:r>
      <w:r w:rsidR="00106F48">
        <w:t xml:space="preserve">show </w:t>
      </w:r>
      <w:r>
        <w:t xml:space="preserve">combined capitals growing faster than </w:t>
      </w:r>
      <w:r w:rsidR="00AE2E16">
        <w:t xml:space="preserve">combined </w:t>
      </w:r>
      <w:r w:rsidR="00C53DB6">
        <w:t xml:space="preserve">rest-of-state areas </w:t>
      </w:r>
      <w:r>
        <w:t>through to 2023</w:t>
      </w:r>
      <w:r w:rsidR="001A4A82">
        <w:t>–</w:t>
      </w:r>
      <w:r>
        <w:t>24). As at 2033</w:t>
      </w:r>
      <w:r w:rsidR="001A4A82">
        <w:t>–</w:t>
      </w:r>
      <w:r>
        <w:t xml:space="preserve">34, the difference is due to </w:t>
      </w:r>
      <w:r w:rsidR="00586D1E">
        <w:t xml:space="preserve">the </w:t>
      </w:r>
      <w:r>
        <w:t>Centre projecting higher births and lower deaths for combined capital city growth, and lower births and higher deaths for combined rest</w:t>
      </w:r>
      <w:r w:rsidR="00943CF1">
        <w:t>-</w:t>
      </w:r>
      <w:r>
        <w:t>of</w:t>
      </w:r>
      <w:r w:rsidR="00943CF1">
        <w:t>-</w:t>
      </w:r>
      <w:r>
        <w:t>state areas, compared to the ABS.</w:t>
      </w:r>
    </w:p>
    <w:p w14:paraId="6AA55E23" w14:textId="77777777" w:rsidR="0093177F" w:rsidRDefault="0093177F" w:rsidP="005B422D">
      <w:pPr>
        <w:pStyle w:val="SingleParagraph"/>
      </w:pPr>
    </w:p>
    <w:p w14:paraId="7EAFB842" w14:textId="4E429044" w:rsidR="0093177F" w:rsidRDefault="0093177F" w:rsidP="005B422D">
      <w:pPr>
        <w:pStyle w:val="SingleParagraph"/>
        <w:sectPr w:rsidR="0093177F" w:rsidSect="00377429">
          <w:type w:val="oddPage"/>
          <w:pgSz w:w="11906" w:h="16838" w:code="9"/>
          <w:pgMar w:top="1417" w:right="1417" w:bottom="1417" w:left="1417" w:header="709" w:footer="709" w:gutter="0"/>
          <w:cols w:space="708"/>
          <w:docGrid w:linePitch="360"/>
        </w:sectPr>
      </w:pPr>
    </w:p>
    <w:p w14:paraId="13C36FA2" w14:textId="59E584CF" w:rsidR="00FD68B9" w:rsidRDefault="00FD68B9" w:rsidP="005B422D">
      <w:pPr>
        <w:pStyle w:val="Heading1"/>
      </w:pPr>
      <w:bookmarkStart w:id="228" w:name="_Toc149846524"/>
      <w:bookmarkStart w:id="229" w:name="_Toc149846565"/>
      <w:bookmarkStart w:id="230" w:name="_Toc149846663"/>
      <w:bookmarkStart w:id="231" w:name="_Toc149847606"/>
      <w:bookmarkStart w:id="232" w:name="_Toc151994735"/>
      <w:bookmarkStart w:id="233" w:name="_Toc154050224"/>
      <w:r w:rsidRPr="005B422D">
        <w:lastRenderedPageBreak/>
        <w:t>Notes</w:t>
      </w:r>
      <w:bookmarkEnd w:id="228"/>
      <w:bookmarkEnd w:id="229"/>
      <w:bookmarkEnd w:id="230"/>
      <w:bookmarkEnd w:id="231"/>
      <w:bookmarkEnd w:id="232"/>
      <w:bookmarkEnd w:id="233"/>
    </w:p>
    <w:p w14:paraId="1A8FAF15" w14:textId="1EF045B8" w:rsidR="0046444C" w:rsidRDefault="0046444C" w:rsidP="00AF4508">
      <w:r>
        <w:t xml:space="preserve">References to years are on a financial year basis (1 July to 30 June) unless otherwise stated. Population </w:t>
      </w:r>
      <w:r w:rsidR="00464CD1">
        <w:t xml:space="preserve">totals </w:t>
      </w:r>
      <w:r>
        <w:t xml:space="preserve">for a year refer to </w:t>
      </w:r>
      <w:r w:rsidR="00201726">
        <w:t xml:space="preserve">population </w:t>
      </w:r>
      <w:r>
        <w:t xml:space="preserve">as at 30 June of that year (for example, </w:t>
      </w:r>
      <w:r w:rsidR="004B14AB">
        <w:t>‘</w:t>
      </w:r>
      <w:r>
        <w:t>Australia</w:t>
      </w:r>
      <w:r w:rsidR="004B14AB">
        <w:t>’</w:t>
      </w:r>
      <w:r>
        <w:t>s population was 25.7</w:t>
      </w:r>
      <w:r w:rsidR="0014685D">
        <w:t> </w:t>
      </w:r>
      <w:r>
        <w:t>million in 2019–20</w:t>
      </w:r>
      <w:r w:rsidR="004B14AB">
        <w:t>’</w:t>
      </w:r>
      <w:r>
        <w:t xml:space="preserve"> means that Australia</w:t>
      </w:r>
      <w:r w:rsidR="004B14AB">
        <w:t>’</w:t>
      </w:r>
      <w:r>
        <w:t>s population was 25.7 million as at 30 June 2020). Population</w:t>
      </w:r>
      <w:r w:rsidR="00157FEC">
        <w:t> </w:t>
      </w:r>
      <w:r>
        <w:t xml:space="preserve">flows for a year refer to flows during the financial year (for example, </w:t>
      </w:r>
      <w:r w:rsidR="004B14AB">
        <w:t>‘</w:t>
      </w:r>
      <w:r>
        <w:t>Australia</w:t>
      </w:r>
      <w:r w:rsidR="004B14AB">
        <w:t>’</w:t>
      </w:r>
      <w:r>
        <w:t>s natural increase was 135,000 in 2019–20</w:t>
      </w:r>
      <w:r w:rsidR="004B14AB">
        <w:t>’</w:t>
      </w:r>
      <w:r>
        <w:t xml:space="preserve"> means the natural increase in Australia</w:t>
      </w:r>
      <w:r w:rsidR="004B14AB">
        <w:t>’</w:t>
      </w:r>
      <w:r>
        <w:t>s population from 1</w:t>
      </w:r>
      <w:r w:rsidR="00C50FBF">
        <w:t> </w:t>
      </w:r>
      <w:r>
        <w:t>July</w:t>
      </w:r>
      <w:r w:rsidR="00C50FBF">
        <w:t> </w:t>
      </w:r>
      <w:r>
        <w:t>2019 to 30</w:t>
      </w:r>
      <w:r w:rsidR="00C50FBF">
        <w:t> </w:t>
      </w:r>
      <w:r>
        <w:t>June</w:t>
      </w:r>
      <w:r w:rsidR="00C50FBF">
        <w:t> </w:t>
      </w:r>
      <w:r>
        <w:t>2020 was</w:t>
      </w:r>
      <w:r w:rsidR="0014685D">
        <w:t> </w:t>
      </w:r>
      <w:r>
        <w:t xml:space="preserve">135,000). </w:t>
      </w:r>
    </w:p>
    <w:p w14:paraId="41C70FAC" w14:textId="492C0C7B" w:rsidR="0046444C" w:rsidRDefault="0046444C" w:rsidP="00AF4508">
      <w:r>
        <w:t xml:space="preserve">References to the </w:t>
      </w:r>
      <w:r w:rsidR="004B14AB">
        <w:t>‘</w:t>
      </w:r>
      <w:r>
        <w:t>states</w:t>
      </w:r>
      <w:r w:rsidR="004B14AB">
        <w:t>’</w:t>
      </w:r>
      <w:r>
        <w:t xml:space="preserve"> or </w:t>
      </w:r>
      <w:r w:rsidR="004B14AB">
        <w:t>‘</w:t>
      </w:r>
      <w:r>
        <w:t>each state</w:t>
      </w:r>
      <w:r w:rsidR="004B14AB">
        <w:t>’</w:t>
      </w:r>
      <w:r>
        <w:t xml:space="preserve"> include the Northern Territory and the Australian Capital Territory.</w:t>
      </w:r>
    </w:p>
    <w:p w14:paraId="4A80585E" w14:textId="3CA5A206" w:rsidR="0046444C" w:rsidRDefault="0046444C" w:rsidP="00AF4508">
      <w:r>
        <w:t xml:space="preserve">Figures in tables and in the text have been rounded. Transformations (for example, shares or rates of change) are calculated using unrounded numbers. Discrepancies between totals and </w:t>
      </w:r>
      <w:r w:rsidR="007E679D">
        <w:t xml:space="preserve">the </w:t>
      </w:r>
      <w:r>
        <w:t>sum of components are due to rounding. In general, the rounding conventions used include:</w:t>
      </w:r>
    </w:p>
    <w:p w14:paraId="2F5BFFA8" w14:textId="77777777" w:rsidR="00197AF7" w:rsidRPr="006F48FB" w:rsidRDefault="0046444C" w:rsidP="006F48FB">
      <w:pPr>
        <w:pStyle w:val="Normalbullet"/>
      </w:pPr>
      <w:r w:rsidRPr="006F48FB">
        <w:t>most rates are rounded to one decimal place</w:t>
      </w:r>
    </w:p>
    <w:p w14:paraId="3968122E" w14:textId="49F3F71D" w:rsidR="00197AF7" w:rsidRPr="006F48FB" w:rsidRDefault="0046444C" w:rsidP="006F48FB">
      <w:pPr>
        <w:pStyle w:val="Normalbullet"/>
      </w:pPr>
      <w:r w:rsidRPr="006F48FB">
        <w:t>estimates over 10,000 are rounded to the nearest thousand</w:t>
      </w:r>
    </w:p>
    <w:p w14:paraId="377997C7" w14:textId="77777777" w:rsidR="00197AF7" w:rsidRPr="006F48FB" w:rsidRDefault="0046444C" w:rsidP="006F48FB">
      <w:pPr>
        <w:pStyle w:val="Normalbullet"/>
      </w:pPr>
      <w:r w:rsidRPr="006F48FB">
        <w:t>estimates between 100 and 9,999 are rounded to the nearest 100</w:t>
      </w:r>
    </w:p>
    <w:p w14:paraId="214EA663" w14:textId="2DC2DDDC" w:rsidR="006973B3" w:rsidRPr="006F48FB" w:rsidRDefault="0046444C" w:rsidP="006F48FB">
      <w:pPr>
        <w:pStyle w:val="Normalbullet"/>
      </w:pPr>
      <w:r w:rsidRPr="006F48FB">
        <w:t>estimates midway between rounding points are rounded up</w:t>
      </w:r>
      <w:r w:rsidR="005D0AC2" w:rsidRPr="006F48FB">
        <w:t>.</w:t>
      </w:r>
      <w:r w:rsidRPr="006F48FB">
        <w:t xml:space="preserve"> </w:t>
      </w:r>
    </w:p>
    <w:p w14:paraId="653F8806" w14:textId="77777777" w:rsidR="00807CD5" w:rsidRDefault="0046444C" w:rsidP="002375F0">
      <w:r>
        <w:t>Estimates of future population and components of change are either forecasts or projections.</w:t>
      </w:r>
    </w:p>
    <w:p w14:paraId="502E9D46" w14:textId="1C8559BA" w:rsidR="00807CD5" w:rsidRDefault="0046444C" w:rsidP="002375F0">
      <w:pPr>
        <w:pStyle w:val="Normalbullet"/>
      </w:pPr>
      <w:r w:rsidRPr="00ED019A">
        <w:rPr>
          <w:b/>
        </w:rPr>
        <w:t>Forecasts</w:t>
      </w:r>
      <w:r>
        <w:t xml:space="preserve"> are predictions about what may happen in the near term based on analysis and modelling in relation to current circumstances.</w:t>
      </w:r>
    </w:p>
    <w:p w14:paraId="6A7EACD5" w14:textId="19D96088" w:rsidR="00A50B89" w:rsidRDefault="0046444C" w:rsidP="002375F0">
      <w:pPr>
        <w:pStyle w:val="Normalbullet"/>
      </w:pPr>
      <w:r w:rsidRPr="00ED019A">
        <w:rPr>
          <w:b/>
        </w:rPr>
        <w:t>Projections</w:t>
      </w:r>
      <w:r>
        <w:t xml:space="preserve"> are based on analysis and modelling of long</w:t>
      </w:r>
      <w:r w:rsidR="00310A93">
        <w:t xml:space="preserve"> </w:t>
      </w:r>
      <w:r>
        <w:t>term trends when rates or levels are stable. Projections may also include a transition from the last forecast to the assumed stable level or rate.</w:t>
      </w:r>
    </w:p>
    <w:p w14:paraId="433B56BB" w14:textId="77777777" w:rsidR="00853CD7" w:rsidRDefault="00853CD7" w:rsidP="006F48FB">
      <w:pPr>
        <w:pStyle w:val="Normalbullet"/>
        <w:numPr>
          <w:ilvl w:val="0"/>
          <w:numId w:val="0"/>
        </w:numPr>
        <w:ind w:left="283"/>
        <w:sectPr w:rsidR="00853CD7" w:rsidSect="00853CD7">
          <w:headerReference w:type="default" r:id="rId76"/>
          <w:headerReference w:type="first" r:id="rId77"/>
          <w:footerReference w:type="first" r:id="rId78"/>
          <w:pgSz w:w="11906" w:h="16838" w:code="9"/>
          <w:pgMar w:top="1417" w:right="1417" w:bottom="1417" w:left="1417" w:header="709" w:footer="709" w:gutter="0"/>
          <w:cols w:space="708"/>
          <w:docGrid w:linePitch="360"/>
        </w:sectPr>
      </w:pPr>
    </w:p>
    <w:p w14:paraId="7C7BD7CE" w14:textId="77335E86" w:rsidR="00075D2E" w:rsidRPr="00631AE1" w:rsidRDefault="00FD68B9" w:rsidP="00377429">
      <w:pPr>
        <w:pStyle w:val="Heading1"/>
      </w:pPr>
      <w:bookmarkStart w:id="234" w:name="_Toc149846525"/>
      <w:bookmarkStart w:id="235" w:name="_Toc149846566"/>
      <w:bookmarkStart w:id="236" w:name="_Toc149846664"/>
      <w:bookmarkStart w:id="237" w:name="_Toc149847607"/>
      <w:bookmarkStart w:id="238" w:name="_Toc151994736"/>
      <w:bookmarkStart w:id="239" w:name="_Toc154050225"/>
      <w:r w:rsidRPr="005B422D">
        <w:lastRenderedPageBreak/>
        <w:t>Glossary</w:t>
      </w:r>
      <w:bookmarkEnd w:id="234"/>
      <w:bookmarkEnd w:id="235"/>
      <w:bookmarkEnd w:id="236"/>
      <w:bookmarkEnd w:id="237"/>
      <w:bookmarkEnd w:id="238"/>
      <w:bookmarkEnd w:id="239"/>
    </w:p>
    <w:p w14:paraId="43DA9DB2" w14:textId="77777777" w:rsidR="00075D2E" w:rsidRPr="00977581" w:rsidRDefault="00075D2E" w:rsidP="00C22BF6">
      <w:pPr>
        <w:pStyle w:val="Heading7"/>
      </w:pPr>
      <w:bookmarkStart w:id="240" w:name="_Toc118887300"/>
      <w:bookmarkStart w:id="241" w:name="_Toc120635144"/>
      <w:bookmarkStart w:id="242" w:name="_Toc122617977"/>
      <w:bookmarkStart w:id="243" w:name="_Toc122618404"/>
      <w:r w:rsidRPr="00977581">
        <w:t>Estimated resident population</w:t>
      </w:r>
      <w:bookmarkEnd w:id="240"/>
      <w:bookmarkEnd w:id="241"/>
      <w:bookmarkEnd w:id="242"/>
      <w:bookmarkEnd w:id="243"/>
      <w:r w:rsidRPr="00977581">
        <w:t xml:space="preserve"> </w:t>
      </w:r>
    </w:p>
    <w:p w14:paraId="34E07D39" w14:textId="6A3DB1ED" w:rsidR="00075D2E" w:rsidRDefault="00075D2E" w:rsidP="00075D2E">
      <w:bookmarkStart w:id="244" w:name="_Toc118887301"/>
      <w:r w:rsidRPr="00977581">
        <w:t xml:space="preserve">The </w:t>
      </w:r>
      <w:r w:rsidRPr="00977581">
        <w:rPr>
          <w:b/>
        </w:rPr>
        <w:t>estimated resident population</w:t>
      </w:r>
      <w:r w:rsidRPr="00977581">
        <w:t xml:space="preserve"> is the official measure of Australia’s population based on the concept of usual residence.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(see ‘</w:t>
      </w:r>
      <w:r w:rsidR="00807547">
        <w:t xml:space="preserve">net </w:t>
      </w:r>
      <w:r w:rsidRPr="00977581">
        <w:t>overseas migration’ definition).</w:t>
      </w:r>
      <w:r w:rsidRPr="00977581">
        <w:rPr>
          <w:rStyle w:val="FootnoteReference"/>
        </w:rPr>
        <w:footnoteReference w:id="30"/>
      </w:r>
    </w:p>
    <w:p w14:paraId="4EB1FA7F" w14:textId="2312CEF9" w:rsidR="00125C3F" w:rsidRDefault="00125C3F" w:rsidP="00E01AE5">
      <w:pPr>
        <w:pStyle w:val="Heading7"/>
      </w:pPr>
      <w:r>
        <w:t>Excess mortality</w:t>
      </w:r>
    </w:p>
    <w:p w14:paraId="478FE608" w14:textId="01BF53CF" w:rsidR="00125C3F" w:rsidRPr="00977581" w:rsidRDefault="00EF481C" w:rsidP="00075D2E">
      <w:r w:rsidRPr="00E01AE5">
        <w:rPr>
          <w:b/>
        </w:rPr>
        <w:t>Excess mortality</w:t>
      </w:r>
      <w:r>
        <w:t xml:space="preserve"> is defined as the difference between the </w:t>
      </w:r>
      <w:r w:rsidR="00807547">
        <w:t xml:space="preserve">actual </w:t>
      </w:r>
      <w:r>
        <w:t>number</w:t>
      </w:r>
      <w:r w:rsidR="006824AA">
        <w:t>,</w:t>
      </w:r>
      <w:r>
        <w:t xml:space="preserve"> </w:t>
      </w:r>
      <w:r w:rsidR="006824AA">
        <w:t>and the expected numbers, of deaths</w:t>
      </w:r>
      <w:r>
        <w:t xml:space="preserve"> </w:t>
      </w:r>
      <w:r w:rsidR="00657B75">
        <w:t xml:space="preserve">from all causes </w:t>
      </w:r>
      <w:r>
        <w:t>in a specific period</w:t>
      </w:r>
      <w:r w:rsidR="00780826">
        <w:t xml:space="preserve">. </w:t>
      </w:r>
      <w:r w:rsidR="00D0422F" w:rsidRPr="00E01AE5">
        <w:t>Excess mortality</w:t>
      </w:r>
      <w:r w:rsidR="00D0422F">
        <w:t xml:space="preserve"> </w:t>
      </w:r>
      <w:r w:rsidR="00816973">
        <w:t>provides a</w:t>
      </w:r>
      <w:r w:rsidR="00D0422F" w:rsidRPr="00E01AE5">
        <w:t xml:space="preserve"> </w:t>
      </w:r>
      <w:r w:rsidR="00D03F94">
        <w:t>measure</w:t>
      </w:r>
      <w:r w:rsidR="00D0422F">
        <w:t xml:space="preserve"> </w:t>
      </w:r>
      <w:r w:rsidR="00816973">
        <w:t>of</w:t>
      </w:r>
      <w:r w:rsidR="00D0422F" w:rsidRPr="00E01AE5">
        <w:t xml:space="preserve"> </w:t>
      </w:r>
      <w:r w:rsidR="00D03F94">
        <w:t xml:space="preserve">additional </w:t>
      </w:r>
      <w:r w:rsidR="00D0422F" w:rsidRPr="00E01AE5">
        <w:t>deaths due to</w:t>
      </w:r>
      <w:r w:rsidR="00D03F94">
        <w:t>:</w:t>
      </w:r>
      <w:r w:rsidR="00D0422F" w:rsidRPr="00E01AE5">
        <w:t xml:space="preserve"> COVID-19, potentially misclassified or undiagnosed COVID-19 deaths, and other mortality that may be indirectly related to the pandemic (e.g. relating to social isolation or changed access to health care).</w:t>
      </w:r>
    </w:p>
    <w:p w14:paraId="2330B918" w14:textId="0EEE5113" w:rsidR="00075D2E" w:rsidRPr="00977581" w:rsidRDefault="00075D2E" w:rsidP="00C22BF6">
      <w:pPr>
        <w:pStyle w:val="Heading7"/>
      </w:pPr>
      <w:bookmarkStart w:id="245" w:name="_Toc120635145"/>
      <w:bookmarkStart w:id="246" w:name="_Toc122617978"/>
      <w:bookmarkStart w:id="247" w:name="_Toc122618405"/>
      <w:r w:rsidRPr="00977581">
        <w:t>Greater Capital City Statistical Areas</w:t>
      </w:r>
      <w:bookmarkEnd w:id="244"/>
      <w:bookmarkEnd w:id="245"/>
      <w:bookmarkEnd w:id="246"/>
      <w:bookmarkEnd w:id="247"/>
    </w:p>
    <w:p w14:paraId="1F3988D7" w14:textId="6FDFC674" w:rsidR="00075D2E" w:rsidRPr="00977581" w:rsidRDefault="00075D2E" w:rsidP="00075D2E">
      <w:pPr>
        <w:rPr>
          <w:sz w:val="18"/>
        </w:rPr>
      </w:pPr>
      <w:bookmarkStart w:id="248" w:name="_Toc118887302"/>
      <w:r w:rsidRPr="00977581">
        <w:rPr>
          <w:b/>
        </w:rPr>
        <w:t>Greater Capital City Statistical Areas (GCCSA)</w:t>
      </w:r>
      <w:r w:rsidRPr="00977581">
        <w:t xml:space="preserve"> represent the socio-economic extent of the capital cities as defined by the </w:t>
      </w:r>
      <w:r w:rsidR="008035AA">
        <w:t>ABS</w:t>
      </w:r>
      <w:r w:rsidRPr="00977581">
        <w:t>. GCCSAs are derived from Statistical Areas Level 4 (SA4).</w:t>
      </w:r>
      <w:r w:rsidRPr="00977581">
        <w:rPr>
          <w:rStyle w:val="FootnoteReference"/>
        </w:rPr>
        <w:footnoteReference w:id="31"/>
      </w:r>
      <w:r w:rsidRPr="00977581">
        <w:t xml:space="preserve"> </w:t>
      </w:r>
    </w:p>
    <w:p w14:paraId="03D9C656" w14:textId="6909E66F" w:rsidR="00075D2E" w:rsidRPr="00977581" w:rsidRDefault="00075D2E" w:rsidP="00C22BF6">
      <w:pPr>
        <w:pStyle w:val="Heading7"/>
      </w:pPr>
      <w:bookmarkStart w:id="249" w:name="_Toc118887303"/>
      <w:bookmarkStart w:id="250" w:name="_Toc120635147"/>
      <w:bookmarkStart w:id="251" w:name="_Toc122617980"/>
      <w:bookmarkStart w:id="252" w:name="_Toc122618407"/>
      <w:bookmarkEnd w:id="248"/>
      <w:r w:rsidRPr="00977581">
        <w:t>Intercensal difference</w:t>
      </w:r>
      <w:bookmarkEnd w:id="249"/>
      <w:bookmarkEnd w:id="250"/>
      <w:bookmarkEnd w:id="251"/>
      <w:bookmarkEnd w:id="252"/>
    </w:p>
    <w:p w14:paraId="549A9607" w14:textId="7F912359" w:rsidR="00075D2E" w:rsidRPr="00977581" w:rsidRDefault="00075D2E" w:rsidP="00075D2E">
      <w:bookmarkStart w:id="253" w:name="_Toc118887304"/>
      <w:r>
        <w:rPr>
          <w:b/>
          <w:bCs/>
        </w:rPr>
        <w:t>I</w:t>
      </w:r>
      <w:r w:rsidRPr="00977581">
        <w:rPr>
          <w:b/>
          <w:bCs/>
        </w:rPr>
        <w:t xml:space="preserve">ntercensal difference </w:t>
      </w:r>
      <w:r w:rsidRPr="00977581">
        <w:t>is caused by differences in population estimates between successive Censuses, and the administrative data sources used for quarterly updates which cannot be attributed to a particular source.</w:t>
      </w:r>
      <w:r w:rsidRPr="00977581">
        <w:rPr>
          <w:rStyle w:val="FootnoteReference"/>
        </w:rPr>
        <w:footnoteReference w:id="32"/>
      </w:r>
    </w:p>
    <w:p w14:paraId="3265F209" w14:textId="313A472D" w:rsidR="00075D2E" w:rsidRPr="00977581" w:rsidRDefault="00075D2E" w:rsidP="00C22BF6">
      <w:pPr>
        <w:pStyle w:val="Heading7"/>
      </w:pPr>
      <w:bookmarkStart w:id="254" w:name="_Toc118887305"/>
      <w:bookmarkStart w:id="255" w:name="_Toc120635149"/>
      <w:bookmarkStart w:id="256" w:name="_Toc122617982"/>
      <w:bookmarkStart w:id="257" w:name="_Toc122618409"/>
      <w:bookmarkEnd w:id="253"/>
      <w:r w:rsidRPr="00977581">
        <w:t>Internal migration – internal, interstate, intrastate</w:t>
      </w:r>
      <w:bookmarkEnd w:id="254"/>
      <w:bookmarkEnd w:id="255"/>
      <w:bookmarkEnd w:id="256"/>
      <w:bookmarkEnd w:id="257"/>
    </w:p>
    <w:p w14:paraId="0C03073C" w14:textId="77777777" w:rsidR="00075D2E" w:rsidRPr="00977581" w:rsidRDefault="00075D2E" w:rsidP="00075D2E">
      <w:bookmarkStart w:id="258" w:name="_Toc118887306"/>
      <w:r w:rsidRPr="00977581">
        <w:rPr>
          <w:b/>
        </w:rPr>
        <w:t xml:space="preserve">Internal migration </w:t>
      </w:r>
      <w:r w:rsidRPr="00977581">
        <w:t>refers to the movement of people across a specified boundary within Australia involving a change in place of usual residence.</w:t>
      </w:r>
      <w:r>
        <w:t xml:space="preserve"> </w:t>
      </w:r>
      <w:r w:rsidRPr="00977581">
        <w:t xml:space="preserve">Net </w:t>
      </w:r>
      <w:r>
        <w:t>internal</w:t>
      </w:r>
      <w:r w:rsidRPr="00977581">
        <w:t xml:space="preserve"> migration is the difference between arrivals and departures and can be either positive or negative.</w:t>
      </w:r>
    </w:p>
    <w:p w14:paraId="6B39329B" w14:textId="77777777" w:rsidR="00075D2E" w:rsidRPr="00977581" w:rsidRDefault="00075D2E" w:rsidP="00075D2E">
      <w:r w:rsidRPr="00977581">
        <w:rPr>
          <w:b/>
        </w:rPr>
        <w:t xml:space="preserve">Interstate migration </w:t>
      </w:r>
      <w:r w:rsidRPr="00977581">
        <w:t>refers to the movement of people over a state boundary involving a change in place of usual residence. Net interstate migration is the difference between arrivals and departures and can be either positive or negative.</w:t>
      </w:r>
    </w:p>
    <w:p w14:paraId="0C574BCA" w14:textId="5B7FEFEF" w:rsidR="00075D2E" w:rsidRPr="00977581" w:rsidRDefault="00075D2E" w:rsidP="00075D2E">
      <w:r w:rsidRPr="00977581">
        <w:rPr>
          <w:b/>
        </w:rPr>
        <w:t xml:space="preserve">Intrastate migration </w:t>
      </w:r>
      <w:r w:rsidRPr="00977581">
        <w:t>refers to the movement of people across a specified boundary within a state.</w:t>
      </w:r>
      <w:r w:rsidRPr="00977581">
        <w:rPr>
          <w:rStyle w:val="FootnoteReference"/>
        </w:rPr>
        <w:footnoteReference w:id="33"/>
      </w:r>
    </w:p>
    <w:p w14:paraId="3EEFAE66" w14:textId="3EF882C3" w:rsidR="00075D2E" w:rsidRPr="00977581" w:rsidRDefault="00075D2E" w:rsidP="00C22BF6">
      <w:pPr>
        <w:pStyle w:val="Heading7"/>
      </w:pPr>
      <w:bookmarkStart w:id="259" w:name="_Toc118887308"/>
      <w:bookmarkStart w:id="260" w:name="_Toc120635152"/>
      <w:bookmarkStart w:id="261" w:name="_Toc122617985"/>
      <w:bookmarkStart w:id="262" w:name="_Toc122618412"/>
      <w:bookmarkEnd w:id="258"/>
      <w:r w:rsidRPr="00977581">
        <w:t>Life expectancy</w:t>
      </w:r>
      <w:bookmarkEnd w:id="259"/>
      <w:bookmarkEnd w:id="260"/>
      <w:bookmarkEnd w:id="261"/>
      <w:bookmarkEnd w:id="262"/>
    </w:p>
    <w:p w14:paraId="0C024305" w14:textId="50217F03" w:rsidR="00075D2E" w:rsidRPr="00977581" w:rsidRDefault="00075D2E" w:rsidP="00075D2E">
      <w:pPr>
        <w:rPr>
          <w:sz w:val="18"/>
        </w:rPr>
      </w:pPr>
      <w:bookmarkStart w:id="263" w:name="_Toc118887309"/>
      <w:r w:rsidRPr="00977581">
        <w:rPr>
          <w:b/>
        </w:rPr>
        <w:t>Life expectancy</w:t>
      </w:r>
      <w:r w:rsidRPr="00977581">
        <w:t xml:space="preserve"> measures how long a person is expected to live if the rest of their life follows the age and sex</w:t>
      </w:r>
      <w:r>
        <w:noBreakHyphen/>
      </w:r>
      <w:r w:rsidRPr="00977581">
        <w:t xml:space="preserve">specific mortality rates </w:t>
      </w:r>
      <w:r w:rsidR="00D01638">
        <w:t>applicable to their respective</w:t>
      </w:r>
      <w:r w:rsidR="00D01638" w:rsidRPr="00977581">
        <w:t xml:space="preserve"> </w:t>
      </w:r>
      <w:r w:rsidRPr="00977581">
        <w:t>year</w:t>
      </w:r>
      <w:r w:rsidR="00FB35E9">
        <w:t xml:space="preserve"> of birth</w:t>
      </w:r>
      <w:r w:rsidRPr="00977581">
        <w:t xml:space="preserve">. This is the expectation of the average years that a person lives at a specific age. In the </w:t>
      </w:r>
      <w:r w:rsidR="00D53EA2">
        <w:t>Population</w:t>
      </w:r>
      <w:r w:rsidR="00D53EA2" w:rsidRPr="00977581">
        <w:t xml:space="preserve"> </w:t>
      </w:r>
      <w:r w:rsidRPr="00977581">
        <w:t>Statement, ‘life expectancy’ usually refers to ‘life expectancy at birth’ unless otherwise specified.</w:t>
      </w:r>
    </w:p>
    <w:p w14:paraId="4F9FE214" w14:textId="7B9CCF1A" w:rsidR="00075D2E" w:rsidRPr="00977581" w:rsidRDefault="00075D2E" w:rsidP="00E01AE5">
      <w:pPr>
        <w:pStyle w:val="Heading7"/>
        <w:keepNext/>
      </w:pPr>
      <w:bookmarkStart w:id="264" w:name="_Toc118887312"/>
      <w:bookmarkStart w:id="265" w:name="_Toc120635156"/>
      <w:bookmarkStart w:id="266" w:name="_Toc122617989"/>
      <w:bookmarkStart w:id="267" w:name="_Toc122618416"/>
      <w:bookmarkEnd w:id="263"/>
      <w:r w:rsidRPr="00977581">
        <w:lastRenderedPageBreak/>
        <w:t>Overseas migrant – permanent resident</w:t>
      </w:r>
      <w:bookmarkEnd w:id="264"/>
      <w:bookmarkEnd w:id="265"/>
      <w:bookmarkEnd w:id="266"/>
      <w:bookmarkEnd w:id="267"/>
    </w:p>
    <w:p w14:paraId="43B0F5BA" w14:textId="7A5AF085" w:rsidR="00075D2E" w:rsidRPr="00977581" w:rsidRDefault="00075D2E" w:rsidP="00075D2E">
      <w:bookmarkStart w:id="268" w:name="_Toc118887313"/>
      <w:r w:rsidRPr="00977581">
        <w:t xml:space="preserve">For population purposes, an </w:t>
      </w:r>
      <w:r w:rsidRPr="00977581">
        <w:rPr>
          <w:b/>
        </w:rPr>
        <w:t>Australian permanent resident</w:t>
      </w:r>
      <w:r w:rsidRPr="00977581">
        <w:t xml:space="preserve"> is a non-citizen who holds an Australian permanent visa and usually resid</w:t>
      </w:r>
      <w:r w:rsidR="00D53EA2">
        <w:t>es</w:t>
      </w:r>
      <w:r w:rsidRPr="00977581">
        <w:t xml:space="preserve"> in Australia (see ‘</w:t>
      </w:r>
      <w:r w:rsidR="00F40137">
        <w:t xml:space="preserve">net </w:t>
      </w:r>
      <w:r w:rsidRPr="00977581">
        <w:t>overseas migration’ definition below). Generally, permanent residents can live, work and study with fewer restrictions than temporary visa holders in Australia.</w:t>
      </w:r>
    </w:p>
    <w:p w14:paraId="76CFBFF3" w14:textId="2035818F" w:rsidR="00075D2E" w:rsidRPr="00977581" w:rsidRDefault="00075D2E" w:rsidP="00E01AE5">
      <w:pPr>
        <w:pStyle w:val="Heading7"/>
        <w:keepNext/>
      </w:pPr>
      <w:bookmarkStart w:id="269" w:name="_Toc120635157"/>
      <w:bookmarkStart w:id="270" w:name="_Toc122617990"/>
      <w:bookmarkStart w:id="271" w:name="_Toc122618417"/>
      <w:r w:rsidRPr="00977581">
        <w:t>Overseas migrant – temporary resident</w:t>
      </w:r>
      <w:bookmarkEnd w:id="268"/>
      <w:bookmarkEnd w:id="269"/>
      <w:bookmarkEnd w:id="270"/>
      <w:bookmarkEnd w:id="271"/>
    </w:p>
    <w:p w14:paraId="1B03D640" w14:textId="32995C31" w:rsidR="00075D2E" w:rsidRDefault="00075D2E" w:rsidP="00075D2E">
      <w:r w:rsidRPr="00686B8D">
        <w:rPr>
          <w:bCs/>
        </w:rPr>
        <w:t xml:space="preserve">A </w:t>
      </w:r>
      <w:r w:rsidRPr="00977581">
        <w:rPr>
          <w:b/>
        </w:rPr>
        <w:t>temporary resident</w:t>
      </w:r>
      <w:r w:rsidRPr="00977581">
        <w:t xml:space="preserve"> is a non-citizen who holds a temporary visa that grants authority for travel to and from Australia within a specific period for a specific purpose (such as work or study) and usually reside</w:t>
      </w:r>
      <w:r w:rsidR="00F40137">
        <w:t>s</w:t>
      </w:r>
      <w:r w:rsidRPr="00977581">
        <w:t xml:space="preserve"> in Australia (see ‘</w:t>
      </w:r>
      <w:r w:rsidR="007A224F">
        <w:t xml:space="preserve">net </w:t>
      </w:r>
      <w:r w:rsidRPr="00977581">
        <w:t>overseas migration’ definition below). Temporary visa holders may have other conditions tied to their stay in Australia. Not all temporary visa holders are considered residents as they may not meet the ‘usually resident in Australia’ criterion.</w:t>
      </w:r>
      <w:bookmarkStart w:id="272" w:name="_Toc118887314"/>
      <w:bookmarkStart w:id="273" w:name="_Toc120635158"/>
    </w:p>
    <w:p w14:paraId="467122F2" w14:textId="725B50BB" w:rsidR="006B1167" w:rsidRPr="00977581" w:rsidRDefault="00346160" w:rsidP="006B1167">
      <w:pPr>
        <w:pStyle w:val="Heading7"/>
      </w:pPr>
      <w:bookmarkStart w:id="274" w:name="_Toc122617991"/>
      <w:bookmarkStart w:id="275" w:name="_Toc122618418"/>
      <w:r>
        <w:t xml:space="preserve">Net </w:t>
      </w:r>
      <w:r w:rsidR="00374D82">
        <w:t>o</w:t>
      </w:r>
      <w:r w:rsidR="006B1167" w:rsidRPr="00977581">
        <w:t>verseas migration</w:t>
      </w:r>
    </w:p>
    <w:p w14:paraId="04ECCE72" w14:textId="10F881D8" w:rsidR="002D1131" w:rsidRPr="002D1131" w:rsidRDefault="002D1131" w:rsidP="002D1131">
      <w:r w:rsidRPr="002B7BA0">
        <w:rPr>
          <w:b/>
        </w:rPr>
        <w:t>Net overseas migration (NOM)</w:t>
      </w:r>
      <w:r w:rsidRPr="00A04F00">
        <w:rPr>
          <w:rFonts w:ascii="Segoe UI" w:hAnsi="Segoe UI" w:cs="Segoe UI"/>
          <w:sz w:val="18"/>
          <w:szCs w:val="18"/>
        </w:rPr>
        <w:t xml:space="preserve"> </w:t>
      </w:r>
      <w:r w:rsidRPr="0000228F">
        <w:t>is the net gain or loss of population through immigration to, and emigration from, Australia. It is measured by counting people who stay in Australia for 12 months or more over a 16-month period. This includes individuals on both permanent and temporary visas, as well as returning and departing Australian citizens.</w:t>
      </w:r>
    </w:p>
    <w:p w14:paraId="32C09184" w14:textId="24E4786B" w:rsidR="00075D2E" w:rsidRPr="00977581" w:rsidRDefault="00075D2E" w:rsidP="00C22BF6">
      <w:pPr>
        <w:pStyle w:val="Heading7"/>
      </w:pPr>
      <w:bookmarkStart w:id="276" w:name="_Toc118887317"/>
      <w:bookmarkStart w:id="277" w:name="_Toc120635161"/>
      <w:bookmarkStart w:id="278" w:name="_Toc122617994"/>
      <w:bookmarkStart w:id="279" w:name="_Toc122618421"/>
      <w:bookmarkEnd w:id="272"/>
      <w:bookmarkEnd w:id="273"/>
      <w:bookmarkEnd w:id="274"/>
      <w:bookmarkEnd w:id="275"/>
      <w:r w:rsidRPr="00977581">
        <w:t>Replacement rate</w:t>
      </w:r>
      <w:bookmarkEnd w:id="276"/>
      <w:bookmarkEnd w:id="277"/>
      <w:bookmarkEnd w:id="278"/>
      <w:bookmarkEnd w:id="279"/>
    </w:p>
    <w:p w14:paraId="209B3851" w14:textId="73381076" w:rsidR="00075D2E" w:rsidRPr="00977581" w:rsidRDefault="00075D2E" w:rsidP="00075D2E">
      <w:r w:rsidRPr="00977581">
        <w:rPr>
          <w:rFonts w:eastAsia="Times New Roman"/>
        </w:rPr>
        <w:t xml:space="preserve">The </w:t>
      </w:r>
      <w:r w:rsidRPr="00977581">
        <w:rPr>
          <w:rFonts w:eastAsia="Times New Roman"/>
          <w:b/>
          <w:bCs/>
        </w:rPr>
        <w:t>replacement rate</w:t>
      </w:r>
      <w:r w:rsidRPr="00977581">
        <w:rPr>
          <w:rFonts w:eastAsia="Times New Roman"/>
        </w:rPr>
        <w:t xml:space="preserve"> (or replacement-level fertility) is the number of babies a woman would need to have over her reproductive life span to replace herself and her partner. Given not all babies survive to reproductive age and babies are more likely to be male, replacement fertility is around 2.1 babies per woman in most </w:t>
      </w:r>
      <w:r w:rsidR="00091479">
        <w:rPr>
          <w:rFonts w:eastAsia="Times New Roman"/>
        </w:rPr>
        <w:t>adv</w:t>
      </w:r>
      <w:r w:rsidR="00A507F0">
        <w:rPr>
          <w:rFonts w:eastAsia="Times New Roman"/>
        </w:rPr>
        <w:t>anced economies</w:t>
      </w:r>
      <w:r w:rsidRPr="00977581">
        <w:rPr>
          <w:rFonts w:eastAsia="Times New Roman"/>
        </w:rPr>
        <w:t>.</w:t>
      </w:r>
    </w:p>
    <w:p w14:paraId="7DCC3A36" w14:textId="737AC04E" w:rsidR="00075D2E" w:rsidRPr="00977581" w:rsidRDefault="00075D2E" w:rsidP="00C22BF6">
      <w:pPr>
        <w:pStyle w:val="Heading7"/>
      </w:pPr>
      <w:bookmarkStart w:id="280" w:name="_Toc118887318"/>
      <w:bookmarkStart w:id="281" w:name="_Toc120635162"/>
      <w:bookmarkStart w:id="282" w:name="_Toc122617995"/>
      <w:bookmarkStart w:id="283" w:name="_Toc122618422"/>
      <w:r w:rsidRPr="00977581">
        <w:t>Rest-of-state area</w:t>
      </w:r>
      <w:bookmarkEnd w:id="280"/>
      <w:bookmarkEnd w:id="281"/>
      <w:bookmarkEnd w:id="282"/>
      <w:bookmarkEnd w:id="283"/>
    </w:p>
    <w:p w14:paraId="1EE23210" w14:textId="177DECB2" w:rsidR="00075D2E" w:rsidRPr="00977581" w:rsidRDefault="00075D2E" w:rsidP="00075D2E">
      <w:pPr>
        <w:rPr>
          <w:sz w:val="18"/>
        </w:rPr>
      </w:pPr>
      <w:bookmarkStart w:id="284" w:name="_Toc118887319"/>
      <w:r w:rsidRPr="00977581">
        <w:t xml:space="preserve">Within each state, the area not defined as being part of the Greater Capital City is </w:t>
      </w:r>
      <w:r w:rsidR="007A224F">
        <w:t>classified</w:t>
      </w:r>
      <w:r w:rsidR="00EE2688">
        <w:t xml:space="preserve"> </w:t>
      </w:r>
      <w:r w:rsidR="00101382">
        <w:t>as</w:t>
      </w:r>
      <w:r w:rsidRPr="00977581">
        <w:t xml:space="preserve"> a </w:t>
      </w:r>
      <w:r w:rsidRPr="00977581">
        <w:rPr>
          <w:b/>
        </w:rPr>
        <w:t>rest</w:t>
      </w:r>
      <w:r>
        <w:rPr>
          <w:b/>
        </w:rPr>
        <w:noBreakHyphen/>
      </w:r>
      <w:r w:rsidRPr="00977581">
        <w:rPr>
          <w:b/>
        </w:rPr>
        <w:t>of</w:t>
      </w:r>
      <w:r>
        <w:rPr>
          <w:b/>
        </w:rPr>
        <w:noBreakHyphen/>
      </w:r>
      <w:r w:rsidRPr="00977581">
        <w:rPr>
          <w:b/>
        </w:rPr>
        <w:t>state area</w:t>
      </w:r>
      <w:r w:rsidRPr="00977581">
        <w:rPr>
          <w:sz w:val="18"/>
        </w:rPr>
        <w:t>.</w:t>
      </w:r>
      <w:r w:rsidRPr="00977581">
        <w:rPr>
          <w:rStyle w:val="FootnoteReference"/>
        </w:rPr>
        <w:footnoteReference w:id="34"/>
      </w:r>
    </w:p>
    <w:p w14:paraId="6CC07B7E" w14:textId="2CEB3B11" w:rsidR="00075D2E" w:rsidRPr="00977581" w:rsidRDefault="00075D2E" w:rsidP="00C22BF6">
      <w:pPr>
        <w:pStyle w:val="Heading7"/>
      </w:pPr>
      <w:bookmarkStart w:id="285" w:name="_Toc118887321"/>
      <w:bookmarkStart w:id="286" w:name="_Toc120635165"/>
      <w:bookmarkStart w:id="287" w:name="_Toc122617998"/>
      <w:bookmarkStart w:id="288" w:name="_Toc122618425"/>
      <w:bookmarkEnd w:id="284"/>
      <w:r w:rsidRPr="00977581">
        <w:t xml:space="preserve">Total fertility rate </w:t>
      </w:r>
      <w:bookmarkEnd w:id="285"/>
      <w:bookmarkEnd w:id="286"/>
      <w:bookmarkEnd w:id="287"/>
      <w:bookmarkEnd w:id="288"/>
    </w:p>
    <w:p w14:paraId="2F4E91A7" w14:textId="64F5D014" w:rsidR="00075D2E" w:rsidRPr="000B1A20" w:rsidRDefault="00075D2E" w:rsidP="00075D2E">
      <w:pPr>
        <w:rPr>
          <w:spacing w:val="-2"/>
        </w:rPr>
      </w:pPr>
      <w:r w:rsidRPr="000B1A20">
        <w:rPr>
          <w:spacing w:val="-2"/>
        </w:rPr>
        <w:t xml:space="preserve">The </w:t>
      </w:r>
      <w:r w:rsidRPr="00FB5C3B">
        <w:rPr>
          <w:b/>
        </w:rPr>
        <w:t>total fertility rate</w:t>
      </w:r>
      <w:r w:rsidRPr="00B35A85">
        <w:rPr>
          <w:spacing w:val="-2"/>
        </w:rPr>
        <w:t xml:space="preserve"> </w:t>
      </w:r>
      <w:r w:rsidR="00EF58B0" w:rsidRPr="00B35A85">
        <w:rPr>
          <w:spacing w:val="-2"/>
        </w:rPr>
        <w:t>estimates the number of children a woman would have during her lifetime if she experienced the age-specific fertility rates for a given year at each age of her reproductive life.</w:t>
      </w:r>
    </w:p>
    <w:p w14:paraId="74367753" w14:textId="588E7F5C" w:rsidR="00075D2E" w:rsidRDefault="00075D2E" w:rsidP="00075D2E">
      <w:pPr>
        <w:spacing w:before="0" w:after="160" w:line="259" w:lineRule="auto"/>
        <w:rPr>
          <w:b/>
          <w:smallCaps/>
          <w:color w:val="FFFFFF" w:themeColor="background1"/>
          <w:spacing w:val="15"/>
          <w:sz w:val="22"/>
          <w:szCs w:val="22"/>
        </w:rPr>
      </w:pPr>
      <w:r>
        <w:br w:type="page"/>
      </w:r>
    </w:p>
    <w:bookmarkStart w:id="289" w:name="_Toc154050226" w:displacedByCustomXml="next"/>
    <w:bookmarkStart w:id="290" w:name="_Toc149846526" w:displacedByCustomXml="next"/>
    <w:bookmarkStart w:id="291" w:name="_Toc149846567" w:displacedByCustomXml="next"/>
    <w:bookmarkStart w:id="292" w:name="_Toc149846665" w:displacedByCustomXml="next"/>
    <w:bookmarkStart w:id="293" w:name="_Toc149847608" w:displacedByCustomXml="next"/>
    <w:bookmarkStart w:id="294" w:name="_Toc151994737" w:displacedByCustomXml="next"/>
    <w:sdt>
      <w:sdtPr>
        <w:rPr>
          <w:b w:val="0"/>
          <w:smallCaps w:val="0"/>
          <w:color w:val="auto"/>
          <w:spacing w:val="0"/>
          <w:sz w:val="20"/>
          <w:szCs w:val="20"/>
        </w:rPr>
        <w:id w:val="-1845615810"/>
        <w:docPartObj>
          <w:docPartGallery w:val="Bibliographies"/>
          <w:docPartUnique/>
        </w:docPartObj>
      </w:sdtPr>
      <w:sdtEndPr/>
      <w:sdtContent>
        <w:p w14:paraId="330D1533" w14:textId="7BA6CC7C" w:rsidR="00786B45" w:rsidRDefault="00786B45">
          <w:pPr>
            <w:pStyle w:val="Heading1"/>
          </w:pPr>
          <w:r>
            <w:t>References</w:t>
          </w:r>
          <w:bookmarkEnd w:id="289"/>
        </w:p>
        <w:sdt>
          <w:sdtPr>
            <w:id w:val="-191993452"/>
            <w:bibliography/>
          </w:sdtPr>
          <w:sdtEndPr>
            <w:rPr>
              <w:b/>
            </w:rPr>
          </w:sdtEndPr>
          <w:sdtContent>
            <w:p w14:paraId="1B751A43" w14:textId="77777777" w:rsidR="00331BFA" w:rsidRDefault="00786B45" w:rsidP="00331BFA">
              <w:pPr>
                <w:pStyle w:val="Bibliography"/>
                <w:ind w:left="720" w:hanging="720"/>
                <w:rPr>
                  <w:noProof/>
                  <w:sz w:val="24"/>
                  <w:szCs w:val="24"/>
                </w:rPr>
              </w:pPr>
              <w:r>
                <w:fldChar w:fldCharType="begin"/>
              </w:r>
              <w:r>
                <w:instrText xml:space="preserve"> BIBLIOGRAPHY </w:instrText>
              </w:r>
              <w:r>
                <w:fldChar w:fldCharType="separate"/>
              </w:r>
              <w:r w:rsidR="00331BFA">
                <w:rPr>
                  <w:noProof/>
                </w:rPr>
                <w:t xml:space="preserve">Australian Bureau of Statistics. (2018). </w:t>
              </w:r>
              <w:r w:rsidR="00331BFA">
                <w:rPr>
                  <w:i/>
                  <w:iCs/>
                  <w:noProof/>
                </w:rPr>
                <w:t>Population Projections, Australia, 2017 (base) – 2066</w:t>
              </w:r>
              <w:r w:rsidR="00331BFA">
                <w:rPr>
                  <w:noProof/>
                </w:rPr>
                <w:t>. Retrieved from https://www.abs.gov.au/statistics/people/population/population-projections-australia/2017-base-2066</w:t>
              </w:r>
            </w:p>
            <w:p w14:paraId="767D4684" w14:textId="77777777" w:rsidR="00331BFA" w:rsidRDefault="00331BFA" w:rsidP="00331BFA">
              <w:pPr>
                <w:pStyle w:val="Bibliography"/>
                <w:ind w:left="720" w:hanging="720"/>
                <w:rPr>
                  <w:noProof/>
                </w:rPr>
              </w:pPr>
              <w:r>
                <w:rPr>
                  <w:noProof/>
                </w:rPr>
                <w:t xml:space="preserve">Australian Bureau of Statistics. (2021). </w:t>
              </w:r>
              <w:r>
                <w:rPr>
                  <w:i/>
                  <w:iCs/>
                  <w:noProof/>
                </w:rPr>
                <w:t>Australian Statistical Geography Standard (ASGS) Edition 3.</w:t>
              </w:r>
              <w:r>
                <w:rPr>
                  <w:noProof/>
                </w:rPr>
                <w:t xml:space="preserve"> Retrieved from https://www.abs.gov.au/statistics/standards/australian-statistical-geography-standard-asgs-edition-3/latest-release</w:t>
              </w:r>
            </w:p>
            <w:p w14:paraId="3F072F6A" w14:textId="77777777" w:rsidR="00331BFA" w:rsidRDefault="00331BFA" w:rsidP="00331BFA">
              <w:pPr>
                <w:pStyle w:val="Bibliography"/>
                <w:ind w:left="720" w:hanging="720"/>
                <w:rPr>
                  <w:noProof/>
                </w:rPr>
              </w:pPr>
              <w:r>
                <w:rPr>
                  <w:noProof/>
                </w:rPr>
                <w:t xml:space="preserve">Australian Bureau of Statistics. (2022). </w:t>
              </w:r>
              <w:r>
                <w:rPr>
                  <w:i/>
                  <w:iCs/>
                  <w:noProof/>
                </w:rPr>
                <w:t>Census of Population and Housing, 2021.</w:t>
              </w:r>
              <w:r>
                <w:rPr>
                  <w:noProof/>
                </w:rPr>
                <w:t xml:space="preserve"> Retrieved from https://www.abs.gov.au/census</w:t>
              </w:r>
            </w:p>
            <w:p w14:paraId="11B2B9EC" w14:textId="77777777" w:rsidR="00331BFA" w:rsidRDefault="00331BFA" w:rsidP="00331BFA">
              <w:pPr>
                <w:pStyle w:val="Bibliography"/>
                <w:ind w:left="720" w:hanging="720"/>
                <w:rPr>
                  <w:noProof/>
                </w:rPr>
              </w:pPr>
              <w:r>
                <w:rPr>
                  <w:noProof/>
                </w:rPr>
                <w:t xml:space="preserve">Australian Bureau of Statistics. (2022). </w:t>
              </w:r>
              <w:r>
                <w:rPr>
                  <w:i/>
                  <w:iCs/>
                  <w:noProof/>
                </w:rPr>
                <w:t>Life tables</w:t>
              </w:r>
              <w:r>
                <w:rPr>
                  <w:noProof/>
                </w:rPr>
                <w:t>. Retrieved from https://www.abs.gov.au/statistics/people/population/life-tables/2019-2021</w:t>
              </w:r>
            </w:p>
            <w:p w14:paraId="10933FFF" w14:textId="77777777" w:rsidR="00331BFA" w:rsidRDefault="00331BFA" w:rsidP="00331BFA">
              <w:pPr>
                <w:pStyle w:val="Bibliography"/>
                <w:ind w:left="720" w:hanging="720"/>
                <w:rPr>
                  <w:noProof/>
                </w:rPr>
              </w:pPr>
              <w:r>
                <w:rPr>
                  <w:noProof/>
                </w:rPr>
                <w:t xml:space="preserve">Australian Bureau of Statistics. (2022). </w:t>
              </w:r>
              <w:r>
                <w:rPr>
                  <w:i/>
                  <w:iCs/>
                  <w:noProof/>
                </w:rPr>
                <w:t>Overseas Migration, 2021–22</w:t>
              </w:r>
              <w:r>
                <w:rPr>
                  <w:noProof/>
                </w:rPr>
                <w:t>. Retrieved from https://www.abs.gov.au/statistics/people/population/overseas-migration/2021-22-financial-year</w:t>
              </w:r>
            </w:p>
            <w:p w14:paraId="7C0AC205" w14:textId="77777777" w:rsidR="00331BFA" w:rsidRDefault="00331BFA" w:rsidP="00331BFA">
              <w:pPr>
                <w:pStyle w:val="Bibliography"/>
                <w:ind w:left="720" w:hanging="720"/>
                <w:rPr>
                  <w:noProof/>
                </w:rPr>
              </w:pPr>
              <w:r>
                <w:rPr>
                  <w:noProof/>
                </w:rPr>
                <w:t xml:space="preserve">Australian Bureau of Statistics. (2023). </w:t>
              </w:r>
              <w:r>
                <w:rPr>
                  <w:i/>
                  <w:iCs/>
                  <w:noProof/>
                </w:rPr>
                <w:t>Aboriginal and Torres Strait Islander life expectancy</w:t>
              </w:r>
              <w:r>
                <w:rPr>
                  <w:noProof/>
                </w:rPr>
                <w:t>. Retrieved from https://www.abs.gov.au/statistics/people/aboriginal-and-torres-strait-islander-peoples/aboriginal-and-torres-strait-islander-life-expectancy/2020-2022</w:t>
              </w:r>
            </w:p>
            <w:p w14:paraId="43C23659" w14:textId="77777777" w:rsidR="00331BFA" w:rsidRDefault="00331BFA" w:rsidP="00331BFA">
              <w:pPr>
                <w:pStyle w:val="Bibliography"/>
                <w:ind w:left="720" w:hanging="720"/>
                <w:rPr>
                  <w:noProof/>
                </w:rPr>
              </w:pPr>
              <w:r>
                <w:rPr>
                  <w:noProof/>
                </w:rPr>
                <w:t xml:space="preserve">Australian Bureau of Statistics. (2023). </w:t>
              </w:r>
              <w:r>
                <w:rPr>
                  <w:i/>
                  <w:iCs/>
                  <w:noProof/>
                </w:rPr>
                <w:t>Births, Australia, 2022</w:t>
              </w:r>
              <w:r>
                <w:rPr>
                  <w:noProof/>
                </w:rPr>
                <w:t>. Retrieved from https://www.abs.gov.au/statistics/people/population/births-australia/2022</w:t>
              </w:r>
            </w:p>
            <w:p w14:paraId="0CABC9FB" w14:textId="77777777" w:rsidR="00331BFA" w:rsidRDefault="00331BFA" w:rsidP="00331BFA">
              <w:pPr>
                <w:pStyle w:val="Bibliography"/>
                <w:ind w:left="720" w:hanging="720"/>
                <w:rPr>
                  <w:noProof/>
                </w:rPr>
              </w:pPr>
              <w:r>
                <w:rPr>
                  <w:noProof/>
                </w:rPr>
                <w:t xml:space="preserve">Australian Bureau of Statistics. (2023). </w:t>
              </w:r>
              <w:r>
                <w:rPr>
                  <w:i/>
                  <w:iCs/>
                  <w:noProof/>
                </w:rPr>
                <w:t>Estimates of Aboriginal and Torres Strait Islander Australians</w:t>
              </w:r>
              <w:r>
                <w:rPr>
                  <w:noProof/>
                </w:rPr>
                <w:t>. Retrieved from https://www.abs.gov.au/statistics/people/aboriginal-and-torres-strait-islander-peoples/estimates-aboriginal-and-torres-strait-islander-australians/30-june-2021</w:t>
              </w:r>
            </w:p>
            <w:p w14:paraId="357046E6" w14:textId="77777777" w:rsidR="00331BFA" w:rsidRDefault="00331BFA" w:rsidP="00331BFA">
              <w:pPr>
                <w:pStyle w:val="Bibliography"/>
                <w:ind w:left="720" w:hanging="720"/>
                <w:rPr>
                  <w:noProof/>
                </w:rPr>
              </w:pPr>
              <w:r>
                <w:rPr>
                  <w:noProof/>
                </w:rPr>
                <w:t xml:space="preserve">Australian Bureau of Statistics. (2023). </w:t>
              </w:r>
              <w:r>
                <w:rPr>
                  <w:i/>
                  <w:iCs/>
                  <w:noProof/>
                </w:rPr>
                <w:t>Labour Force, Australia</w:t>
              </w:r>
              <w:r>
                <w:rPr>
                  <w:noProof/>
                </w:rPr>
                <w:t>. Retrieved from https://www.abs.gov.au/statistics/labour/employment-and-unemployment/labour-force-australia/oct-2023</w:t>
              </w:r>
            </w:p>
            <w:p w14:paraId="2F5CBF8B" w14:textId="77777777" w:rsidR="00331BFA" w:rsidRDefault="00331BFA" w:rsidP="00331BFA">
              <w:pPr>
                <w:pStyle w:val="Bibliography"/>
                <w:ind w:left="720" w:hanging="720"/>
                <w:rPr>
                  <w:noProof/>
                </w:rPr>
              </w:pPr>
              <w:r>
                <w:rPr>
                  <w:noProof/>
                </w:rPr>
                <w:t xml:space="preserve">Australian Bureau of Statistics. (2023). </w:t>
              </w:r>
              <w:r>
                <w:rPr>
                  <w:i/>
                  <w:iCs/>
                  <w:noProof/>
                </w:rPr>
                <w:t>Life expectancy, 2020–2022</w:t>
              </w:r>
              <w:r>
                <w:rPr>
                  <w:noProof/>
                </w:rPr>
                <w:t>. Retrieved from https://www.abs.gov.au/statistics/people/population/life-expectancy/2020-2022</w:t>
              </w:r>
            </w:p>
            <w:p w14:paraId="142D171C" w14:textId="77777777" w:rsidR="00331BFA" w:rsidRDefault="00331BFA" w:rsidP="00331BFA">
              <w:pPr>
                <w:pStyle w:val="Bibliography"/>
                <w:ind w:left="720" w:hanging="720"/>
                <w:rPr>
                  <w:noProof/>
                </w:rPr>
              </w:pPr>
              <w:r>
                <w:rPr>
                  <w:noProof/>
                </w:rPr>
                <w:t xml:space="preserve">Australian Bureau of Statistics. (2023). </w:t>
              </w:r>
              <w:r>
                <w:rPr>
                  <w:i/>
                  <w:iCs/>
                  <w:noProof/>
                </w:rPr>
                <w:t>Measuring Australian's excess mortality during the COVID-19 pandemic until the first quarter 2023</w:t>
              </w:r>
              <w:r>
                <w:rPr>
                  <w:noProof/>
                </w:rPr>
                <w:t>. Retrieved from https://www.abs.gov.au/articles/measuring-australias-excess-mortality-during-covid-19-pandemic-until-first-quarter-2023</w:t>
              </w:r>
            </w:p>
            <w:p w14:paraId="20DC37F5" w14:textId="77777777" w:rsidR="00331BFA" w:rsidRDefault="00331BFA" w:rsidP="00331BFA">
              <w:pPr>
                <w:pStyle w:val="Bibliography"/>
                <w:ind w:left="720" w:hanging="720"/>
                <w:rPr>
                  <w:noProof/>
                </w:rPr>
              </w:pPr>
              <w:r>
                <w:rPr>
                  <w:noProof/>
                </w:rPr>
                <w:t xml:space="preserve">Australian Bureau of Statistics. (2023). </w:t>
              </w:r>
              <w:r>
                <w:rPr>
                  <w:i/>
                  <w:iCs/>
                  <w:noProof/>
                </w:rPr>
                <w:t>National, state and territory population methodology, March 2023.</w:t>
              </w:r>
              <w:r>
                <w:rPr>
                  <w:noProof/>
                </w:rPr>
                <w:t xml:space="preserve"> Retrieved from https://www.abs.gov.au/methodologies/national-state-and-territory-population-methodology/mar-2023</w:t>
              </w:r>
            </w:p>
            <w:p w14:paraId="3B5B80FB" w14:textId="77777777" w:rsidR="00331BFA" w:rsidRDefault="00331BFA" w:rsidP="00331BFA">
              <w:pPr>
                <w:pStyle w:val="Bibliography"/>
                <w:ind w:left="720" w:hanging="720"/>
                <w:rPr>
                  <w:noProof/>
                </w:rPr>
              </w:pPr>
              <w:r>
                <w:rPr>
                  <w:noProof/>
                </w:rPr>
                <w:t xml:space="preserve">Australian Bureau of Statistics. (2023). </w:t>
              </w:r>
              <w:r>
                <w:rPr>
                  <w:i/>
                  <w:iCs/>
                  <w:noProof/>
                </w:rPr>
                <w:t>National, state and territory population, March 2023.</w:t>
              </w:r>
              <w:r>
                <w:rPr>
                  <w:noProof/>
                </w:rPr>
                <w:t xml:space="preserve"> Retrieved from https://www.abs.gov.au/statistics/people/population/national-state-and-territory-population/mar-2023</w:t>
              </w:r>
            </w:p>
            <w:p w14:paraId="406FE1E5" w14:textId="77777777" w:rsidR="00331BFA" w:rsidRDefault="00331BFA" w:rsidP="00331BFA">
              <w:pPr>
                <w:pStyle w:val="Bibliography"/>
                <w:ind w:left="720" w:hanging="720"/>
                <w:rPr>
                  <w:noProof/>
                </w:rPr>
              </w:pPr>
              <w:r>
                <w:rPr>
                  <w:noProof/>
                </w:rPr>
                <w:t xml:space="preserve">Australian Bureau of Statistics. (2023). </w:t>
              </w:r>
              <w:r>
                <w:rPr>
                  <w:i/>
                  <w:iCs/>
                  <w:noProof/>
                </w:rPr>
                <w:t>Population Projections, Australia, 2022 (base) – 2071.</w:t>
              </w:r>
              <w:r>
                <w:rPr>
                  <w:noProof/>
                </w:rPr>
                <w:t xml:space="preserve"> Retrieved from https://www.abs.gov.au/statistics/people/population/population-projections-australia/2022-base-2071</w:t>
              </w:r>
            </w:p>
            <w:p w14:paraId="1F39D753" w14:textId="77777777" w:rsidR="00331BFA" w:rsidRDefault="00331BFA" w:rsidP="00331BFA">
              <w:pPr>
                <w:pStyle w:val="Bibliography"/>
                <w:ind w:left="720" w:hanging="720"/>
                <w:rPr>
                  <w:noProof/>
                </w:rPr>
              </w:pPr>
              <w:r>
                <w:rPr>
                  <w:noProof/>
                </w:rPr>
                <w:lastRenderedPageBreak/>
                <w:t xml:space="preserve">Australian Bureau of Statistics. (2023). </w:t>
              </w:r>
              <w:r>
                <w:rPr>
                  <w:i/>
                  <w:iCs/>
                  <w:noProof/>
                </w:rPr>
                <w:t>Provisional Mortality Statistics, January-August 2023</w:t>
              </w:r>
              <w:r>
                <w:rPr>
                  <w:noProof/>
                </w:rPr>
                <w:t>. Retrieved from https://www.abs.gov.au/statistics/health/causes-death/provisional-mortality-statistics/jan-aug-2023</w:t>
              </w:r>
            </w:p>
            <w:p w14:paraId="0906496C" w14:textId="77777777" w:rsidR="00331BFA" w:rsidRDefault="00331BFA" w:rsidP="00331BFA">
              <w:pPr>
                <w:pStyle w:val="Bibliography"/>
                <w:ind w:left="720" w:hanging="720"/>
                <w:rPr>
                  <w:noProof/>
                </w:rPr>
              </w:pPr>
              <w:r>
                <w:rPr>
                  <w:noProof/>
                </w:rPr>
                <w:t xml:space="preserve">Australian Bureau of Statistics. (2023). </w:t>
              </w:r>
              <w:r>
                <w:rPr>
                  <w:i/>
                  <w:iCs/>
                  <w:noProof/>
                </w:rPr>
                <w:t>Provisional Mortality Statistics, January-December 2022</w:t>
              </w:r>
              <w:r>
                <w:rPr>
                  <w:noProof/>
                </w:rPr>
                <w:t>. Retrieved from https://www.abs.gov.au/statistics/health/causes-death/provisional-mortality-statistics/jan-dec-2022</w:t>
              </w:r>
            </w:p>
            <w:p w14:paraId="513B6589" w14:textId="77777777" w:rsidR="00331BFA" w:rsidRDefault="00331BFA" w:rsidP="00331BFA">
              <w:pPr>
                <w:pStyle w:val="Bibliography"/>
                <w:ind w:left="720" w:hanging="720"/>
                <w:rPr>
                  <w:noProof/>
                </w:rPr>
              </w:pPr>
              <w:r>
                <w:rPr>
                  <w:noProof/>
                </w:rPr>
                <w:t xml:space="preserve">Australian Bureau of Statistics. (2023). </w:t>
              </w:r>
              <w:r>
                <w:rPr>
                  <w:i/>
                  <w:iCs/>
                  <w:noProof/>
                </w:rPr>
                <w:t>Regional Population, 2021–22.</w:t>
              </w:r>
              <w:r>
                <w:rPr>
                  <w:noProof/>
                </w:rPr>
                <w:t xml:space="preserve"> Retrieved from https://www.abs.gov.au/statistics/people/population/regional-population/2021-22</w:t>
              </w:r>
            </w:p>
            <w:p w14:paraId="6EB32689" w14:textId="46409440" w:rsidR="00331BFA" w:rsidRDefault="00331BFA" w:rsidP="00331BFA">
              <w:pPr>
                <w:pStyle w:val="Bibliography"/>
                <w:ind w:left="720" w:hanging="720"/>
                <w:rPr>
                  <w:noProof/>
                </w:rPr>
              </w:pPr>
              <w:r>
                <w:rPr>
                  <w:noProof/>
                </w:rPr>
                <w:t xml:space="preserve">Australian Institute of Family Studies. (2023). </w:t>
              </w:r>
              <w:r>
                <w:rPr>
                  <w:i/>
                  <w:iCs/>
                  <w:noProof/>
                </w:rPr>
                <w:t>Births in Australia: Facts and Figures 2023</w:t>
              </w:r>
              <w:r>
                <w:rPr>
                  <w:noProof/>
                </w:rPr>
                <w:t>. Retrieved from https://aifs.gov.au/research/facts-and-figures/births-australia-2023</w:t>
              </w:r>
            </w:p>
            <w:p w14:paraId="69DA59F1" w14:textId="77777777" w:rsidR="00331BFA" w:rsidRDefault="00331BFA" w:rsidP="00331BFA">
              <w:pPr>
                <w:pStyle w:val="Bibliography"/>
                <w:ind w:left="720" w:hanging="720"/>
                <w:rPr>
                  <w:noProof/>
                </w:rPr>
              </w:pPr>
              <w:r>
                <w:rPr>
                  <w:noProof/>
                </w:rPr>
                <w:t xml:space="preserve">Department of Home Affairs. (2023). </w:t>
              </w:r>
              <w:r>
                <w:rPr>
                  <w:i/>
                  <w:iCs/>
                  <w:noProof/>
                </w:rPr>
                <w:t>Temporary visa holders in Australia</w:t>
              </w:r>
              <w:r>
                <w:rPr>
                  <w:noProof/>
                </w:rPr>
                <w:t>. Retrieved from https://data.gov.au/dataset/ds-dga-ab245863-4dea-4661-a334-71ee15937130/details?q=temporary%20visa%20holders</w:t>
              </w:r>
            </w:p>
            <w:p w14:paraId="78B95C45" w14:textId="77777777" w:rsidR="00331BFA" w:rsidRDefault="00331BFA" w:rsidP="00331BFA">
              <w:pPr>
                <w:pStyle w:val="Bibliography"/>
                <w:ind w:left="720" w:hanging="720"/>
                <w:rPr>
                  <w:noProof/>
                </w:rPr>
              </w:pPr>
              <w:r>
                <w:rPr>
                  <w:noProof/>
                </w:rPr>
                <w:t xml:space="preserve">Human Fertility Database. (2023). </w:t>
              </w:r>
              <w:r>
                <w:rPr>
                  <w:i/>
                  <w:iCs/>
                  <w:noProof/>
                </w:rPr>
                <w:t>Short Term Fertility Fluctuations</w:t>
              </w:r>
              <w:r>
                <w:rPr>
                  <w:noProof/>
                </w:rPr>
                <w:t>. Retrieved from https://www.humanfertility.org/Data/STFF</w:t>
              </w:r>
            </w:p>
            <w:p w14:paraId="7A15CE94" w14:textId="77777777" w:rsidR="00331BFA" w:rsidRDefault="00331BFA" w:rsidP="00331BFA">
              <w:pPr>
                <w:pStyle w:val="Bibliography"/>
                <w:ind w:left="720" w:hanging="720"/>
                <w:rPr>
                  <w:noProof/>
                </w:rPr>
              </w:pPr>
              <w:r>
                <w:rPr>
                  <w:noProof/>
                </w:rPr>
                <w:t xml:space="preserve">Johns Hopkins University. (2023). </w:t>
              </w:r>
              <w:r>
                <w:rPr>
                  <w:i/>
                  <w:iCs/>
                  <w:noProof/>
                </w:rPr>
                <w:t>Mortality analyses</w:t>
              </w:r>
              <w:r>
                <w:rPr>
                  <w:noProof/>
                </w:rPr>
                <w:t>. Retrieved from https://coronavirus.jhu.edu/data/mortality</w:t>
              </w:r>
            </w:p>
            <w:p w14:paraId="31A30C5C" w14:textId="77777777" w:rsidR="00331BFA" w:rsidRDefault="00331BFA" w:rsidP="00331BFA">
              <w:pPr>
                <w:pStyle w:val="Bibliography"/>
                <w:ind w:left="720" w:hanging="720"/>
                <w:rPr>
                  <w:noProof/>
                </w:rPr>
              </w:pPr>
              <w:r>
                <w:rPr>
                  <w:noProof/>
                </w:rPr>
                <w:t xml:space="preserve">McDonald, P. (2020). </w:t>
              </w:r>
              <w:r>
                <w:rPr>
                  <w:i/>
                  <w:iCs/>
                  <w:noProof/>
                </w:rPr>
                <w:t>A Projection of Australia's Future Fertility Rates.</w:t>
              </w:r>
              <w:r>
                <w:rPr>
                  <w:noProof/>
                </w:rPr>
                <w:t xml:space="preserve"> Canberra: Centre for Population.</w:t>
              </w:r>
            </w:p>
            <w:p w14:paraId="571E045B" w14:textId="77777777" w:rsidR="00331BFA" w:rsidRDefault="00331BFA" w:rsidP="00331BFA">
              <w:pPr>
                <w:pStyle w:val="Bibliography"/>
                <w:ind w:left="720" w:hanging="720"/>
                <w:rPr>
                  <w:noProof/>
                </w:rPr>
              </w:pPr>
              <w:r>
                <w:rPr>
                  <w:noProof/>
                </w:rPr>
                <w:t xml:space="preserve">Office for National Statistics. (2023). </w:t>
              </w:r>
              <w:r>
                <w:rPr>
                  <w:i/>
                  <w:iCs/>
                  <w:noProof/>
                </w:rPr>
                <w:t>Long term international migration, provisional: year ending June 2023</w:t>
              </w:r>
              <w:r>
                <w:rPr>
                  <w:noProof/>
                </w:rPr>
                <w:t>. Retrieved from https://www.ons.gov.uk/peoplepopulationandcommunity/populationandmigration/internationalmigration/bulletins/longterminternationalmigrationprovisional/yearendingjune2023</w:t>
              </w:r>
            </w:p>
            <w:p w14:paraId="3599F638" w14:textId="77777777" w:rsidR="00331BFA" w:rsidRDefault="00331BFA" w:rsidP="00331BFA">
              <w:pPr>
                <w:pStyle w:val="Bibliography"/>
                <w:ind w:left="720" w:hanging="720"/>
                <w:rPr>
                  <w:noProof/>
                </w:rPr>
              </w:pPr>
              <w:r>
                <w:rPr>
                  <w:noProof/>
                </w:rPr>
                <w:t xml:space="preserve">Statistics Canada. (2023). </w:t>
              </w:r>
              <w:r>
                <w:rPr>
                  <w:i/>
                  <w:iCs/>
                  <w:noProof/>
                </w:rPr>
                <w:t>Estimates of the components of international migration, quarterly</w:t>
              </w:r>
              <w:r>
                <w:rPr>
                  <w:noProof/>
                </w:rPr>
                <w:t>. Retrieved from https://www150.statcan.gc.ca/t1/tbl1/en/tv.action?pid=1710004001&amp;pickMembers%5B0%5D=1.1&amp;cubeTimeFrame.startMonth=01&amp;cubeTimeFrame.startYear=2018&amp;cubeTimeFrame.endMonth=04&amp;cubeTimeFrame.endYear=2023&amp;referencePeriods=20180101%2C20230401</w:t>
              </w:r>
            </w:p>
            <w:p w14:paraId="6E87900B" w14:textId="77777777" w:rsidR="00331BFA" w:rsidRDefault="00331BFA" w:rsidP="00331BFA">
              <w:pPr>
                <w:pStyle w:val="Bibliography"/>
                <w:ind w:left="720" w:hanging="720"/>
                <w:rPr>
                  <w:noProof/>
                </w:rPr>
              </w:pPr>
              <w:r>
                <w:rPr>
                  <w:noProof/>
                </w:rPr>
                <w:t xml:space="preserve">The Centre for International Economics. (2023). </w:t>
              </w:r>
              <w:r>
                <w:rPr>
                  <w:i/>
                  <w:iCs/>
                  <w:noProof/>
                </w:rPr>
                <w:t>Internal migration in Australia and the impact of government levers.</w:t>
              </w:r>
              <w:r>
                <w:rPr>
                  <w:noProof/>
                </w:rPr>
                <w:t xml:space="preserve"> Retrieved from https://population.gov.au/sites/population.gov.au/files/2023-11/final-report-internal-migration-aus.pdf</w:t>
              </w:r>
            </w:p>
            <w:p w14:paraId="61ADDDB2" w14:textId="77777777" w:rsidR="00331BFA" w:rsidRDefault="00331BFA" w:rsidP="00331BFA">
              <w:pPr>
                <w:pStyle w:val="Bibliography"/>
                <w:ind w:left="720" w:hanging="720"/>
                <w:rPr>
                  <w:noProof/>
                </w:rPr>
              </w:pPr>
              <w:r>
                <w:rPr>
                  <w:noProof/>
                </w:rPr>
                <w:t xml:space="preserve">The Commonwealth of Australia. (2021). </w:t>
              </w:r>
              <w:r>
                <w:rPr>
                  <w:i/>
                  <w:iCs/>
                  <w:noProof/>
                </w:rPr>
                <w:t>2021 Intergenerational Report</w:t>
              </w:r>
              <w:r>
                <w:rPr>
                  <w:noProof/>
                </w:rPr>
                <w:t>. Retrieved from https://treasury.gov.au/publication/2021-intergenerational-report</w:t>
              </w:r>
            </w:p>
            <w:p w14:paraId="609F6729" w14:textId="028373F4" w:rsidR="00FD68B9" w:rsidDel="00786B45" w:rsidRDefault="00786B45" w:rsidP="00331BFA">
              <w:pPr>
                <w:pStyle w:val="Bibliography"/>
              </w:pPr>
              <w:r>
                <w:rPr>
                  <w:b/>
                  <w:bCs/>
                  <w:noProof/>
                </w:rPr>
                <w:fldChar w:fldCharType="end"/>
              </w:r>
            </w:p>
          </w:sdtContent>
        </w:sdt>
      </w:sdtContent>
    </w:sdt>
    <w:bookmarkEnd w:id="290" w:displacedByCustomXml="prev"/>
    <w:bookmarkEnd w:id="291" w:displacedByCustomXml="prev"/>
    <w:bookmarkEnd w:id="292" w:displacedByCustomXml="prev"/>
    <w:bookmarkEnd w:id="293" w:displacedByCustomXml="prev"/>
    <w:bookmarkEnd w:id="294" w:displacedByCustomXml="prev"/>
    <w:sectPr w:rsidR="00FD68B9" w:rsidDel="00786B45" w:rsidSect="00853CD7">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2354" w14:textId="77777777" w:rsidR="000D1D7E" w:rsidRDefault="000D1D7E">
      <w:pPr>
        <w:spacing w:before="0" w:after="0"/>
      </w:pPr>
      <w:r>
        <w:separator/>
      </w:r>
    </w:p>
  </w:endnote>
  <w:endnote w:type="continuationSeparator" w:id="0">
    <w:p w14:paraId="1F1D88EA" w14:textId="77777777" w:rsidR="000D1D7E" w:rsidRDefault="000D1D7E">
      <w:pPr>
        <w:spacing w:before="0" w:after="0"/>
      </w:pPr>
      <w:r>
        <w:continuationSeparator/>
      </w:r>
    </w:p>
  </w:endnote>
  <w:endnote w:type="continuationNotice" w:id="1">
    <w:p w14:paraId="49B2D9FB" w14:textId="77777777" w:rsidR="000D1D7E" w:rsidRDefault="000D1D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16F5" w14:textId="7640CCCD" w:rsidR="00EF145E" w:rsidRPr="00E77C89" w:rsidRDefault="00320174" w:rsidP="00E629F0">
    <w:pPr>
      <w:pStyle w:val="FooterEven"/>
    </w:pPr>
    <w:r>
      <w:fldChar w:fldCharType="begin"/>
    </w:r>
    <w:r>
      <w:instrText xml:space="preserve"> PAGE  \* roman  \* MERGEFORMAT </w:instrText>
    </w:r>
    <w:r>
      <w:fldChar w:fldCharType="separate"/>
    </w:r>
    <w:r>
      <w:t>ii</w:t>
    </w:r>
    <w:r>
      <w:fldChar w:fldCharType="end"/>
    </w:r>
    <w:r w:rsidR="00E629F0">
      <w:t xml:space="preserve"> | </w:t>
    </w:r>
    <w:r w:rsidR="00946BB9" w:rsidRPr="00165A28">
      <w:rPr>
        <w:b/>
        <w:bCs/>
      </w:rPr>
      <w:fldChar w:fldCharType="begin"/>
    </w:r>
    <w:r w:rsidR="00946BB9" w:rsidRPr="00165A28">
      <w:rPr>
        <w:b/>
        <w:bCs/>
      </w:rPr>
      <w:instrText xml:space="preserve"> INFO  Title  \* MERGEFORMAT </w:instrText>
    </w:r>
    <w:r w:rsidR="00946BB9" w:rsidRPr="00165A28">
      <w:rPr>
        <w:b/>
        <w:bCs/>
      </w:rPr>
      <w:fldChar w:fldCharType="separate"/>
    </w:r>
    <w:r w:rsidR="00CE6FEA">
      <w:rPr>
        <w:b/>
        <w:bCs/>
      </w:rPr>
      <w:t>Population Statement 2023</w:t>
    </w:r>
    <w:r w:rsidR="00946BB9" w:rsidRPr="00165A28">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6654" w14:textId="58791DC0" w:rsidR="00F401A0" w:rsidRPr="00E77C89" w:rsidRDefault="00946BB9" w:rsidP="00F401A0">
    <w:pPr>
      <w:pStyle w:val="FooterOdd"/>
      <w:ind w:firstLine="720"/>
    </w:pPr>
    <w:r w:rsidRPr="00165A28">
      <w:rPr>
        <w:b/>
        <w:bCs/>
      </w:rPr>
      <w:fldChar w:fldCharType="begin"/>
    </w:r>
    <w:r w:rsidRPr="00165A28">
      <w:rPr>
        <w:b/>
        <w:bCs/>
      </w:rPr>
      <w:instrText xml:space="preserve"> INFO  Title  \* MERGEFORMAT </w:instrText>
    </w:r>
    <w:r w:rsidRPr="00165A28">
      <w:rPr>
        <w:b/>
        <w:bCs/>
      </w:rPr>
      <w:fldChar w:fldCharType="separate"/>
    </w:r>
    <w:r w:rsidR="00CE6FEA">
      <w:rPr>
        <w:b/>
        <w:bCs/>
      </w:rPr>
      <w:t>Population Statement 2023</w:t>
    </w:r>
    <w:r w:rsidRPr="00165A28">
      <w:rPr>
        <w:b/>
        <w:bCs/>
      </w:rPr>
      <w:fldChar w:fldCharType="end"/>
    </w:r>
    <w:r w:rsidR="00F401A0">
      <w:t xml:space="preserve">| </w:t>
    </w:r>
    <w:r w:rsidR="00F401A0">
      <w:fldChar w:fldCharType="begin"/>
    </w:r>
    <w:r w:rsidR="00F401A0">
      <w:instrText xml:space="preserve"> PAGE  \* roman  \* MERGEFORMAT </w:instrText>
    </w:r>
    <w:r w:rsidR="00F401A0">
      <w:fldChar w:fldCharType="separate"/>
    </w:r>
    <w:r w:rsidR="00F401A0">
      <w:t>vi</w:t>
    </w:r>
    <w:r w:rsidR="00F401A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2076" w14:textId="63DCDA2E" w:rsidR="00E629F0" w:rsidRPr="00E77C89" w:rsidRDefault="00E629F0" w:rsidP="00E629F0">
    <w:pPr>
      <w:pStyle w:val="FooterEven"/>
    </w:pPr>
    <w:r>
      <w:fldChar w:fldCharType="begin"/>
    </w:r>
    <w:r>
      <w:instrText xml:space="preserve"> PAGE  \* roman  \* MERGEFORMAT </w:instrText>
    </w:r>
    <w:r>
      <w:fldChar w:fldCharType="separate"/>
    </w:r>
    <w:r>
      <w:t>ii</w:t>
    </w:r>
    <w:r>
      <w:fldChar w:fldCharType="end"/>
    </w:r>
    <w:r>
      <w:t xml:space="preserve"> | </w:t>
    </w:r>
    <w:r w:rsidR="00946BB9" w:rsidRPr="00165A28">
      <w:rPr>
        <w:b/>
        <w:bCs/>
      </w:rPr>
      <w:fldChar w:fldCharType="begin"/>
    </w:r>
    <w:r w:rsidR="00946BB9" w:rsidRPr="00165A28">
      <w:rPr>
        <w:b/>
        <w:bCs/>
      </w:rPr>
      <w:instrText xml:space="preserve"> INFO  Title  \* MERGEFORMAT </w:instrText>
    </w:r>
    <w:r w:rsidR="00946BB9" w:rsidRPr="00165A28">
      <w:rPr>
        <w:b/>
        <w:bCs/>
      </w:rPr>
      <w:fldChar w:fldCharType="separate"/>
    </w:r>
    <w:r w:rsidR="00CE6FEA">
      <w:rPr>
        <w:b/>
        <w:bCs/>
      </w:rPr>
      <w:t>Population Statement 2023</w:t>
    </w:r>
    <w:r w:rsidR="00946BB9" w:rsidRPr="00165A28">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FC45" w14:textId="7D1CE8E6" w:rsidR="00B55588" w:rsidRPr="00E77C89" w:rsidRDefault="00946BB9" w:rsidP="00F401A0">
    <w:pPr>
      <w:pStyle w:val="FooterOdd"/>
      <w:ind w:firstLine="720"/>
    </w:pPr>
    <w:r w:rsidRPr="00165A28">
      <w:rPr>
        <w:b/>
        <w:bCs/>
      </w:rPr>
      <w:fldChar w:fldCharType="begin"/>
    </w:r>
    <w:r w:rsidRPr="00165A28">
      <w:rPr>
        <w:b/>
        <w:bCs/>
      </w:rPr>
      <w:instrText xml:space="preserve"> INFO  Title  \* MERGEFORMAT </w:instrText>
    </w:r>
    <w:r w:rsidRPr="00165A28">
      <w:rPr>
        <w:b/>
        <w:bCs/>
      </w:rPr>
      <w:fldChar w:fldCharType="separate"/>
    </w:r>
    <w:r w:rsidR="00CE6FEA">
      <w:rPr>
        <w:b/>
        <w:bCs/>
      </w:rPr>
      <w:t>Population Statement 2023</w:t>
    </w:r>
    <w:r w:rsidRPr="00165A28">
      <w:rPr>
        <w:b/>
        <w:bCs/>
      </w:rPr>
      <w:fldChar w:fldCharType="end"/>
    </w:r>
    <w:r>
      <w:rPr>
        <w:b/>
        <w:bCs/>
      </w:rPr>
      <w:t xml:space="preserve"> </w:t>
    </w:r>
    <w:r w:rsidR="00527F5D">
      <w:t xml:space="preserve">| </w:t>
    </w:r>
    <w:r w:rsidR="00527F5D">
      <w:fldChar w:fldCharType="begin"/>
    </w:r>
    <w:r w:rsidR="00527F5D">
      <w:instrText xml:space="preserve"> PAGE  \* roman  \* MERGEFORMAT </w:instrText>
    </w:r>
    <w:r w:rsidR="00527F5D">
      <w:fldChar w:fldCharType="separate"/>
    </w:r>
    <w:r w:rsidR="00527F5D">
      <w:rPr>
        <w:noProof/>
      </w:rPr>
      <w:t>ii</w:t>
    </w:r>
    <w:r w:rsidR="00527F5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33C2" w14:textId="095C8D40" w:rsidR="0066348F" w:rsidRPr="00E77C89" w:rsidRDefault="0066348F" w:rsidP="0066348F">
    <w:pPr>
      <w:pStyle w:val="FooterOdd"/>
      <w:ind w:firstLine="720"/>
    </w:pPr>
    <w:r w:rsidRPr="00AC19E9">
      <w:rPr>
        <w:b/>
        <w:bCs/>
      </w:rPr>
      <w:t>Centre for Population</w:t>
    </w:r>
    <w:r>
      <w:t xml:space="preserve"> | </w:t>
    </w:r>
    <w:r w:rsidR="00806B8A" w:rsidRPr="00806B8A">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C527" w14:textId="7241EBB7" w:rsidR="0066348F" w:rsidRPr="0066348F" w:rsidRDefault="0066348F" w:rsidP="0066348F">
    <w:pPr>
      <w:pStyle w:val="FooterEven"/>
      <w:rPr>
        <w:b/>
        <w:bCs/>
      </w:rPr>
    </w:pPr>
    <w:r>
      <w:fldChar w:fldCharType="begin"/>
    </w:r>
    <w:r>
      <w:instrText xml:space="preserve"> PAGE  \* Arabic  \* MERGEFORMAT </w:instrText>
    </w:r>
    <w:r>
      <w:fldChar w:fldCharType="separate"/>
    </w:r>
    <w:r>
      <w:t>2</w:t>
    </w:r>
    <w:r>
      <w:fldChar w:fldCharType="end"/>
    </w:r>
    <w:r>
      <w:t xml:space="preserve"> | </w:t>
    </w:r>
    <w:r w:rsidRPr="0066348F">
      <w:rPr>
        <w:b/>
        <w:bCs/>
      </w:rPr>
      <w:fldChar w:fldCharType="begin"/>
    </w:r>
    <w:r w:rsidRPr="0066348F">
      <w:rPr>
        <w:b/>
        <w:bCs/>
      </w:rPr>
      <w:instrText xml:space="preserve"> INFO  Title  \* MERGEFORMAT </w:instrText>
    </w:r>
    <w:r w:rsidRPr="0066348F">
      <w:rPr>
        <w:b/>
        <w:bCs/>
      </w:rPr>
      <w:fldChar w:fldCharType="separate"/>
    </w:r>
    <w:r w:rsidR="00CE6FEA">
      <w:rPr>
        <w:b/>
        <w:bCs/>
      </w:rPr>
      <w:t>Population Statement 2023</w:t>
    </w:r>
    <w:r w:rsidRPr="0066348F">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E96F" w14:textId="2D0AD6BD" w:rsidR="00165A28" w:rsidRPr="0066348F" w:rsidRDefault="00165A28" w:rsidP="00165A28">
    <w:pPr>
      <w:pStyle w:val="FooterOdd"/>
    </w:pPr>
    <w:r w:rsidRPr="00165A28">
      <w:rPr>
        <w:b/>
        <w:bCs/>
      </w:rPr>
      <w:fldChar w:fldCharType="begin"/>
    </w:r>
    <w:r w:rsidRPr="00165A28">
      <w:rPr>
        <w:b/>
        <w:bCs/>
      </w:rPr>
      <w:instrText xml:space="preserve"> INFO  Title  \* MERGEFORMAT </w:instrText>
    </w:r>
    <w:r w:rsidRPr="00165A28">
      <w:rPr>
        <w:b/>
        <w:bCs/>
      </w:rPr>
      <w:fldChar w:fldCharType="separate"/>
    </w:r>
    <w:r w:rsidR="00CE6FEA">
      <w:rPr>
        <w:b/>
        <w:bCs/>
      </w:rPr>
      <w:t>Population Statement 2023</w:t>
    </w:r>
    <w:r w:rsidRPr="00165A28">
      <w:rPr>
        <w:b/>
        <w:bCs/>
      </w:rPr>
      <w:fldChar w:fldCharType="end"/>
    </w:r>
    <w:r>
      <w:t xml:space="preserve"> | </w:t>
    </w:r>
    <w:r>
      <w:fldChar w:fldCharType="begin"/>
    </w:r>
    <w:r>
      <w:instrText xml:space="preserve"> PAGE  \* Arabic  \* MERGEFORMAT </w:instrText>
    </w:r>
    <w:r>
      <w:fldChar w:fldCharType="separate"/>
    </w:r>
    <w: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9510" w14:textId="77777777" w:rsidR="00806B8A" w:rsidRPr="00E77C89" w:rsidRDefault="00806B8A" w:rsidP="0066348F">
    <w:pPr>
      <w:pStyle w:val="FooterOdd"/>
      <w:ind w:firstLine="720"/>
    </w:pPr>
    <w:r w:rsidRPr="00AC19E9">
      <w:rPr>
        <w:b/>
        <w:bCs/>
      </w:rPr>
      <w:t>Centre for Population</w:t>
    </w:r>
    <w:r>
      <w:t xml:space="preserve"> | </w:t>
    </w:r>
    <w:r w:rsidRPr="00806B8A">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783AC" w14:textId="77777777" w:rsidR="001A002F" w:rsidRDefault="001A0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398CE" w14:textId="77777777" w:rsidR="000D1D7E" w:rsidRDefault="000D1D7E">
      <w:pPr>
        <w:spacing w:before="0" w:after="0"/>
      </w:pPr>
      <w:r>
        <w:separator/>
      </w:r>
    </w:p>
  </w:footnote>
  <w:footnote w:type="continuationSeparator" w:id="0">
    <w:p w14:paraId="75F46FF5" w14:textId="77777777" w:rsidR="000D1D7E" w:rsidRDefault="000D1D7E">
      <w:pPr>
        <w:spacing w:before="0" w:after="0"/>
      </w:pPr>
      <w:r>
        <w:continuationSeparator/>
      </w:r>
    </w:p>
  </w:footnote>
  <w:footnote w:type="continuationNotice" w:id="1">
    <w:p w14:paraId="3F8E77A0" w14:textId="77777777" w:rsidR="000D1D7E" w:rsidRDefault="000D1D7E">
      <w:pPr>
        <w:spacing w:before="0" w:after="0" w:line="240" w:lineRule="auto"/>
      </w:pPr>
    </w:p>
  </w:footnote>
  <w:footnote w:id="2">
    <w:p w14:paraId="022326BF" w14:textId="6A75C339" w:rsidR="0077377C" w:rsidRPr="008B03DD" w:rsidRDefault="00E32BE7" w:rsidP="008B03DD">
      <w:pPr>
        <w:pStyle w:val="FootnoteText"/>
      </w:pPr>
      <w:r w:rsidRPr="008B03DD">
        <w:rPr>
          <w:rStyle w:val="FootnoteReference"/>
          <w:rFonts w:asciiTheme="minorHAnsi" w:hAnsiTheme="minorHAnsi"/>
          <w:vertAlign w:val="baseline"/>
        </w:rPr>
        <w:footnoteRef/>
      </w:r>
      <w:r w:rsidR="0077377C" w:rsidRPr="008B03DD">
        <w:t xml:space="preserve"> </w:t>
      </w:r>
      <w:r w:rsidR="005658B4" w:rsidRPr="008B03DD">
        <w:tab/>
      </w:r>
      <w:r w:rsidR="0077377C" w:rsidRPr="008B03DD">
        <w:t xml:space="preserve">The analysis focuses on </w:t>
      </w:r>
      <w:r w:rsidR="006E57C4" w:rsidRPr="008B03DD">
        <w:t>2030</w:t>
      </w:r>
      <w:r w:rsidR="00467DB7">
        <w:t>–</w:t>
      </w:r>
      <w:r w:rsidR="006E57C4" w:rsidRPr="008B03DD">
        <w:t xml:space="preserve">31, as this was the </w:t>
      </w:r>
      <w:r w:rsidR="007B5A00" w:rsidRPr="008B03DD">
        <w:t>final</w:t>
      </w:r>
      <w:r w:rsidR="006E57C4" w:rsidRPr="008B03DD">
        <w:t xml:space="preserve"> year of </w:t>
      </w:r>
      <w:r w:rsidR="004D631F" w:rsidRPr="008B03DD">
        <w:t>the projection period</w:t>
      </w:r>
      <w:r w:rsidR="006E57C4" w:rsidRPr="008B03DD">
        <w:t xml:space="preserve"> in </w:t>
      </w:r>
      <w:r w:rsidR="007B5A00" w:rsidRPr="008B03DD">
        <w:t>the final set of pre</w:t>
      </w:r>
      <w:r w:rsidR="004B14AB" w:rsidRPr="008B03DD">
        <w:noBreakHyphen/>
      </w:r>
      <w:r w:rsidR="007B5A00" w:rsidRPr="008B03DD">
        <w:t>pandemic projections (2019</w:t>
      </w:r>
      <w:r w:rsidR="009341CD" w:rsidRPr="008B03DD">
        <w:t>–</w:t>
      </w:r>
      <w:r w:rsidR="007B5A00" w:rsidRPr="008B03DD">
        <w:t xml:space="preserve">20 </w:t>
      </w:r>
      <w:r w:rsidR="006E57C4" w:rsidRPr="008B03DD">
        <w:t>MYEFO</w:t>
      </w:r>
      <w:r w:rsidR="007B5A00" w:rsidRPr="008B03DD">
        <w:t>).</w:t>
      </w:r>
    </w:p>
  </w:footnote>
  <w:footnote w:id="3">
    <w:p w14:paraId="0A8C27EB" w14:textId="7BA7DA52" w:rsidR="003C3B14" w:rsidRPr="008B03DD" w:rsidRDefault="00E32BE7" w:rsidP="008B03DD">
      <w:pPr>
        <w:pStyle w:val="FootnoteText"/>
      </w:pPr>
      <w:r w:rsidRPr="008B03DD">
        <w:rPr>
          <w:rStyle w:val="FootnoteReference"/>
          <w:rFonts w:asciiTheme="minorHAnsi" w:hAnsiTheme="minorHAnsi"/>
          <w:vertAlign w:val="baseline"/>
        </w:rPr>
        <w:footnoteRef/>
      </w:r>
      <w:r w:rsidR="003C3B14" w:rsidRPr="008B03DD">
        <w:rPr>
          <w:rStyle w:val="FootnoteReference"/>
          <w:rFonts w:asciiTheme="minorHAnsi" w:hAnsiTheme="minorHAnsi"/>
          <w:vertAlign w:val="baseline"/>
        </w:rPr>
        <w:t xml:space="preserve"> </w:t>
      </w:r>
      <w:r w:rsidR="003C3B14" w:rsidRPr="008B03DD">
        <w:rPr>
          <w:rStyle w:val="FootnoteReference"/>
          <w:rFonts w:asciiTheme="minorHAnsi" w:hAnsiTheme="minorHAnsi"/>
          <w:vertAlign w:val="baseline"/>
        </w:rPr>
        <w:tab/>
        <w:t>ABS, Australia’s Population by Country of Birth, 2022.</w:t>
      </w:r>
    </w:p>
  </w:footnote>
  <w:footnote w:id="4">
    <w:p w14:paraId="110F4422" w14:textId="102B141E" w:rsidR="003544B1" w:rsidRDefault="00E32BE7" w:rsidP="008B03DD">
      <w:pPr>
        <w:pStyle w:val="FootnoteText"/>
      </w:pPr>
      <w:r w:rsidRPr="008B03DD">
        <w:footnoteRef/>
      </w:r>
      <w:r w:rsidR="003544B1" w:rsidRPr="008B03DD">
        <w:t xml:space="preserve"> </w:t>
      </w:r>
      <w:r w:rsidR="00717FEF" w:rsidRPr="008B03DD">
        <w:tab/>
      </w:r>
      <w:r w:rsidR="003544B1" w:rsidRPr="008B03DD">
        <w:t xml:space="preserve">ABS, Estimates of Aboriginal and Torres Strait Islander Australians, </w:t>
      </w:r>
      <w:r w:rsidR="00717FEF" w:rsidRPr="008B03DD">
        <w:t>2021.</w:t>
      </w:r>
    </w:p>
  </w:footnote>
  <w:footnote w:id="5">
    <w:p w14:paraId="0F9AD2FC" w14:textId="246E1D31" w:rsidR="007F56AF" w:rsidRPr="00E32BE7" w:rsidRDefault="00E32BE7" w:rsidP="00E32BE7">
      <w:pPr>
        <w:pStyle w:val="FootnoteText"/>
      </w:pPr>
      <w:r w:rsidRPr="00E32BE7">
        <w:rPr>
          <w:rStyle w:val="FootnoteReference"/>
          <w:rFonts w:asciiTheme="minorHAnsi" w:hAnsiTheme="minorHAnsi"/>
          <w:vertAlign w:val="baseline"/>
        </w:rPr>
        <w:footnoteRef/>
      </w:r>
      <w:r w:rsidR="007F56AF" w:rsidRPr="00E32BE7">
        <w:tab/>
      </w:r>
      <w:r w:rsidR="007F56AF" w:rsidRPr="00E32BE7">
        <w:rPr>
          <w:rStyle w:val="FootnoteReference"/>
          <w:rFonts w:asciiTheme="minorHAnsi" w:hAnsiTheme="minorHAnsi"/>
          <w:vertAlign w:val="baseline"/>
        </w:rPr>
        <w:t>International students also consist of secondary visa holders, generally family members of those completing their studies</w:t>
      </w:r>
      <w:r w:rsidR="00C044E5">
        <w:t>.</w:t>
      </w:r>
    </w:p>
  </w:footnote>
  <w:footnote w:id="6">
    <w:p w14:paraId="2D99B0DF" w14:textId="02B91148" w:rsidR="00952074" w:rsidRPr="00E32BE7" w:rsidRDefault="00E32BE7" w:rsidP="00E32BE7">
      <w:pPr>
        <w:pStyle w:val="FootnoteText"/>
      </w:pPr>
      <w:r w:rsidRPr="00E32BE7">
        <w:rPr>
          <w:rStyle w:val="FootnoteReference"/>
          <w:rFonts w:asciiTheme="minorHAnsi" w:hAnsiTheme="minorHAnsi"/>
          <w:vertAlign w:val="baseline"/>
        </w:rPr>
        <w:footnoteRef/>
      </w:r>
      <w:r w:rsidR="00952074" w:rsidRPr="00E32BE7">
        <w:tab/>
      </w:r>
      <w:r w:rsidR="00952074" w:rsidRPr="00E32BE7">
        <w:rPr>
          <w:rStyle w:val="FootnoteReference"/>
          <w:rFonts w:asciiTheme="minorHAnsi" w:hAnsiTheme="minorHAnsi"/>
          <w:vertAlign w:val="baseline"/>
        </w:rPr>
        <w:t>Including skilled temporary migrants, visitor visa holders</w:t>
      </w:r>
      <w:r w:rsidR="004438C6" w:rsidRPr="00E32BE7">
        <w:t>, working holiday maker</w:t>
      </w:r>
      <w:r w:rsidR="00C31D23" w:rsidRPr="00E32BE7">
        <w:t xml:space="preserve">s, </w:t>
      </w:r>
      <w:r w:rsidR="00952074" w:rsidRPr="00E32BE7">
        <w:rPr>
          <w:rStyle w:val="FootnoteReference"/>
          <w:rFonts w:asciiTheme="minorHAnsi" w:hAnsiTheme="minorHAnsi"/>
          <w:vertAlign w:val="baseline"/>
        </w:rPr>
        <w:t>other temporary visa holders such as temporary graduates</w:t>
      </w:r>
      <w:r w:rsidR="00C31D23" w:rsidRPr="00E32BE7">
        <w:t xml:space="preserve"> and unclassified visa holders</w:t>
      </w:r>
      <w:r w:rsidR="00952074" w:rsidRPr="00E32BE7">
        <w:rPr>
          <w:rStyle w:val="FootnoteReference"/>
          <w:rFonts w:asciiTheme="minorHAnsi" w:hAnsiTheme="minorHAnsi"/>
          <w:vertAlign w:val="baseline"/>
        </w:rPr>
        <w:t>.</w:t>
      </w:r>
    </w:p>
  </w:footnote>
  <w:footnote w:id="7">
    <w:p w14:paraId="51E8A002" w14:textId="45F10325" w:rsidR="002423D5" w:rsidRPr="00E32BE7" w:rsidRDefault="00E32BE7" w:rsidP="00E32BE7">
      <w:pPr>
        <w:pStyle w:val="FootnoteText"/>
      </w:pPr>
      <w:r w:rsidRPr="00E32BE7">
        <w:rPr>
          <w:rStyle w:val="FootnoteReference"/>
          <w:rFonts w:asciiTheme="minorHAnsi" w:hAnsiTheme="minorHAnsi"/>
          <w:vertAlign w:val="baseline"/>
        </w:rPr>
        <w:footnoteRef/>
      </w:r>
      <w:r w:rsidR="002423D5" w:rsidRPr="00E32BE7">
        <w:t xml:space="preserve"> </w:t>
      </w:r>
      <w:r w:rsidR="00645008" w:rsidRPr="00E32BE7">
        <w:tab/>
      </w:r>
      <w:r w:rsidR="005778CB" w:rsidRPr="00E32BE7">
        <w:t>ABS</w:t>
      </w:r>
      <w:r w:rsidR="002423D5" w:rsidRPr="00E32BE7">
        <w:t>, Births, Australia, 202</w:t>
      </w:r>
      <w:r w:rsidR="007759F2" w:rsidRPr="00E32BE7">
        <w:t>2</w:t>
      </w:r>
      <w:r w:rsidR="002423D5" w:rsidRPr="00E32BE7">
        <w:t>.</w:t>
      </w:r>
    </w:p>
  </w:footnote>
  <w:footnote w:id="8">
    <w:p w14:paraId="6F2D712C" w14:textId="05B1688F" w:rsidR="00F94A9B" w:rsidRPr="00E32BE7" w:rsidRDefault="00E32BE7" w:rsidP="00E32BE7">
      <w:pPr>
        <w:pStyle w:val="FootnoteText"/>
      </w:pPr>
      <w:r w:rsidRPr="00E32BE7">
        <w:rPr>
          <w:rStyle w:val="FootnoteReference"/>
          <w:rFonts w:asciiTheme="minorHAnsi" w:hAnsiTheme="minorHAnsi"/>
          <w:vertAlign w:val="baseline"/>
        </w:rPr>
        <w:footnoteRef/>
      </w:r>
      <w:r w:rsidR="0095533A" w:rsidRPr="00E32BE7">
        <w:tab/>
      </w:r>
      <w:r w:rsidR="00A031B4" w:rsidRPr="00E32BE7">
        <w:rPr>
          <w:rStyle w:val="FootnoteReference"/>
          <w:rFonts w:asciiTheme="minorHAnsi" w:hAnsiTheme="minorHAnsi"/>
          <w:vertAlign w:val="baseline"/>
        </w:rPr>
        <w:t>McDonald, P.</w:t>
      </w:r>
      <w:r w:rsidR="00AD4E8C">
        <w:t>,</w:t>
      </w:r>
      <w:r w:rsidR="00A031B4" w:rsidRPr="00E32BE7">
        <w:rPr>
          <w:rStyle w:val="FootnoteReference"/>
          <w:rFonts w:asciiTheme="minorHAnsi" w:hAnsiTheme="minorHAnsi"/>
          <w:vertAlign w:val="baseline"/>
        </w:rPr>
        <w:t xml:space="preserve"> A Projection of </w:t>
      </w:r>
      <w:r w:rsidR="00757E91">
        <w:t xml:space="preserve">Australia’s </w:t>
      </w:r>
      <w:r w:rsidR="00A031B4" w:rsidRPr="00E32BE7">
        <w:rPr>
          <w:rStyle w:val="FootnoteReference"/>
          <w:rFonts w:asciiTheme="minorHAnsi" w:hAnsiTheme="minorHAnsi"/>
          <w:vertAlign w:val="baseline"/>
        </w:rPr>
        <w:t>Future Fertility Rates</w:t>
      </w:r>
      <w:r w:rsidR="00AD4E8C">
        <w:t>,</w:t>
      </w:r>
      <w:r w:rsidR="00A031B4" w:rsidRPr="00E32BE7">
        <w:rPr>
          <w:rStyle w:val="FootnoteReference"/>
          <w:rFonts w:asciiTheme="minorHAnsi" w:hAnsiTheme="minorHAnsi"/>
          <w:vertAlign w:val="baseline"/>
        </w:rPr>
        <w:t xml:space="preserve"> </w:t>
      </w:r>
      <w:r w:rsidR="00AD4E8C">
        <w:t>2020</w:t>
      </w:r>
      <w:r w:rsidR="00A031B4" w:rsidRPr="00E32BE7">
        <w:rPr>
          <w:rStyle w:val="FootnoteReference"/>
          <w:rFonts w:asciiTheme="minorHAnsi" w:hAnsiTheme="minorHAnsi"/>
          <w:vertAlign w:val="baseline"/>
        </w:rPr>
        <w:t>.</w:t>
      </w:r>
    </w:p>
  </w:footnote>
  <w:footnote w:id="9">
    <w:p w14:paraId="6F9A8A90" w14:textId="05FE3F89" w:rsidR="009F228C" w:rsidRDefault="009F228C">
      <w:pPr>
        <w:pStyle w:val="FootnoteText"/>
      </w:pPr>
      <w:r w:rsidRPr="00BA5D6B">
        <w:rPr>
          <w:rStyle w:val="FootnoteReference"/>
          <w:rFonts w:asciiTheme="minorHAnsi" w:hAnsiTheme="minorHAnsi"/>
          <w:vertAlign w:val="baseline"/>
        </w:rPr>
        <w:footnoteRef/>
      </w:r>
      <w:r w:rsidR="00060E42">
        <w:tab/>
      </w:r>
      <w:r w:rsidR="008401F1" w:rsidRPr="00BA5D6B">
        <w:rPr>
          <w:rStyle w:val="FootnoteReference"/>
          <w:rFonts w:asciiTheme="minorHAnsi" w:hAnsiTheme="minorHAnsi"/>
          <w:vertAlign w:val="baseline"/>
        </w:rPr>
        <w:t>The replacement rate</w:t>
      </w:r>
      <w:r w:rsidR="00AB1B72">
        <w:t>,</w:t>
      </w:r>
      <w:r w:rsidR="008401F1" w:rsidRPr="00720F46">
        <w:rPr>
          <w:rStyle w:val="FootnoteReference"/>
          <w:rFonts w:asciiTheme="minorHAnsi" w:hAnsiTheme="minorHAnsi"/>
          <w:vertAlign w:val="baseline"/>
        </w:rPr>
        <w:t xml:space="preserve"> o</w:t>
      </w:r>
      <w:r w:rsidR="00643E63">
        <w:rPr>
          <w:rStyle w:val="FootnoteReference"/>
          <w:rFonts w:asciiTheme="minorHAnsi" w:hAnsiTheme="minorHAnsi"/>
          <w:vertAlign w:val="baseline"/>
        </w:rPr>
        <w:t xml:space="preserve">r </w:t>
      </w:r>
      <w:r w:rsidR="00643E63">
        <w:t>replacement level</w:t>
      </w:r>
      <w:r w:rsidR="008401F1" w:rsidRPr="00720F46">
        <w:rPr>
          <w:rStyle w:val="FootnoteReference"/>
          <w:rFonts w:asciiTheme="minorHAnsi" w:hAnsiTheme="minorHAnsi"/>
          <w:vertAlign w:val="baseline"/>
        </w:rPr>
        <w:t xml:space="preserve"> fertility, which is around 2.1 births per woman, is the level required for a generation to replace itself, assuming no net overseas migration and no mortality improvement.</w:t>
      </w:r>
    </w:p>
  </w:footnote>
  <w:footnote w:id="10">
    <w:p w14:paraId="10AD9A02" w14:textId="0DE92462" w:rsidR="0052635A" w:rsidRPr="00163463" w:rsidRDefault="00E32BE7" w:rsidP="00E32BE7">
      <w:pPr>
        <w:pStyle w:val="FootnoteText"/>
      </w:pPr>
      <w:r w:rsidRPr="00E32BE7">
        <w:rPr>
          <w:rStyle w:val="FootnoteReference"/>
          <w:rFonts w:asciiTheme="minorHAnsi" w:hAnsiTheme="minorHAnsi"/>
          <w:vertAlign w:val="baseline"/>
        </w:rPr>
        <w:footnoteRef/>
      </w:r>
      <w:r w:rsidR="003F2D1A">
        <w:tab/>
      </w:r>
      <w:r w:rsidR="0052635A" w:rsidRPr="006B7B35">
        <w:rPr>
          <w:rStyle w:val="FootnoteReference"/>
          <w:rFonts w:asciiTheme="minorHAnsi" w:hAnsiTheme="minorHAnsi"/>
          <w:vertAlign w:val="baseline"/>
        </w:rPr>
        <w:t>ABS, Births, Australia, 2022.</w:t>
      </w:r>
    </w:p>
  </w:footnote>
  <w:footnote w:id="11">
    <w:p w14:paraId="48741A10" w14:textId="260B6892" w:rsidR="00BB7576" w:rsidRDefault="00E32BE7" w:rsidP="008B03DD">
      <w:pPr>
        <w:pStyle w:val="FootnoteText"/>
      </w:pPr>
      <w:r w:rsidRPr="008B03DD">
        <w:rPr>
          <w:rStyle w:val="FootnoteReference"/>
          <w:rFonts w:asciiTheme="minorHAnsi" w:hAnsiTheme="minorHAnsi"/>
          <w:vertAlign w:val="baseline"/>
        </w:rPr>
        <w:footnoteRef/>
      </w:r>
      <w:r w:rsidR="00453631" w:rsidRPr="008B03DD">
        <w:tab/>
      </w:r>
      <w:r w:rsidR="00367AC5" w:rsidRPr="008B03DD">
        <w:rPr>
          <w:rStyle w:val="FootnoteReference"/>
          <w:rFonts w:asciiTheme="minorHAnsi" w:hAnsiTheme="minorHAnsi"/>
          <w:vertAlign w:val="baseline"/>
        </w:rPr>
        <w:t xml:space="preserve">Australian Institute of Family Studies, </w:t>
      </w:r>
      <w:hyperlink r:id="rId1" w:tgtFrame="_blank" w:history="1">
        <w:r w:rsidR="00367AC5" w:rsidRPr="008B03DD">
          <w:rPr>
            <w:rStyle w:val="FootnoteReference"/>
            <w:rFonts w:asciiTheme="minorHAnsi" w:hAnsiTheme="minorHAnsi"/>
            <w:vertAlign w:val="baseline"/>
          </w:rPr>
          <w:t>Births in Australia: Facts and Figures 2023</w:t>
        </w:r>
      </w:hyperlink>
      <w:r w:rsidR="00367AC5" w:rsidRPr="008B03DD">
        <w:rPr>
          <w:rStyle w:val="FootnoteReference"/>
          <w:rFonts w:asciiTheme="minorHAnsi" w:hAnsiTheme="minorHAnsi"/>
          <w:vertAlign w:val="baseline"/>
        </w:rPr>
        <w:t xml:space="preserve"> and ABS Census of Population and Housing (1986</w:t>
      </w:r>
      <w:r w:rsidR="00EE7206" w:rsidRPr="008B03DD">
        <w:t>–</w:t>
      </w:r>
      <w:r w:rsidR="00367AC5" w:rsidRPr="008B03DD">
        <w:rPr>
          <w:rStyle w:val="FootnoteReference"/>
          <w:rFonts w:asciiTheme="minorHAnsi" w:hAnsiTheme="minorHAnsi"/>
          <w:vertAlign w:val="baseline"/>
        </w:rPr>
        <w:t>2021).</w:t>
      </w:r>
    </w:p>
    <w:p w14:paraId="2EB79F3E" w14:textId="77777777" w:rsidR="008C2D7A" w:rsidRPr="00BA6D9B" w:rsidRDefault="008C2D7A" w:rsidP="008B03DD">
      <w:pPr>
        <w:pStyle w:val="FootnoteText"/>
        <w:rPr>
          <w:rStyle w:val="FootnoteReference"/>
          <w:rFonts w:asciiTheme="minorHAnsi" w:hAnsiTheme="minorHAnsi"/>
          <w:sz w:val="2"/>
          <w:szCs w:val="2"/>
          <w:vertAlign w:val="baseline"/>
        </w:rPr>
      </w:pPr>
    </w:p>
  </w:footnote>
  <w:footnote w:id="12">
    <w:p w14:paraId="5E8A511F" w14:textId="3E04C9B6" w:rsidR="001014E1" w:rsidRPr="008B03DD" w:rsidRDefault="001014E1" w:rsidP="001014E1">
      <w:pPr>
        <w:pStyle w:val="FootnoteText"/>
        <w:rPr>
          <w:rStyle w:val="FootnoteReference"/>
          <w:rFonts w:asciiTheme="minorHAnsi" w:hAnsiTheme="minorHAnsi"/>
          <w:vertAlign w:val="baseline"/>
        </w:rPr>
      </w:pPr>
      <w:r w:rsidRPr="008B03DD">
        <w:rPr>
          <w:rStyle w:val="FootnoteReference"/>
          <w:rFonts w:asciiTheme="minorHAnsi" w:hAnsiTheme="minorHAnsi"/>
          <w:vertAlign w:val="baseline"/>
        </w:rPr>
        <w:footnoteRef/>
      </w:r>
      <w:r w:rsidRPr="008B03DD">
        <w:tab/>
      </w:r>
      <w:r w:rsidRPr="008B03DD">
        <w:rPr>
          <w:rStyle w:val="FootnoteReference"/>
          <w:rFonts w:asciiTheme="minorHAnsi" w:hAnsiTheme="minorHAnsi"/>
          <w:vertAlign w:val="baseline"/>
        </w:rPr>
        <w:t>Higher education refers to having tertiary</w:t>
      </w:r>
      <w:r w:rsidRPr="008B03DD">
        <w:rPr>
          <w:rStyle w:val="FootnoteReference"/>
          <w:rFonts w:asciiTheme="minorHAnsi" w:hAnsiTheme="minorHAnsi"/>
          <w:vertAlign w:val="baseline"/>
        </w:rPr>
        <w:noBreakHyphen/>
        <w:t>level education, which include diplomas, advanced diplomas, bachelor’s degrees and above. The remainder refers to lower levels of education. For those aged 30‐34 in 2021, around 65</w:t>
      </w:r>
      <w:r>
        <w:rPr>
          <w:rStyle w:val="FootnoteReference"/>
          <w:rFonts w:asciiTheme="minorHAnsi" w:hAnsiTheme="minorHAnsi"/>
          <w:vertAlign w:val="baseline"/>
        </w:rPr>
        <w:t> per cent</w:t>
      </w:r>
      <w:r w:rsidRPr="008B03DD">
        <w:rPr>
          <w:rStyle w:val="FootnoteReference"/>
          <w:rFonts w:asciiTheme="minorHAnsi" w:hAnsiTheme="minorHAnsi"/>
          <w:vertAlign w:val="baseline"/>
        </w:rPr>
        <w:t xml:space="preserve"> of Australian women had high</w:t>
      </w:r>
      <w:r w:rsidR="005A69C8">
        <w:t>er</w:t>
      </w:r>
      <w:r w:rsidRPr="008B03DD">
        <w:rPr>
          <w:rStyle w:val="FootnoteReference"/>
          <w:rFonts w:asciiTheme="minorHAnsi" w:hAnsiTheme="minorHAnsi"/>
          <w:vertAlign w:val="baseline"/>
        </w:rPr>
        <w:t xml:space="preserve"> education. The remaining 35 percent of women were defined as having low</w:t>
      </w:r>
      <w:r w:rsidR="00D10843">
        <w:t>er</w:t>
      </w:r>
      <w:r w:rsidRPr="008B03DD">
        <w:rPr>
          <w:rStyle w:val="FootnoteReference"/>
          <w:rFonts w:asciiTheme="minorHAnsi" w:hAnsiTheme="minorHAnsi"/>
          <w:vertAlign w:val="baseline"/>
        </w:rPr>
        <w:t xml:space="preserve"> education.</w:t>
      </w:r>
    </w:p>
  </w:footnote>
  <w:footnote w:id="13">
    <w:p w14:paraId="1CBEB414" w14:textId="3FDA7526" w:rsidR="00DF1816" w:rsidRPr="008B03DD" w:rsidRDefault="00E32BE7" w:rsidP="008B03DD">
      <w:pPr>
        <w:pStyle w:val="FootnoteText"/>
        <w:rPr>
          <w:rStyle w:val="FootnoteReference"/>
          <w:rFonts w:asciiTheme="minorHAnsi" w:hAnsiTheme="minorHAnsi"/>
          <w:vertAlign w:val="baseline"/>
        </w:rPr>
      </w:pPr>
      <w:r w:rsidRPr="008B03DD">
        <w:rPr>
          <w:rStyle w:val="FootnoteReference"/>
          <w:rFonts w:asciiTheme="minorHAnsi" w:hAnsiTheme="minorHAnsi"/>
          <w:vertAlign w:val="baseline"/>
        </w:rPr>
        <w:footnoteRef/>
      </w:r>
      <w:r w:rsidR="00DF1816" w:rsidRPr="008B03DD">
        <w:tab/>
      </w:r>
      <w:r w:rsidR="00DF1816" w:rsidRPr="008B03DD">
        <w:rPr>
          <w:rStyle w:val="FootnoteReference"/>
          <w:rFonts w:asciiTheme="minorHAnsi" w:hAnsiTheme="minorHAnsi"/>
          <w:vertAlign w:val="baseline"/>
        </w:rPr>
        <w:t>School teachers includes preschool, primary and secondary school teachers.</w:t>
      </w:r>
    </w:p>
  </w:footnote>
  <w:footnote w:id="14">
    <w:p w14:paraId="5AA6A1B2" w14:textId="29EDE05F" w:rsidR="00DF1816" w:rsidRPr="008B03DD" w:rsidRDefault="00E32BE7" w:rsidP="008B03DD">
      <w:pPr>
        <w:pStyle w:val="FootnoteText"/>
        <w:rPr>
          <w:rStyle w:val="FootnoteReference"/>
          <w:rFonts w:asciiTheme="minorHAnsi" w:hAnsiTheme="minorHAnsi"/>
          <w:vertAlign w:val="baseline"/>
        </w:rPr>
      </w:pPr>
      <w:r w:rsidRPr="008B03DD">
        <w:rPr>
          <w:rStyle w:val="FootnoteReference"/>
          <w:rFonts w:asciiTheme="minorHAnsi" w:hAnsiTheme="minorHAnsi"/>
          <w:vertAlign w:val="baseline"/>
        </w:rPr>
        <w:footnoteRef/>
      </w:r>
      <w:r w:rsidR="00DF1816" w:rsidRPr="008B03DD">
        <w:tab/>
      </w:r>
      <w:r w:rsidR="00DF1816" w:rsidRPr="008B03DD">
        <w:rPr>
          <w:rStyle w:val="FootnoteReference"/>
          <w:rFonts w:asciiTheme="minorHAnsi" w:hAnsiTheme="minorHAnsi"/>
          <w:vertAlign w:val="baseline"/>
        </w:rPr>
        <w:t>Health care professionals includes persons in the health care and social assistance industry.</w:t>
      </w:r>
    </w:p>
  </w:footnote>
  <w:footnote w:id="15">
    <w:p w14:paraId="49298887" w14:textId="0496A9F1" w:rsidR="001473D7" w:rsidRPr="008B3784" w:rsidRDefault="00E32BE7" w:rsidP="008B03DD">
      <w:pPr>
        <w:pStyle w:val="FootnoteText"/>
        <w:rPr>
          <w:rStyle w:val="FootnoteReference"/>
          <w:rFonts w:asciiTheme="minorHAnsi" w:hAnsiTheme="minorHAnsi"/>
          <w:sz w:val="18"/>
          <w:vertAlign w:val="baseline"/>
        </w:rPr>
      </w:pPr>
      <w:r w:rsidRPr="008B03DD">
        <w:rPr>
          <w:rStyle w:val="FootnoteReference"/>
          <w:rFonts w:asciiTheme="minorHAnsi" w:hAnsiTheme="minorHAnsi"/>
          <w:vertAlign w:val="baseline"/>
        </w:rPr>
        <w:footnoteRef/>
      </w:r>
      <w:r w:rsidR="00453631" w:rsidRPr="008B03DD">
        <w:tab/>
      </w:r>
      <w:r w:rsidR="001473D7" w:rsidRPr="008B03DD">
        <w:rPr>
          <w:rStyle w:val="FootnoteReference"/>
          <w:rFonts w:asciiTheme="minorHAnsi" w:hAnsiTheme="minorHAnsi"/>
          <w:vertAlign w:val="baseline"/>
        </w:rPr>
        <w:t>ABS, Measuring Australia’s excess mortality during the COVID</w:t>
      </w:r>
      <w:r w:rsidR="001473D7" w:rsidRPr="008B03DD">
        <w:rPr>
          <w:rStyle w:val="FootnoteReference"/>
          <w:rFonts w:asciiTheme="minorHAnsi" w:hAnsiTheme="minorHAnsi"/>
          <w:vertAlign w:val="baseline"/>
        </w:rPr>
        <w:noBreakHyphen/>
        <w:t>19 pandemic until the first quarter 2023</w:t>
      </w:r>
      <w:r w:rsidR="00EE3BC5" w:rsidRPr="008B03DD">
        <w:rPr>
          <w:rStyle w:val="FootnoteReference"/>
          <w:rFonts w:asciiTheme="minorHAnsi" w:hAnsiTheme="minorHAnsi"/>
          <w:vertAlign w:val="baseline"/>
        </w:rPr>
        <w:t>.</w:t>
      </w:r>
    </w:p>
  </w:footnote>
  <w:footnote w:id="16">
    <w:p w14:paraId="5C417315" w14:textId="6C3AEE53" w:rsidR="007A107A" w:rsidRPr="00E32BE7" w:rsidRDefault="00E32BE7" w:rsidP="00E32BE7">
      <w:pPr>
        <w:pStyle w:val="FootnoteText"/>
        <w:rPr>
          <w:rStyle w:val="FootnoteReference"/>
          <w:rFonts w:asciiTheme="minorHAnsi" w:hAnsiTheme="minorHAnsi"/>
          <w:vertAlign w:val="baseline"/>
        </w:rPr>
      </w:pPr>
      <w:r w:rsidRPr="00E32BE7">
        <w:rPr>
          <w:rStyle w:val="FootnoteReference"/>
          <w:rFonts w:asciiTheme="minorHAnsi" w:hAnsiTheme="minorHAnsi"/>
          <w:vertAlign w:val="baseline"/>
        </w:rPr>
        <w:footnoteRef/>
      </w:r>
      <w:r w:rsidR="006A70AE" w:rsidRPr="00E32BE7">
        <w:tab/>
      </w:r>
      <w:r w:rsidR="007A107A" w:rsidRPr="00E32BE7">
        <w:rPr>
          <w:rStyle w:val="FootnoteReference"/>
          <w:rFonts w:asciiTheme="minorHAnsi" w:hAnsiTheme="minorHAnsi"/>
          <w:vertAlign w:val="baseline"/>
        </w:rPr>
        <w:t>ABS, Life expectancy, 2020</w:t>
      </w:r>
      <w:r w:rsidR="00A1613E" w:rsidRPr="00E32BE7">
        <w:rPr>
          <w:rStyle w:val="FootnoteReference"/>
          <w:rFonts w:asciiTheme="minorHAnsi" w:hAnsiTheme="minorHAnsi"/>
          <w:vertAlign w:val="baseline"/>
        </w:rPr>
        <w:t>–</w:t>
      </w:r>
      <w:r w:rsidR="007A107A" w:rsidRPr="00E32BE7">
        <w:rPr>
          <w:rStyle w:val="FootnoteReference"/>
          <w:rFonts w:asciiTheme="minorHAnsi" w:hAnsiTheme="minorHAnsi"/>
          <w:vertAlign w:val="baseline"/>
        </w:rPr>
        <w:t>2022</w:t>
      </w:r>
      <w:r w:rsidR="0030437E" w:rsidRPr="00E32BE7">
        <w:rPr>
          <w:rStyle w:val="FootnoteReference"/>
          <w:rFonts w:asciiTheme="minorHAnsi" w:hAnsiTheme="minorHAnsi"/>
          <w:vertAlign w:val="baseline"/>
        </w:rPr>
        <w:t xml:space="preserve"> and</w:t>
      </w:r>
      <w:r w:rsidR="007A107A" w:rsidRPr="00E32BE7">
        <w:rPr>
          <w:rStyle w:val="FootnoteReference"/>
          <w:rFonts w:asciiTheme="minorHAnsi" w:hAnsiTheme="minorHAnsi"/>
          <w:vertAlign w:val="baseline"/>
        </w:rPr>
        <w:t xml:space="preserve"> ABS, Aboriginal and Torres Strait Islander </w:t>
      </w:r>
      <w:r w:rsidR="009837E1" w:rsidRPr="00E32BE7">
        <w:rPr>
          <w:rStyle w:val="FootnoteReference"/>
          <w:rFonts w:asciiTheme="minorHAnsi" w:hAnsiTheme="minorHAnsi"/>
          <w:vertAlign w:val="baseline"/>
        </w:rPr>
        <w:t>life expectancy</w:t>
      </w:r>
      <w:r w:rsidR="007A107A" w:rsidRPr="00E32BE7">
        <w:rPr>
          <w:rStyle w:val="FootnoteReference"/>
          <w:rFonts w:asciiTheme="minorHAnsi" w:hAnsiTheme="minorHAnsi"/>
          <w:vertAlign w:val="baseline"/>
        </w:rPr>
        <w:t>, 2020</w:t>
      </w:r>
      <w:r w:rsidR="00A1613E" w:rsidRPr="00E32BE7">
        <w:rPr>
          <w:rStyle w:val="FootnoteReference"/>
          <w:rFonts w:asciiTheme="minorHAnsi" w:hAnsiTheme="minorHAnsi"/>
          <w:vertAlign w:val="baseline"/>
        </w:rPr>
        <w:t>–</w:t>
      </w:r>
      <w:r w:rsidR="007A107A" w:rsidRPr="00E32BE7">
        <w:rPr>
          <w:rStyle w:val="FootnoteReference"/>
          <w:rFonts w:asciiTheme="minorHAnsi" w:hAnsiTheme="minorHAnsi"/>
          <w:vertAlign w:val="baseline"/>
        </w:rPr>
        <w:t>2022</w:t>
      </w:r>
      <w:r w:rsidR="00E96B21" w:rsidRPr="00E32BE7">
        <w:rPr>
          <w:rStyle w:val="FootnoteReference"/>
          <w:rFonts w:asciiTheme="minorHAnsi" w:hAnsiTheme="minorHAnsi"/>
          <w:vertAlign w:val="baseline"/>
        </w:rPr>
        <w:t>.</w:t>
      </w:r>
    </w:p>
  </w:footnote>
  <w:footnote w:id="17">
    <w:p w14:paraId="1694CA1B" w14:textId="3A62EE1B" w:rsidR="00276F08" w:rsidRPr="00276F08" w:rsidRDefault="00E32BE7" w:rsidP="00E32BE7">
      <w:pPr>
        <w:pStyle w:val="FootnoteText"/>
      </w:pPr>
      <w:r w:rsidRPr="00E32BE7">
        <w:rPr>
          <w:rStyle w:val="FootnoteReference"/>
          <w:rFonts w:asciiTheme="minorHAnsi" w:hAnsiTheme="minorHAnsi"/>
          <w:vertAlign w:val="baseline"/>
        </w:rPr>
        <w:footnoteRef/>
      </w:r>
      <w:r w:rsidR="00737AD4" w:rsidRPr="00E32BE7">
        <w:tab/>
      </w:r>
      <w:r w:rsidR="000D3A2E" w:rsidRPr="00E32BE7">
        <w:rPr>
          <w:rStyle w:val="FootnoteReference"/>
          <w:rFonts w:asciiTheme="minorHAnsi" w:hAnsiTheme="minorHAnsi"/>
          <w:vertAlign w:val="baseline"/>
        </w:rPr>
        <w:t xml:space="preserve">This analysis does not include comparisons with previous estimates of </w:t>
      </w:r>
      <w:r w:rsidR="00732262" w:rsidRPr="00E32BE7">
        <w:rPr>
          <w:rStyle w:val="FootnoteReference"/>
          <w:rFonts w:asciiTheme="minorHAnsi" w:hAnsiTheme="minorHAnsi"/>
          <w:vertAlign w:val="baseline"/>
        </w:rPr>
        <w:t xml:space="preserve">Aboriginal and Torres Strait Islander life </w:t>
      </w:r>
      <w:r w:rsidR="0095427C" w:rsidRPr="00E32BE7">
        <w:rPr>
          <w:rStyle w:val="FootnoteReference"/>
          <w:rFonts w:asciiTheme="minorHAnsi" w:hAnsiTheme="minorHAnsi"/>
          <w:vertAlign w:val="baseline"/>
        </w:rPr>
        <w:t>expectancy</w:t>
      </w:r>
      <w:r w:rsidR="009A6B16" w:rsidRPr="00E32BE7">
        <w:rPr>
          <w:rStyle w:val="FootnoteReference"/>
          <w:rFonts w:asciiTheme="minorHAnsi" w:hAnsiTheme="minorHAnsi"/>
          <w:vertAlign w:val="baseline"/>
        </w:rPr>
        <w:t>.</w:t>
      </w:r>
      <w:r w:rsidR="00D47C8D" w:rsidRPr="00E32BE7">
        <w:rPr>
          <w:rStyle w:val="FootnoteReference"/>
          <w:rFonts w:asciiTheme="minorHAnsi" w:hAnsiTheme="minorHAnsi"/>
          <w:vertAlign w:val="baseline"/>
        </w:rPr>
        <w:t xml:space="preserve"> </w:t>
      </w:r>
      <w:r w:rsidR="0013327E" w:rsidRPr="00E32BE7">
        <w:rPr>
          <w:rStyle w:val="FootnoteReference"/>
          <w:rFonts w:asciiTheme="minorHAnsi" w:hAnsiTheme="minorHAnsi"/>
          <w:vertAlign w:val="baseline"/>
        </w:rPr>
        <w:t>The ABS notes that</w:t>
      </w:r>
      <w:r w:rsidR="00AF05DD">
        <w:t>,</w:t>
      </w:r>
      <w:r w:rsidR="0013327E" w:rsidRPr="00E32BE7">
        <w:rPr>
          <w:rStyle w:val="FootnoteReference"/>
          <w:rFonts w:asciiTheme="minorHAnsi" w:hAnsiTheme="minorHAnsi"/>
          <w:vertAlign w:val="baseline"/>
        </w:rPr>
        <w:t xml:space="preserve"> </w:t>
      </w:r>
      <w:r w:rsidR="00AF05DD">
        <w:t>‘</w:t>
      </w:r>
      <w:r w:rsidR="003F6394">
        <w:t xml:space="preserve">the </w:t>
      </w:r>
      <w:r w:rsidR="00513092" w:rsidRPr="00E32BE7">
        <w:rPr>
          <w:rStyle w:val="FootnoteReference"/>
          <w:rFonts w:asciiTheme="minorHAnsi" w:hAnsiTheme="minorHAnsi"/>
          <w:vertAlign w:val="baseline"/>
        </w:rPr>
        <w:t xml:space="preserve">significant increase in the Aboriginal and Torres Strait Islander population between the 2016 and 2021 Censuses, and improvements to identification of </w:t>
      </w:r>
      <w:r w:rsidR="00513092" w:rsidRPr="00252F42">
        <w:t>Indigenous status in death records, have contributed to changes in the estimates and these are indistinguishable from genuine change in the health of the population.</w:t>
      </w:r>
      <w:r w:rsidR="003F6394">
        <w:t>’</w:t>
      </w:r>
    </w:p>
  </w:footnote>
  <w:footnote w:id="18">
    <w:p w14:paraId="23CA9690" w14:textId="1655C11A" w:rsidR="00435632" w:rsidRPr="00252F42" w:rsidRDefault="00E32BE7" w:rsidP="00252F42">
      <w:pPr>
        <w:pStyle w:val="FootnoteText"/>
        <w:rPr>
          <w:rStyle w:val="FootnoteReference"/>
          <w:rFonts w:asciiTheme="minorHAnsi" w:hAnsiTheme="minorHAnsi"/>
          <w:vertAlign w:val="baseline"/>
        </w:rPr>
      </w:pPr>
      <w:r w:rsidRPr="00252F42">
        <w:rPr>
          <w:rStyle w:val="FootnoteReference"/>
          <w:rFonts w:asciiTheme="minorHAnsi" w:hAnsiTheme="minorHAnsi"/>
          <w:vertAlign w:val="baseline"/>
        </w:rPr>
        <w:footnoteRef/>
      </w:r>
      <w:r w:rsidR="002870B1" w:rsidRPr="00252F42">
        <w:tab/>
      </w:r>
      <w:r w:rsidR="00435632" w:rsidRPr="00252F42">
        <w:rPr>
          <w:rStyle w:val="FootnoteReference"/>
          <w:rFonts w:asciiTheme="minorHAnsi" w:hAnsiTheme="minorHAnsi"/>
          <w:vertAlign w:val="baseline"/>
        </w:rPr>
        <w:t>The data in this box relates to people who have died due to COVID-19. This differs from the excess mortality, which also includes people who died with COVID-19.</w:t>
      </w:r>
    </w:p>
  </w:footnote>
  <w:footnote w:id="19">
    <w:p w14:paraId="71E97A50" w14:textId="6847800A" w:rsidR="00FB7316" w:rsidRPr="00252F42" w:rsidRDefault="00E32BE7" w:rsidP="00252F42">
      <w:pPr>
        <w:pStyle w:val="FootnoteText"/>
      </w:pPr>
      <w:r w:rsidRPr="00252F42">
        <w:rPr>
          <w:rStyle w:val="FootnoteReference"/>
          <w:rFonts w:asciiTheme="minorHAnsi" w:hAnsiTheme="minorHAnsi"/>
          <w:vertAlign w:val="baseline"/>
        </w:rPr>
        <w:footnoteRef/>
      </w:r>
      <w:r w:rsidR="00C203C3" w:rsidRPr="00252F42">
        <w:tab/>
      </w:r>
      <w:r w:rsidR="00FB7316" w:rsidRPr="00252F42">
        <w:rPr>
          <w:rStyle w:val="FootnoteReference"/>
          <w:rFonts w:asciiTheme="minorHAnsi" w:hAnsiTheme="minorHAnsi"/>
          <w:vertAlign w:val="baseline"/>
        </w:rPr>
        <w:t>ABS, C</w:t>
      </w:r>
      <w:r w:rsidR="00720C8D" w:rsidRPr="00252F42">
        <w:rPr>
          <w:rStyle w:val="FootnoteReference"/>
          <w:rFonts w:asciiTheme="minorHAnsi" w:hAnsiTheme="minorHAnsi"/>
          <w:vertAlign w:val="baseline"/>
        </w:rPr>
        <w:t>auses of Deaths, Australia, 2022</w:t>
      </w:r>
      <w:r w:rsidR="00B6729E">
        <w:t>.</w:t>
      </w:r>
    </w:p>
  </w:footnote>
  <w:footnote w:id="20">
    <w:p w14:paraId="5B93DEB4" w14:textId="1D4B3C4F" w:rsidR="00B77FA6" w:rsidRPr="00252F42" w:rsidRDefault="00E32BE7" w:rsidP="00252F42">
      <w:pPr>
        <w:pStyle w:val="FootnoteText"/>
      </w:pPr>
      <w:r w:rsidRPr="00252F42">
        <w:rPr>
          <w:rStyle w:val="FootnoteReference"/>
          <w:rFonts w:asciiTheme="minorHAnsi" w:hAnsiTheme="minorHAnsi"/>
          <w:vertAlign w:val="baseline"/>
        </w:rPr>
        <w:footnoteRef/>
      </w:r>
      <w:r w:rsidR="00B77FA6" w:rsidRPr="00252F42">
        <w:rPr>
          <w:rStyle w:val="FootnoteReference"/>
          <w:rFonts w:asciiTheme="minorHAnsi" w:hAnsiTheme="minorHAnsi"/>
          <w:vertAlign w:val="baseline"/>
        </w:rPr>
        <w:tab/>
        <w:t>ABS, Provisional Mortality Statistics, January – August 2023</w:t>
      </w:r>
      <w:r w:rsidR="00B6729E">
        <w:t>.</w:t>
      </w:r>
    </w:p>
  </w:footnote>
  <w:footnote w:id="21">
    <w:p w14:paraId="7FB95D22" w14:textId="22033B54" w:rsidR="00796743" w:rsidRPr="00252F42" w:rsidRDefault="00E32BE7" w:rsidP="00252F42">
      <w:pPr>
        <w:pStyle w:val="FootnoteText"/>
      </w:pPr>
      <w:r w:rsidRPr="00252F42">
        <w:rPr>
          <w:rStyle w:val="FootnoteReference"/>
          <w:rFonts w:asciiTheme="minorHAnsi" w:hAnsiTheme="minorHAnsi"/>
          <w:vertAlign w:val="baseline"/>
        </w:rPr>
        <w:footnoteRef/>
      </w:r>
      <w:r w:rsidR="008B3491" w:rsidRPr="00252F42">
        <w:tab/>
      </w:r>
      <w:r w:rsidR="00FF313C" w:rsidRPr="00252F42">
        <w:rPr>
          <w:rStyle w:val="FootnoteReference"/>
          <w:rFonts w:asciiTheme="minorHAnsi" w:hAnsiTheme="minorHAnsi"/>
          <w:vertAlign w:val="baseline"/>
        </w:rPr>
        <w:t>ABS, COVID-19 Mortality in Australia: Deaths registered until 30 September 2023</w:t>
      </w:r>
      <w:r w:rsidR="008B3491" w:rsidRPr="00252F42">
        <w:t>.</w:t>
      </w:r>
    </w:p>
  </w:footnote>
  <w:footnote w:id="22">
    <w:p w14:paraId="44EC501D" w14:textId="19C58160" w:rsidR="00B210DC" w:rsidRPr="008F536C" w:rsidRDefault="00E32BE7" w:rsidP="00252F42">
      <w:pPr>
        <w:pStyle w:val="FootnoteText"/>
      </w:pPr>
      <w:r w:rsidRPr="00252F42">
        <w:rPr>
          <w:rStyle w:val="FootnoteReference"/>
          <w:rFonts w:asciiTheme="minorHAnsi" w:hAnsiTheme="minorHAnsi"/>
          <w:vertAlign w:val="baseline"/>
        </w:rPr>
        <w:footnoteRef/>
      </w:r>
      <w:r w:rsidR="002870B1" w:rsidRPr="00252F42">
        <w:tab/>
      </w:r>
      <w:hyperlink r:id="rId2" w:history="1">
        <w:r w:rsidR="00B210DC" w:rsidRPr="00252F42">
          <w:rPr>
            <w:rStyle w:val="FootnoteReference"/>
            <w:rFonts w:asciiTheme="minorHAnsi" w:hAnsiTheme="minorHAnsi"/>
            <w:vertAlign w:val="baseline"/>
          </w:rPr>
          <w:t>Johns Hopkins University, Mortality analyses, 2023</w:t>
        </w:r>
      </w:hyperlink>
      <w:r w:rsidR="00B210DC" w:rsidRPr="00252F42">
        <w:rPr>
          <w:rStyle w:val="FootnoteReference"/>
          <w:rFonts w:asciiTheme="minorHAnsi" w:hAnsiTheme="minorHAnsi"/>
          <w:vertAlign w:val="baseline"/>
        </w:rPr>
        <w:t>.</w:t>
      </w:r>
    </w:p>
  </w:footnote>
  <w:footnote w:id="23">
    <w:p w14:paraId="1BD4CEDD" w14:textId="5F120BC1" w:rsidR="00075B32" w:rsidRPr="00252F42" w:rsidRDefault="00075B32" w:rsidP="00075B32">
      <w:pPr>
        <w:pStyle w:val="FootnoteText"/>
        <w:rPr>
          <w:rStyle w:val="FootnoteReference"/>
          <w:rFonts w:asciiTheme="minorHAnsi" w:hAnsiTheme="minorHAnsi"/>
          <w:vertAlign w:val="baseline"/>
        </w:rPr>
      </w:pPr>
      <w:r w:rsidRPr="00252F42">
        <w:rPr>
          <w:rStyle w:val="FootnoteReference"/>
          <w:rFonts w:asciiTheme="minorHAnsi" w:hAnsiTheme="minorHAnsi"/>
          <w:vertAlign w:val="baseline"/>
        </w:rPr>
        <w:footnoteRef/>
      </w:r>
      <w:r w:rsidRPr="00252F42">
        <w:tab/>
        <w:t>The Centre for International Economics, Internal migration in Australia and the impact of government levers, 2023.</w:t>
      </w:r>
    </w:p>
  </w:footnote>
  <w:footnote w:id="24">
    <w:p w14:paraId="04AFF6C7" w14:textId="299B19CB" w:rsidR="00AA4A94" w:rsidRDefault="00AA4A94">
      <w:pPr>
        <w:pStyle w:val="FootnoteText"/>
      </w:pPr>
      <w:r w:rsidRPr="00ED3B0F">
        <w:rPr>
          <w:rStyle w:val="FootnoteReference"/>
          <w:rFonts w:asciiTheme="minorHAnsi" w:hAnsiTheme="minorHAnsi"/>
          <w:vertAlign w:val="baseline"/>
        </w:rPr>
        <w:footnoteRef/>
      </w:r>
      <w:r w:rsidR="00C0501A">
        <w:rPr>
          <w:rStyle w:val="FootnoteReference"/>
          <w:rFonts w:asciiTheme="minorHAnsi" w:hAnsiTheme="minorHAnsi"/>
          <w:vertAlign w:val="baseline"/>
        </w:rPr>
        <w:tab/>
      </w:r>
      <w:r w:rsidR="00AC2275" w:rsidRPr="00ED3B0F">
        <w:rPr>
          <w:rStyle w:val="FootnoteReference"/>
          <w:rFonts w:asciiTheme="minorHAnsi" w:hAnsiTheme="minorHAnsi"/>
          <w:vertAlign w:val="baseline"/>
        </w:rPr>
        <w:t xml:space="preserve">This data (as opposed to the actual number of moves) was affected by the vaccination roll-out, as explained by the note under </w:t>
      </w:r>
      <w:r w:rsidR="0054330A">
        <w:fldChar w:fldCharType="begin"/>
      </w:r>
      <w:r w:rsidR="0054330A">
        <w:rPr>
          <w:rStyle w:val="FootnoteReference"/>
          <w:rFonts w:asciiTheme="minorHAnsi" w:hAnsiTheme="minorHAnsi"/>
          <w:vertAlign w:val="baseline"/>
        </w:rPr>
        <w:instrText xml:space="preserve"> REF _Ref149736559 \r \h </w:instrText>
      </w:r>
      <w:r w:rsidR="0054330A">
        <w:fldChar w:fldCharType="separate"/>
      </w:r>
      <w:r w:rsidR="00CE6FEA">
        <w:rPr>
          <w:rStyle w:val="FootnoteReference"/>
          <w:rFonts w:asciiTheme="minorHAnsi" w:hAnsiTheme="minorHAnsi"/>
          <w:vertAlign w:val="baseline"/>
        </w:rPr>
        <w:t>Chart 14</w:t>
      </w:r>
      <w:r w:rsidR="0054330A">
        <w:fldChar w:fldCharType="end"/>
      </w:r>
      <w:r w:rsidR="00AC2275" w:rsidRPr="00ED3B0F">
        <w:rPr>
          <w:rStyle w:val="FootnoteReference"/>
          <w:rFonts w:asciiTheme="minorHAnsi" w:hAnsiTheme="minorHAnsi"/>
          <w:vertAlign w:val="baseline"/>
        </w:rPr>
        <w:t>.</w:t>
      </w:r>
    </w:p>
  </w:footnote>
  <w:footnote w:id="25">
    <w:p w14:paraId="782EA474" w14:textId="5E7E3DE3" w:rsidR="00C2759C" w:rsidRPr="006A4BC1" w:rsidRDefault="00E32BE7" w:rsidP="006A4BC1">
      <w:pPr>
        <w:pStyle w:val="FootnoteText"/>
      </w:pPr>
      <w:r w:rsidRPr="006A4BC1">
        <w:rPr>
          <w:rStyle w:val="FootnoteReference"/>
          <w:rFonts w:asciiTheme="minorHAnsi" w:hAnsiTheme="minorHAnsi"/>
          <w:vertAlign w:val="baseline"/>
        </w:rPr>
        <w:footnoteRef/>
      </w:r>
      <w:r w:rsidR="00C2759C" w:rsidRPr="006A4BC1">
        <w:t xml:space="preserve"> </w:t>
      </w:r>
      <w:r w:rsidR="001D20C5" w:rsidRPr="006A4BC1">
        <w:tab/>
      </w:r>
      <w:r w:rsidR="00C2759C" w:rsidRPr="006A4BC1">
        <w:t>McDonald, P.</w:t>
      </w:r>
      <w:r w:rsidR="003A6F6A">
        <w:t>,</w:t>
      </w:r>
      <w:r w:rsidR="00C2759C" w:rsidRPr="006A4BC1">
        <w:t xml:space="preserve"> </w:t>
      </w:r>
      <w:r w:rsidR="003A4D77" w:rsidRPr="006A4BC1">
        <w:t xml:space="preserve">A Projection of </w:t>
      </w:r>
      <w:r w:rsidR="0024399F">
        <w:t xml:space="preserve">Australia’s </w:t>
      </w:r>
      <w:r w:rsidR="003A4D77" w:rsidRPr="006A4BC1">
        <w:t>Future Fertility Rates</w:t>
      </w:r>
      <w:r w:rsidR="003A6F6A">
        <w:t>,</w:t>
      </w:r>
      <w:r w:rsidR="003A4D77" w:rsidRPr="006A4BC1">
        <w:t xml:space="preserve"> </w:t>
      </w:r>
      <w:r w:rsidR="003A6F6A">
        <w:t>2020</w:t>
      </w:r>
      <w:r w:rsidR="003A4D77" w:rsidRPr="006A4BC1">
        <w:t>.</w:t>
      </w:r>
    </w:p>
  </w:footnote>
  <w:footnote w:id="26">
    <w:p w14:paraId="6EA63A4D" w14:textId="6E74EF28" w:rsidR="0052375D" w:rsidRPr="006A4BC1" w:rsidRDefault="00E32BE7" w:rsidP="006A4BC1">
      <w:pPr>
        <w:pStyle w:val="FootnoteText"/>
      </w:pPr>
      <w:r w:rsidRPr="006A4BC1">
        <w:rPr>
          <w:rStyle w:val="FootnoteReference"/>
          <w:rFonts w:asciiTheme="minorHAnsi" w:hAnsiTheme="minorHAnsi"/>
          <w:vertAlign w:val="baseline"/>
        </w:rPr>
        <w:footnoteRef/>
      </w:r>
      <w:r w:rsidR="0052375D" w:rsidRPr="006A4BC1">
        <w:t xml:space="preserve"> </w:t>
      </w:r>
      <w:r w:rsidR="0052375D" w:rsidRPr="006A4BC1">
        <w:tab/>
      </w:r>
      <w:r w:rsidR="0052375D" w:rsidRPr="006A4BC1">
        <w:rPr>
          <w:rStyle w:val="FootnoteReference"/>
          <w:rFonts w:asciiTheme="minorHAnsi" w:hAnsiTheme="minorHAnsi"/>
          <w:vertAlign w:val="baseline"/>
        </w:rPr>
        <w:t>Recuperation refers to an increase in births at older ages that</w:t>
      </w:r>
      <w:r w:rsidR="0052375D" w:rsidRPr="006A4BC1">
        <w:t xml:space="preserve"> compensates for a delay in childbearing at younger ages. </w:t>
      </w:r>
    </w:p>
  </w:footnote>
  <w:footnote w:id="27">
    <w:p w14:paraId="55FA4549" w14:textId="12DDD86A" w:rsidR="002E7CD7" w:rsidRPr="006A4BC1" w:rsidRDefault="00E32BE7" w:rsidP="006A4BC1">
      <w:pPr>
        <w:pStyle w:val="FootnoteText"/>
      </w:pPr>
      <w:r w:rsidRPr="006A4BC1">
        <w:rPr>
          <w:rStyle w:val="FootnoteReference"/>
          <w:rFonts w:asciiTheme="minorHAnsi" w:hAnsiTheme="minorHAnsi"/>
          <w:vertAlign w:val="baseline"/>
        </w:rPr>
        <w:footnoteRef/>
      </w:r>
      <w:r w:rsidR="002E7CD7" w:rsidRPr="006A4BC1">
        <w:t xml:space="preserve"> </w:t>
      </w:r>
      <w:r w:rsidR="001D20C5" w:rsidRPr="006A4BC1">
        <w:tab/>
      </w:r>
      <w:r w:rsidR="00DD1DCF" w:rsidRPr="006A4BC1">
        <w:t>ABS</w:t>
      </w:r>
      <w:r w:rsidR="002E7CD7" w:rsidRPr="006A4BC1">
        <w:t xml:space="preserve">, Life tables, </w:t>
      </w:r>
      <w:r w:rsidR="009254EC" w:rsidRPr="006A4BC1">
        <w:t>2019</w:t>
      </w:r>
      <w:r w:rsidR="00877E33" w:rsidRPr="006A4BC1">
        <w:t>–</w:t>
      </w:r>
      <w:r w:rsidR="002E7CD7" w:rsidRPr="006A4BC1">
        <w:t>2021.</w:t>
      </w:r>
    </w:p>
  </w:footnote>
  <w:footnote w:id="28">
    <w:p w14:paraId="17831CCA" w14:textId="3F51C896" w:rsidR="0052375D" w:rsidRDefault="00E32BE7" w:rsidP="006A4BC1">
      <w:pPr>
        <w:pStyle w:val="FootnoteText"/>
      </w:pPr>
      <w:r w:rsidRPr="006A4BC1">
        <w:rPr>
          <w:rStyle w:val="FootnoteReference"/>
          <w:rFonts w:asciiTheme="minorHAnsi" w:hAnsiTheme="minorHAnsi"/>
          <w:vertAlign w:val="baseline"/>
        </w:rPr>
        <w:footnoteRef/>
      </w:r>
      <w:r w:rsidR="0052375D" w:rsidRPr="006A4BC1">
        <w:t xml:space="preserve"> </w:t>
      </w:r>
      <w:r w:rsidR="0052375D" w:rsidRPr="006A4BC1">
        <w:tab/>
        <w:t>The 2020–22 life tables released by the ABS on 8 November 2023 were not able to be considered in producing the Statement.</w:t>
      </w:r>
      <w:r w:rsidR="0052375D" w:rsidRPr="00B000B8">
        <w:t xml:space="preserve"> </w:t>
      </w:r>
    </w:p>
  </w:footnote>
  <w:footnote w:id="29">
    <w:p w14:paraId="7DDE8E10" w14:textId="32E1251F" w:rsidR="00663C3D" w:rsidRDefault="00E32BE7" w:rsidP="00933393">
      <w:pPr>
        <w:pStyle w:val="FootnoteText"/>
      </w:pPr>
      <w:r w:rsidRPr="00E32BE7">
        <w:rPr>
          <w:rStyle w:val="FootnoteReference"/>
          <w:vertAlign w:val="baseline"/>
        </w:rPr>
        <w:footnoteRef/>
      </w:r>
      <w:r w:rsidR="00663C3D">
        <w:t xml:space="preserve"> </w:t>
      </w:r>
      <w:r w:rsidR="00F91CB9">
        <w:tab/>
      </w:r>
      <w:r w:rsidR="00144ADC">
        <w:t>The Centre for International Economics</w:t>
      </w:r>
      <w:r w:rsidR="00062E57">
        <w:t xml:space="preserve">, </w:t>
      </w:r>
      <w:r w:rsidR="00144ADC" w:rsidRPr="00ED3B0F">
        <w:t xml:space="preserve">Internal migration </w:t>
      </w:r>
      <w:r w:rsidR="007C7244" w:rsidRPr="00ED3B0F">
        <w:t xml:space="preserve">in Australia </w:t>
      </w:r>
      <w:r w:rsidR="00144ADC" w:rsidRPr="00ED3B0F">
        <w:t>and the impact of government levers</w:t>
      </w:r>
      <w:r w:rsidR="004F5D46">
        <w:t>, 2023</w:t>
      </w:r>
      <w:r w:rsidR="00144ADC">
        <w:t>.</w:t>
      </w:r>
    </w:p>
  </w:footnote>
  <w:footnote w:id="30">
    <w:p w14:paraId="688CAC2D" w14:textId="464D9864" w:rsidR="00075D2E" w:rsidRPr="006F48FB" w:rsidRDefault="00E32BE7" w:rsidP="006F48FB">
      <w:pPr>
        <w:pStyle w:val="FootnoteText"/>
      </w:pPr>
      <w:r w:rsidRPr="006F48FB">
        <w:rPr>
          <w:rStyle w:val="FootnoteReference"/>
          <w:rFonts w:asciiTheme="minorHAnsi" w:hAnsiTheme="minorHAnsi"/>
          <w:vertAlign w:val="baseline"/>
        </w:rPr>
        <w:footnoteRef/>
      </w:r>
      <w:r w:rsidR="00334E72" w:rsidRPr="006F48FB">
        <w:t xml:space="preserve"> </w:t>
      </w:r>
      <w:r w:rsidR="00334E72" w:rsidRPr="006F48FB">
        <w:tab/>
        <w:t>ABS, National, state and territory population methodology, March 2023</w:t>
      </w:r>
      <w:r w:rsidR="00B8596A" w:rsidRPr="006F48FB">
        <w:t>.</w:t>
      </w:r>
    </w:p>
  </w:footnote>
  <w:footnote w:id="31">
    <w:p w14:paraId="77B63274" w14:textId="7B41FD63" w:rsidR="00075D2E" w:rsidRPr="006F48FB" w:rsidRDefault="00E32BE7" w:rsidP="006F48FB">
      <w:pPr>
        <w:pStyle w:val="FootnoteText"/>
      </w:pPr>
      <w:r w:rsidRPr="006F48FB">
        <w:rPr>
          <w:rStyle w:val="FootnoteReference"/>
          <w:rFonts w:asciiTheme="minorHAnsi" w:hAnsiTheme="minorHAnsi"/>
          <w:vertAlign w:val="baseline"/>
        </w:rPr>
        <w:footnoteRef/>
      </w:r>
      <w:r w:rsidR="003A00DB" w:rsidRPr="006F48FB">
        <w:t xml:space="preserve"> </w:t>
      </w:r>
      <w:r w:rsidR="003A00DB" w:rsidRPr="006F48FB">
        <w:tab/>
      </w:r>
      <w:r w:rsidR="00535E93" w:rsidRPr="006F48FB">
        <w:rPr>
          <w:rStyle w:val="FootnoteReference"/>
          <w:rFonts w:asciiTheme="minorHAnsi" w:hAnsiTheme="minorHAnsi"/>
          <w:vertAlign w:val="baseline"/>
        </w:rPr>
        <w:t>ABS, Australian Statistical Geography Standard Edition 3, 2021</w:t>
      </w:r>
      <w:r w:rsidR="00535E93" w:rsidRPr="006F48FB">
        <w:t>.</w:t>
      </w:r>
    </w:p>
  </w:footnote>
  <w:footnote w:id="32">
    <w:p w14:paraId="141182A5" w14:textId="1F05A214" w:rsidR="005A6849" w:rsidRPr="006F48FB" w:rsidRDefault="00E32BE7" w:rsidP="006F48FB">
      <w:pPr>
        <w:pStyle w:val="FootnoteText"/>
      </w:pPr>
      <w:r w:rsidRPr="006F48FB">
        <w:rPr>
          <w:rStyle w:val="FootnoteReference"/>
          <w:rFonts w:asciiTheme="minorHAnsi" w:hAnsiTheme="minorHAnsi"/>
          <w:vertAlign w:val="baseline"/>
        </w:rPr>
        <w:footnoteRef/>
      </w:r>
      <w:r w:rsidR="0063170D" w:rsidRPr="006F48FB">
        <w:t xml:space="preserve"> </w:t>
      </w:r>
      <w:r w:rsidR="0063170D" w:rsidRPr="006F48FB">
        <w:tab/>
        <w:t>ABS, Census of Population and Housing, 2021</w:t>
      </w:r>
      <w:r w:rsidR="00B8596A" w:rsidRPr="006F48FB">
        <w:t>.</w:t>
      </w:r>
    </w:p>
  </w:footnote>
  <w:footnote w:id="33">
    <w:p w14:paraId="638ABADD" w14:textId="7B6DF347" w:rsidR="00075D2E" w:rsidRPr="005C703B" w:rsidRDefault="00E32BE7" w:rsidP="006F48FB">
      <w:pPr>
        <w:pStyle w:val="FootnoteText"/>
      </w:pPr>
      <w:r w:rsidRPr="006F48FB">
        <w:rPr>
          <w:rStyle w:val="FootnoteReference"/>
          <w:rFonts w:asciiTheme="minorHAnsi" w:hAnsiTheme="minorHAnsi"/>
          <w:vertAlign w:val="baseline"/>
        </w:rPr>
        <w:footnoteRef/>
      </w:r>
      <w:r w:rsidR="000F765C" w:rsidRPr="006F48FB">
        <w:t xml:space="preserve"> </w:t>
      </w:r>
      <w:r w:rsidR="000F765C" w:rsidRPr="006F48FB">
        <w:tab/>
        <w:t>ABS, Regional population, 2021</w:t>
      </w:r>
      <w:r w:rsidR="00B32D68">
        <w:t>–</w:t>
      </w:r>
      <w:r w:rsidR="00B32D68">
        <w:softHyphen/>
      </w:r>
      <w:r w:rsidR="000F765C" w:rsidRPr="006F48FB">
        <w:t>22.</w:t>
      </w:r>
    </w:p>
  </w:footnote>
  <w:footnote w:id="34">
    <w:p w14:paraId="185A1C0D" w14:textId="456456B1" w:rsidR="00075D2E" w:rsidRPr="006F48FB" w:rsidRDefault="00E32BE7" w:rsidP="006F48FB">
      <w:pPr>
        <w:pStyle w:val="FootnoteText"/>
      </w:pPr>
      <w:r w:rsidRPr="006F48FB">
        <w:rPr>
          <w:rStyle w:val="FootnoteReference"/>
          <w:rFonts w:asciiTheme="minorHAnsi" w:hAnsiTheme="minorHAnsi"/>
          <w:vertAlign w:val="baseline"/>
        </w:rPr>
        <w:footnoteRef/>
      </w:r>
      <w:r w:rsidR="000B1A20" w:rsidRPr="006F48FB">
        <w:t xml:space="preserve"> </w:t>
      </w:r>
      <w:r w:rsidR="000B1A20" w:rsidRPr="006F48FB">
        <w:tab/>
        <w:t>ABS, Australian Statistical Geography Standard Edition 3, 2021</w:t>
      </w:r>
      <w:r w:rsidR="00B8596A" w:rsidRPr="006F48F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EB3" w14:textId="4F0A469E" w:rsidR="00E629F0" w:rsidRPr="00B55588" w:rsidRDefault="00E629F0" w:rsidP="00B55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BFE4" w14:textId="7515070A" w:rsidR="00B55588" w:rsidRPr="00F60198" w:rsidRDefault="00CE6FEA" w:rsidP="00B55588">
    <w:pPr>
      <w:pStyle w:val="HeaderOdd"/>
    </w:pPr>
    <w:fldSimple w:instr=" STYLEREF  &quot;Heading 1&quot;  \* MERGEFORMAT ">
      <w:r w:rsidR="009A3320">
        <w:rPr>
          <w:noProof/>
        </w:rPr>
        <w:t>Key points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216B" w14:textId="2E940F43" w:rsidR="0066348F" w:rsidRPr="00F60198" w:rsidRDefault="00CE6FEA" w:rsidP="0066348F">
    <w:pPr>
      <w:pStyle w:val="HeaderOdd"/>
    </w:pPr>
    <w:fldSimple w:instr=" STYLEREF  &quot;Heading 1&quot;  \* MERGEFORMAT ">
      <w:r>
        <w:rPr>
          <w:noProof/>
        </w:rPr>
        <w:t>Contents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4A02" w14:textId="77777777" w:rsidR="0066348F" w:rsidRDefault="006634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CB7E" w14:textId="2664BE32" w:rsidR="00165A28" w:rsidRDefault="00CE6FEA" w:rsidP="00165A28">
    <w:pPr>
      <w:pStyle w:val="HeaderOdd"/>
    </w:pPr>
    <w:fldSimple w:instr=" STYLEREF  &quot;Heading 1 Numbered&quot;  \* MERGEFORMAT ">
      <w:r w:rsidR="009A3320">
        <w:rPr>
          <w:noProof/>
        </w:rPr>
        <w:t>National population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C7CF" w14:textId="1A234472" w:rsidR="00806B8A" w:rsidRPr="00F60198" w:rsidRDefault="00CE6FEA" w:rsidP="0066348F">
    <w:pPr>
      <w:pStyle w:val="HeaderOdd"/>
    </w:pPr>
    <w:fldSimple w:instr=" STYLEREF  &quot;Heading 1&quot;  \* MERGEFORMAT ">
      <w:r>
        <w:rPr>
          <w:noProof/>
        </w:rPr>
        <w:t>Key points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37B4" w14:textId="793493AB" w:rsidR="00853CD7" w:rsidRDefault="00CE6FEA" w:rsidP="00165A28">
    <w:pPr>
      <w:pStyle w:val="HeaderOdd"/>
    </w:pPr>
    <w:fldSimple w:instr=" STYLEREF  &quot;Heading 1&quot;  \* MERGEFORMAT ">
      <w:r w:rsidR="009A3320">
        <w:rPr>
          <w:noProof/>
        </w:rPr>
        <w:t>References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983F" w14:textId="3729EFEB" w:rsidR="001A002F" w:rsidRDefault="001A0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88BE711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C00F17"/>
    <w:multiLevelType w:val="hybridMultilevel"/>
    <w:tmpl w:val="BC8E4A8C"/>
    <w:lvl w:ilvl="0" w:tplc="5E322EEE">
      <w:start w:val="1"/>
      <w:numFmt w:val="decimal"/>
      <w:pStyle w:val="Heading8"/>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D78B9"/>
    <w:multiLevelType w:val="hybridMultilevel"/>
    <w:tmpl w:val="3014E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E276EF"/>
    <w:multiLevelType w:val="multilevel"/>
    <w:tmpl w:val="713EEA34"/>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151E4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047874"/>
    <w:multiLevelType w:val="multilevel"/>
    <w:tmpl w:val="9EE0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1E7CB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8F7094"/>
    <w:multiLevelType w:val="multilevel"/>
    <w:tmpl w:val="DE36815E"/>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14BF09D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6E27F8F"/>
    <w:multiLevelType w:val="hybridMultilevel"/>
    <w:tmpl w:val="CF36C1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DF7717"/>
    <w:multiLevelType w:val="multilevel"/>
    <w:tmpl w:val="5DAAA53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8A6579F"/>
    <w:multiLevelType w:val="hybridMultilevel"/>
    <w:tmpl w:val="42785844"/>
    <w:lvl w:ilvl="0" w:tplc="0C090001">
      <w:start w:val="1"/>
      <w:numFmt w:val="bullet"/>
      <w:lvlText w:val=""/>
      <w:lvlJc w:val="left"/>
      <w:pPr>
        <w:tabs>
          <w:tab w:val="num" w:pos="360"/>
        </w:tabs>
        <w:ind w:left="360" w:hanging="360"/>
      </w:pPr>
      <w:rPr>
        <w:rFonts w:ascii="Symbol" w:hAnsi="Symbol" w:hint="default"/>
        <w:color w:val="auto"/>
        <w:sz w:val="32"/>
        <w:szCs w:val="32"/>
        <w:effect w:val="none"/>
      </w:rPr>
    </w:lvl>
    <w:lvl w:ilvl="1" w:tplc="D1903176">
      <w:start w:val="1"/>
      <w:numFmt w:val="bullet"/>
      <w:lvlText w:val=""/>
      <w:lvlJc w:val="left"/>
      <w:pPr>
        <w:tabs>
          <w:tab w:val="num" w:pos="606"/>
        </w:tabs>
        <w:ind w:left="1003" w:hanging="283"/>
      </w:pPr>
      <w:rPr>
        <w:rFonts w:ascii="Symbol" w:hAnsi="Symbol" w:hint="default"/>
        <w:color w:val="auto"/>
        <w:sz w:val="24"/>
        <w:szCs w:val="20"/>
      </w:rPr>
    </w:lvl>
    <w:lvl w:ilvl="2" w:tplc="028ADBB8">
      <w:start w:val="1"/>
      <w:numFmt w:val="bullet"/>
      <w:lvlText w:val="o"/>
      <w:lvlJc w:val="left"/>
      <w:pPr>
        <w:tabs>
          <w:tab w:val="num" w:pos="1800"/>
        </w:tabs>
        <w:ind w:left="1800" w:hanging="360"/>
      </w:pPr>
      <w:rPr>
        <w:rFonts w:ascii="Courier New" w:hAnsi="Courier New" w:cs="Courier New" w:hint="default"/>
      </w:rPr>
    </w:lvl>
    <w:lvl w:ilvl="3" w:tplc="65167358">
      <w:start w:val="1"/>
      <w:numFmt w:val="decimal"/>
      <w:lvlText w:val="%4."/>
      <w:lvlJc w:val="left"/>
      <w:pPr>
        <w:tabs>
          <w:tab w:val="num" w:pos="2880"/>
        </w:tabs>
        <w:ind w:left="2880" w:hanging="360"/>
      </w:pPr>
      <w:rPr>
        <w:rFonts w:hint="default"/>
      </w:rPr>
    </w:lvl>
    <w:lvl w:ilvl="4" w:tplc="D58CFBDA">
      <w:start w:val="1"/>
      <w:numFmt w:val="decimal"/>
      <w:lvlText w:val="%5."/>
      <w:lvlJc w:val="left"/>
      <w:pPr>
        <w:tabs>
          <w:tab w:val="num" w:pos="3600"/>
        </w:tabs>
        <w:ind w:left="3600" w:hanging="360"/>
      </w:pPr>
    </w:lvl>
    <w:lvl w:ilvl="5" w:tplc="772E884E">
      <w:start w:val="1"/>
      <w:numFmt w:val="decimal"/>
      <w:lvlText w:val="%6."/>
      <w:lvlJc w:val="left"/>
      <w:pPr>
        <w:tabs>
          <w:tab w:val="num" w:pos="4320"/>
        </w:tabs>
        <w:ind w:left="4320" w:hanging="360"/>
      </w:pPr>
    </w:lvl>
    <w:lvl w:ilvl="6" w:tplc="8F403708">
      <w:start w:val="1"/>
      <w:numFmt w:val="decimal"/>
      <w:lvlText w:val="%7."/>
      <w:lvlJc w:val="left"/>
      <w:pPr>
        <w:tabs>
          <w:tab w:val="num" w:pos="5040"/>
        </w:tabs>
        <w:ind w:left="5040" w:hanging="360"/>
      </w:pPr>
    </w:lvl>
    <w:lvl w:ilvl="7" w:tplc="C0E6C80C">
      <w:start w:val="1"/>
      <w:numFmt w:val="decimal"/>
      <w:lvlText w:val="%8."/>
      <w:lvlJc w:val="left"/>
      <w:pPr>
        <w:tabs>
          <w:tab w:val="num" w:pos="5760"/>
        </w:tabs>
        <w:ind w:left="5760" w:hanging="360"/>
      </w:pPr>
    </w:lvl>
    <w:lvl w:ilvl="8" w:tplc="13922328">
      <w:start w:val="1"/>
      <w:numFmt w:val="decimal"/>
      <w:lvlText w:val="%9."/>
      <w:lvlJc w:val="left"/>
      <w:pPr>
        <w:tabs>
          <w:tab w:val="num" w:pos="6480"/>
        </w:tabs>
        <w:ind w:left="6480" w:hanging="360"/>
      </w:pPr>
    </w:lvl>
  </w:abstractNum>
  <w:abstractNum w:abstractNumId="13" w15:restartNumberingAfterBreak="0">
    <w:nsid w:val="1A666876"/>
    <w:multiLevelType w:val="multilevel"/>
    <w:tmpl w:val="A94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4A0461"/>
    <w:multiLevelType w:val="hybridMultilevel"/>
    <w:tmpl w:val="91260442"/>
    <w:lvl w:ilvl="0" w:tplc="B49A184C">
      <w:start w:val="1"/>
      <w:numFmt w:val="decimal"/>
      <w:lvlText w:val="Chart %1."/>
      <w:lvlJc w:val="left"/>
      <w:pPr>
        <w:ind w:left="5038"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118" w:hanging="360"/>
      </w:pPr>
    </w:lvl>
    <w:lvl w:ilvl="2" w:tplc="0C09001B" w:tentative="1">
      <w:start w:val="1"/>
      <w:numFmt w:val="lowerRoman"/>
      <w:lvlText w:val="%3."/>
      <w:lvlJc w:val="right"/>
      <w:pPr>
        <w:ind w:left="6838" w:hanging="180"/>
      </w:pPr>
    </w:lvl>
    <w:lvl w:ilvl="3" w:tplc="0C09000F" w:tentative="1">
      <w:start w:val="1"/>
      <w:numFmt w:val="decimal"/>
      <w:lvlText w:val="%4."/>
      <w:lvlJc w:val="left"/>
      <w:pPr>
        <w:ind w:left="7558" w:hanging="360"/>
      </w:pPr>
    </w:lvl>
    <w:lvl w:ilvl="4" w:tplc="0C090019" w:tentative="1">
      <w:start w:val="1"/>
      <w:numFmt w:val="lowerLetter"/>
      <w:lvlText w:val="%5."/>
      <w:lvlJc w:val="left"/>
      <w:pPr>
        <w:ind w:left="8278" w:hanging="360"/>
      </w:pPr>
    </w:lvl>
    <w:lvl w:ilvl="5" w:tplc="0C09001B" w:tentative="1">
      <w:start w:val="1"/>
      <w:numFmt w:val="lowerRoman"/>
      <w:lvlText w:val="%6."/>
      <w:lvlJc w:val="right"/>
      <w:pPr>
        <w:ind w:left="8998" w:hanging="180"/>
      </w:pPr>
    </w:lvl>
    <w:lvl w:ilvl="6" w:tplc="0C09000F" w:tentative="1">
      <w:start w:val="1"/>
      <w:numFmt w:val="decimal"/>
      <w:lvlText w:val="%7."/>
      <w:lvlJc w:val="left"/>
      <w:pPr>
        <w:ind w:left="9718" w:hanging="360"/>
      </w:pPr>
    </w:lvl>
    <w:lvl w:ilvl="7" w:tplc="0C090019" w:tentative="1">
      <w:start w:val="1"/>
      <w:numFmt w:val="lowerLetter"/>
      <w:lvlText w:val="%8."/>
      <w:lvlJc w:val="left"/>
      <w:pPr>
        <w:ind w:left="10438" w:hanging="360"/>
      </w:pPr>
    </w:lvl>
    <w:lvl w:ilvl="8" w:tplc="0C09001B" w:tentative="1">
      <w:start w:val="1"/>
      <w:numFmt w:val="lowerRoman"/>
      <w:lvlText w:val="%9."/>
      <w:lvlJc w:val="right"/>
      <w:pPr>
        <w:ind w:left="11158" w:hanging="180"/>
      </w:pPr>
    </w:lvl>
  </w:abstractNum>
  <w:abstractNum w:abstractNumId="15" w15:restartNumberingAfterBreak="0">
    <w:nsid w:val="1CB325B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16F5594"/>
    <w:multiLevelType w:val="multilevel"/>
    <w:tmpl w:val="4B7E7000"/>
    <w:lvl w:ilvl="0">
      <w:start w:val="1"/>
      <w:numFmt w:val="bullet"/>
      <w:lvlText w:val="•"/>
      <w:lvlJc w:val="left"/>
      <w:pPr>
        <w:tabs>
          <w:tab w:val="num" w:pos="472"/>
        </w:tabs>
        <w:ind w:left="472" w:hanging="472"/>
      </w:pPr>
      <w:rPr>
        <w:rFonts w:ascii="Times New Roman" w:hAnsi="Times New Roman" w:cs="Times New Roman" w:hint="default"/>
      </w:rPr>
    </w:lvl>
    <w:lvl w:ilvl="1">
      <w:start w:val="1"/>
      <w:numFmt w:val="bullet"/>
      <w:lvlText w:val="–"/>
      <w:lvlJc w:val="left"/>
      <w:pPr>
        <w:tabs>
          <w:tab w:val="num" w:pos="944"/>
        </w:tabs>
        <w:ind w:left="944" w:hanging="472"/>
      </w:pPr>
      <w:rPr>
        <w:rFonts w:ascii="Times New Roman" w:hAnsi="Times New Roman" w:cs="Times New Roman" w:hint="default"/>
      </w:rPr>
    </w:lvl>
    <w:lvl w:ilvl="2">
      <w:start w:val="1"/>
      <w:numFmt w:val="bullet"/>
      <w:lvlText w:val=":"/>
      <w:lvlJc w:val="left"/>
      <w:pPr>
        <w:tabs>
          <w:tab w:val="num" w:pos="1416"/>
        </w:tabs>
        <w:ind w:left="1416" w:hanging="472"/>
      </w:pPr>
      <w:rPr>
        <w:rFonts w:ascii="Times New Roman" w:hAnsi="Times New Roman" w:cs="Times New Roman" w:hint="default"/>
      </w:rPr>
    </w:lvl>
    <w:lvl w:ilvl="3">
      <w:start w:val="1"/>
      <w:numFmt w:val="decimal"/>
      <w:lvlText w:val="(%4)"/>
      <w:lvlJc w:val="left"/>
      <w:pPr>
        <w:tabs>
          <w:tab w:val="num" w:pos="2268"/>
        </w:tabs>
        <w:ind w:left="2118" w:hanging="510"/>
      </w:pPr>
    </w:lvl>
    <w:lvl w:ilvl="4">
      <w:start w:val="1"/>
      <w:numFmt w:val="lowerLetter"/>
      <w:lvlText w:val="(%5)"/>
      <w:lvlJc w:val="left"/>
      <w:pPr>
        <w:tabs>
          <w:tab w:val="num" w:pos="2552"/>
        </w:tabs>
        <w:ind w:left="2402" w:hanging="510"/>
      </w:pPr>
    </w:lvl>
    <w:lvl w:ilvl="5">
      <w:start w:val="1"/>
      <w:numFmt w:val="lowerRoman"/>
      <w:lvlText w:val="(%6)"/>
      <w:lvlJc w:val="left"/>
      <w:pPr>
        <w:tabs>
          <w:tab w:val="num" w:pos="2836"/>
        </w:tabs>
        <w:ind w:left="2686" w:hanging="510"/>
      </w:pPr>
    </w:lvl>
    <w:lvl w:ilvl="6">
      <w:start w:val="1"/>
      <w:numFmt w:val="decimal"/>
      <w:lvlText w:val="%7."/>
      <w:lvlJc w:val="left"/>
      <w:pPr>
        <w:tabs>
          <w:tab w:val="num" w:pos="3120"/>
        </w:tabs>
        <w:ind w:left="2970" w:hanging="510"/>
      </w:pPr>
    </w:lvl>
    <w:lvl w:ilvl="7">
      <w:start w:val="1"/>
      <w:numFmt w:val="lowerLetter"/>
      <w:lvlText w:val="%8."/>
      <w:lvlJc w:val="left"/>
      <w:pPr>
        <w:tabs>
          <w:tab w:val="num" w:pos="3404"/>
        </w:tabs>
        <w:ind w:left="3254" w:hanging="510"/>
      </w:pPr>
    </w:lvl>
    <w:lvl w:ilvl="8">
      <w:start w:val="1"/>
      <w:numFmt w:val="lowerRoman"/>
      <w:lvlText w:val="%9."/>
      <w:lvlJc w:val="left"/>
      <w:pPr>
        <w:tabs>
          <w:tab w:val="num" w:pos="3688"/>
        </w:tabs>
        <w:ind w:left="3538" w:hanging="510"/>
      </w:pPr>
    </w:lvl>
  </w:abstractNum>
  <w:abstractNum w:abstractNumId="17"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D5387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1C6873"/>
    <w:multiLevelType w:val="multilevel"/>
    <w:tmpl w:val="2C90FAF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color w:val="auto"/>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5C3512"/>
    <w:multiLevelType w:val="hybridMultilevel"/>
    <w:tmpl w:val="87F65416"/>
    <w:lvl w:ilvl="0" w:tplc="4F002F3A">
      <w:start w:val="1"/>
      <w:numFmt w:val="bullet"/>
      <w:lvlText w:val="•"/>
      <w:lvlJc w:val="left"/>
      <w:pPr>
        <w:tabs>
          <w:tab w:val="num" w:pos="720"/>
        </w:tabs>
        <w:ind w:left="720" w:hanging="360"/>
      </w:pPr>
      <w:rPr>
        <w:rFonts w:ascii="Arial" w:hAnsi="Arial" w:hint="default"/>
      </w:rPr>
    </w:lvl>
    <w:lvl w:ilvl="1" w:tplc="191207E8">
      <w:numFmt w:val="bullet"/>
      <w:lvlText w:val="•"/>
      <w:lvlJc w:val="left"/>
      <w:pPr>
        <w:tabs>
          <w:tab w:val="num" w:pos="1440"/>
        </w:tabs>
        <w:ind w:left="1440" w:hanging="360"/>
      </w:pPr>
      <w:rPr>
        <w:rFonts w:ascii="Arial" w:hAnsi="Arial" w:hint="default"/>
      </w:rPr>
    </w:lvl>
    <w:lvl w:ilvl="2" w:tplc="A78C4652">
      <w:numFmt w:val="bullet"/>
      <w:lvlText w:val="•"/>
      <w:lvlJc w:val="left"/>
      <w:pPr>
        <w:tabs>
          <w:tab w:val="num" w:pos="2160"/>
        </w:tabs>
        <w:ind w:left="2160" w:hanging="360"/>
      </w:pPr>
      <w:rPr>
        <w:rFonts w:ascii="Arial" w:hAnsi="Arial" w:hint="default"/>
      </w:rPr>
    </w:lvl>
    <w:lvl w:ilvl="3" w:tplc="19726E8A" w:tentative="1">
      <w:start w:val="1"/>
      <w:numFmt w:val="bullet"/>
      <w:lvlText w:val="•"/>
      <w:lvlJc w:val="left"/>
      <w:pPr>
        <w:tabs>
          <w:tab w:val="num" w:pos="2880"/>
        </w:tabs>
        <w:ind w:left="2880" w:hanging="360"/>
      </w:pPr>
      <w:rPr>
        <w:rFonts w:ascii="Arial" w:hAnsi="Arial" w:hint="default"/>
      </w:rPr>
    </w:lvl>
    <w:lvl w:ilvl="4" w:tplc="13A8565E" w:tentative="1">
      <w:start w:val="1"/>
      <w:numFmt w:val="bullet"/>
      <w:lvlText w:val="•"/>
      <w:lvlJc w:val="left"/>
      <w:pPr>
        <w:tabs>
          <w:tab w:val="num" w:pos="3600"/>
        </w:tabs>
        <w:ind w:left="3600" w:hanging="360"/>
      </w:pPr>
      <w:rPr>
        <w:rFonts w:ascii="Arial" w:hAnsi="Arial" w:hint="default"/>
      </w:rPr>
    </w:lvl>
    <w:lvl w:ilvl="5" w:tplc="CF10146E" w:tentative="1">
      <w:start w:val="1"/>
      <w:numFmt w:val="bullet"/>
      <w:lvlText w:val="•"/>
      <w:lvlJc w:val="left"/>
      <w:pPr>
        <w:tabs>
          <w:tab w:val="num" w:pos="4320"/>
        </w:tabs>
        <w:ind w:left="4320" w:hanging="360"/>
      </w:pPr>
      <w:rPr>
        <w:rFonts w:ascii="Arial" w:hAnsi="Arial" w:hint="default"/>
      </w:rPr>
    </w:lvl>
    <w:lvl w:ilvl="6" w:tplc="37D42DE4" w:tentative="1">
      <w:start w:val="1"/>
      <w:numFmt w:val="bullet"/>
      <w:lvlText w:val="•"/>
      <w:lvlJc w:val="left"/>
      <w:pPr>
        <w:tabs>
          <w:tab w:val="num" w:pos="5040"/>
        </w:tabs>
        <w:ind w:left="5040" w:hanging="360"/>
      </w:pPr>
      <w:rPr>
        <w:rFonts w:ascii="Arial" w:hAnsi="Arial" w:hint="default"/>
      </w:rPr>
    </w:lvl>
    <w:lvl w:ilvl="7" w:tplc="0AD6F648" w:tentative="1">
      <w:start w:val="1"/>
      <w:numFmt w:val="bullet"/>
      <w:lvlText w:val="•"/>
      <w:lvlJc w:val="left"/>
      <w:pPr>
        <w:tabs>
          <w:tab w:val="num" w:pos="5760"/>
        </w:tabs>
        <w:ind w:left="5760" w:hanging="360"/>
      </w:pPr>
      <w:rPr>
        <w:rFonts w:ascii="Arial" w:hAnsi="Arial" w:hint="default"/>
      </w:rPr>
    </w:lvl>
    <w:lvl w:ilvl="8" w:tplc="E86065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CA24FC"/>
    <w:multiLevelType w:val="multilevel"/>
    <w:tmpl w:val="A48ABD5A"/>
    <w:name w:val="StandardNumberedList"/>
    <w:lvl w:ilvl="0">
      <w:start w:val="1"/>
      <w:numFmt w:val="decimal"/>
      <w:lvlText w:val="%1."/>
      <w:lvlJc w:val="left"/>
      <w:pPr>
        <w:tabs>
          <w:tab w:val="num" w:pos="472"/>
        </w:tabs>
        <w:ind w:left="472" w:hanging="472"/>
      </w:pPr>
      <w:rPr>
        <w:rFonts w:hint="default"/>
      </w:rPr>
    </w:lvl>
    <w:lvl w:ilvl="1">
      <w:start w:val="1"/>
      <w:numFmt w:val="decimal"/>
      <w:lvlText w:val="%1.%2."/>
      <w:lvlJc w:val="left"/>
      <w:pPr>
        <w:tabs>
          <w:tab w:val="num" w:pos="944"/>
        </w:tabs>
        <w:ind w:left="944" w:hanging="472"/>
      </w:pPr>
      <w:rPr>
        <w:rFonts w:hint="default"/>
      </w:rPr>
    </w:lvl>
    <w:lvl w:ilvl="2">
      <w:start w:val="1"/>
      <w:numFmt w:val="decimal"/>
      <w:lvlText w:val="%1.%2.%3."/>
      <w:lvlJc w:val="left"/>
      <w:pPr>
        <w:tabs>
          <w:tab w:val="num" w:pos="1416"/>
        </w:tabs>
        <w:ind w:left="1416" w:hanging="47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196163B"/>
    <w:multiLevelType w:val="multilevel"/>
    <w:tmpl w:val="F89C296E"/>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4CF318E"/>
    <w:multiLevelType w:val="multilevel"/>
    <w:tmpl w:val="906615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60C37C0"/>
    <w:multiLevelType w:val="hybridMultilevel"/>
    <w:tmpl w:val="7E4EFDA8"/>
    <w:lvl w:ilvl="0" w:tplc="BD6EB0BC">
      <w:start w:val="1"/>
      <w:numFmt w:val="decimal"/>
      <w:lvlText w:val="Chart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7F6AB3"/>
    <w:multiLevelType w:val="hybridMultilevel"/>
    <w:tmpl w:val="E8D02006"/>
    <w:lvl w:ilvl="0" w:tplc="56DE09CA">
      <w:start w:val="1"/>
      <w:numFmt w:val="decimal"/>
      <w:pStyle w:val="TableHeadingContinued"/>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AE6A34"/>
    <w:multiLevelType w:val="hybridMultilevel"/>
    <w:tmpl w:val="212A891A"/>
    <w:lvl w:ilvl="0" w:tplc="22FA1A18">
      <w:start w:val="1"/>
      <w:numFmt w:val="bullet"/>
      <w:lvlText w:val=""/>
      <w:lvlJc w:val="left"/>
      <w:pPr>
        <w:ind w:left="1080" w:hanging="360"/>
      </w:pPr>
      <w:rPr>
        <w:rFonts w:ascii="Symbol" w:hAnsi="Symbol"/>
      </w:rPr>
    </w:lvl>
    <w:lvl w:ilvl="1" w:tplc="6A804340">
      <w:start w:val="1"/>
      <w:numFmt w:val="bullet"/>
      <w:lvlText w:val=""/>
      <w:lvlJc w:val="left"/>
      <w:pPr>
        <w:ind w:left="1080" w:hanging="360"/>
      </w:pPr>
      <w:rPr>
        <w:rFonts w:ascii="Symbol" w:hAnsi="Symbol"/>
      </w:rPr>
    </w:lvl>
    <w:lvl w:ilvl="2" w:tplc="51E411D2">
      <w:start w:val="1"/>
      <w:numFmt w:val="bullet"/>
      <w:lvlText w:val=""/>
      <w:lvlJc w:val="left"/>
      <w:pPr>
        <w:ind w:left="1080" w:hanging="360"/>
      </w:pPr>
      <w:rPr>
        <w:rFonts w:ascii="Symbol" w:hAnsi="Symbol"/>
      </w:rPr>
    </w:lvl>
    <w:lvl w:ilvl="3" w:tplc="EF3EE4C2">
      <w:start w:val="1"/>
      <w:numFmt w:val="bullet"/>
      <w:lvlText w:val=""/>
      <w:lvlJc w:val="left"/>
      <w:pPr>
        <w:ind w:left="1080" w:hanging="360"/>
      </w:pPr>
      <w:rPr>
        <w:rFonts w:ascii="Symbol" w:hAnsi="Symbol"/>
      </w:rPr>
    </w:lvl>
    <w:lvl w:ilvl="4" w:tplc="83ACD512">
      <w:start w:val="1"/>
      <w:numFmt w:val="bullet"/>
      <w:lvlText w:val=""/>
      <w:lvlJc w:val="left"/>
      <w:pPr>
        <w:ind w:left="1080" w:hanging="360"/>
      </w:pPr>
      <w:rPr>
        <w:rFonts w:ascii="Symbol" w:hAnsi="Symbol"/>
      </w:rPr>
    </w:lvl>
    <w:lvl w:ilvl="5" w:tplc="B57CD0BC">
      <w:start w:val="1"/>
      <w:numFmt w:val="bullet"/>
      <w:lvlText w:val=""/>
      <w:lvlJc w:val="left"/>
      <w:pPr>
        <w:ind w:left="1080" w:hanging="360"/>
      </w:pPr>
      <w:rPr>
        <w:rFonts w:ascii="Symbol" w:hAnsi="Symbol"/>
      </w:rPr>
    </w:lvl>
    <w:lvl w:ilvl="6" w:tplc="43603EDE">
      <w:start w:val="1"/>
      <w:numFmt w:val="bullet"/>
      <w:lvlText w:val=""/>
      <w:lvlJc w:val="left"/>
      <w:pPr>
        <w:ind w:left="1080" w:hanging="360"/>
      </w:pPr>
      <w:rPr>
        <w:rFonts w:ascii="Symbol" w:hAnsi="Symbol"/>
      </w:rPr>
    </w:lvl>
    <w:lvl w:ilvl="7" w:tplc="1598C7FE">
      <w:start w:val="1"/>
      <w:numFmt w:val="bullet"/>
      <w:lvlText w:val=""/>
      <w:lvlJc w:val="left"/>
      <w:pPr>
        <w:ind w:left="1080" w:hanging="360"/>
      </w:pPr>
      <w:rPr>
        <w:rFonts w:ascii="Symbol" w:hAnsi="Symbol"/>
      </w:rPr>
    </w:lvl>
    <w:lvl w:ilvl="8" w:tplc="D230FA18">
      <w:start w:val="1"/>
      <w:numFmt w:val="bullet"/>
      <w:lvlText w:val=""/>
      <w:lvlJc w:val="left"/>
      <w:pPr>
        <w:ind w:left="1080" w:hanging="360"/>
      </w:pPr>
      <w:rPr>
        <w:rFonts w:ascii="Symbol" w:hAnsi="Symbol"/>
      </w:rPr>
    </w:lvl>
  </w:abstractNum>
  <w:abstractNum w:abstractNumId="30" w15:restartNumberingAfterBreak="0">
    <w:nsid w:val="3F4F061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2DE0C16"/>
    <w:multiLevelType w:val="hybridMultilevel"/>
    <w:tmpl w:val="B2A04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F4403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673610F"/>
    <w:multiLevelType w:val="multilevel"/>
    <w:tmpl w:val="6F6CF3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4552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F46641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FB7707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0B20637"/>
    <w:multiLevelType w:val="hybridMultilevel"/>
    <w:tmpl w:val="E57A028C"/>
    <w:lvl w:ilvl="0" w:tplc="345E5FF0">
      <w:start w:val="1"/>
      <w:numFmt w:val="decimal"/>
      <w:lvlText w:val="Table %1."/>
      <w:lvlJc w:val="left"/>
      <w:pPr>
        <w:ind w:left="720"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5C641C8"/>
    <w:multiLevelType w:val="hybridMultilevel"/>
    <w:tmpl w:val="E4FAF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FF5A5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60F57A5"/>
    <w:multiLevelType w:val="hybridMultilevel"/>
    <w:tmpl w:val="03BC89F0"/>
    <w:lvl w:ilvl="0" w:tplc="29E21A34">
      <w:start w:val="1"/>
      <w:numFmt w:val="decimal"/>
      <w:pStyle w:val="TableMainHeading"/>
      <w:lvlText w:val="Table %1."/>
      <w:lvlJc w:val="left"/>
      <w:pPr>
        <w:ind w:left="720" w:hanging="360"/>
      </w:pPr>
      <w:rPr>
        <w:rFonts w:ascii="Calibri" w:hAnsi="Calibri" w:hint="default"/>
        <w:b/>
        <w:i w:val="0"/>
        <w:caps w:val="0"/>
        <w:strike w:val="0"/>
        <w:dstrike w:val="0"/>
        <w:vanish w:val="0"/>
        <w:color w:val="002C47" w:themeColor="accent1"/>
        <w:spacing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7D1518"/>
    <w:multiLevelType w:val="multilevel"/>
    <w:tmpl w:val="AA54E09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92E0C3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17508C2"/>
    <w:multiLevelType w:val="hybridMultilevel"/>
    <w:tmpl w:val="76307676"/>
    <w:lvl w:ilvl="0" w:tplc="E162F2F0">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23B4818"/>
    <w:multiLevelType w:val="hybridMultilevel"/>
    <w:tmpl w:val="F9B2BC56"/>
    <w:lvl w:ilvl="0" w:tplc="E1C62192">
      <w:start w:val="1"/>
      <w:numFmt w:val="bullet"/>
      <w:lvlText w:val=""/>
      <w:lvlJc w:val="left"/>
      <w:pPr>
        <w:ind w:left="720" w:hanging="360"/>
      </w:pPr>
      <w:rPr>
        <w:rFonts w:ascii="Symbol" w:hAnsi="Symbol"/>
      </w:rPr>
    </w:lvl>
    <w:lvl w:ilvl="1" w:tplc="273C9100">
      <w:start w:val="1"/>
      <w:numFmt w:val="bullet"/>
      <w:lvlText w:val=""/>
      <w:lvlJc w:val="left"/>
      <w:pPr>
        <w:ind w:left="720" w:hanging="360"/>
      </w:pPr>
      <w:rPr>
        <w:rFonts w:ascii="Symbol" w:hAnsi="Symbol"/>
      </w:rPr>
    </w:lvl>
    <w:lvl w:ilvl="2" w:tplc="3B92A7DE">
      <w:start w:val="1"/>
      <w:numFmt w:val="bullet"/>
      <w:lvlText w:val=""/>
      <w:lvlJc w:val="left"/>
      <w:pPr>
        <w:ind w:left="720" w:hanging="360"/>
      </w:pPr>
      <w:rPr>
        <w:rFonts w:ascii="Symbol" w:hAnsi="Symbol"/>
      </w:rPr>
    </w:lvl>
    <w:lvl w:ilvl="3" w:tplc="93B067E6">
      <w:start w:val="1"/>
      <w:numFmt w:val="bullet"/>
      <w:lvlText w:val=""/>
      <w:lvlJc w:val="left"/>
      <w:pPr>
        <w:ind w:left="720" w:hanging="360"/>
      </w:pPr>
      <w:rPr>
        <w:rFonts w:ascii="Symbol" w:hAnsi="Symbol"/>
      </w:rPr>
    </w:lvl>
    <w:lvl w:ilvl="4" w:tplc="3F3C4D10">
      <w:start w:val="1"/>
      <w:numFmt w:val="bullet"/>
      <w:lvlText w:val=""/>
      <w:lvlJc w:val="left"/>
      <w:pPr>
        <w:ind w:left="720" w:hanging="360"/>
      </w:pPr>
      <w:rPr>
        <w:rFonts w:ascii="Symbol" w:hAnsi="Symbol"/>
      </w:rPr>
    </w:lvl>
    <w:lvl w:ilvl="5" w:tplc="C90A06AA">
      <w:start w:val="1"/>
      <w:numFmt w:val="bullet"/>
      <w:lvlText w:val=""/>
      <w:lvlJc w:val="left"/>
      <w:pPr>
        <w:ind w:left="720" w:hanging="360"/>
      </w:pPr>
      <w:rPr>
        <w:rFonts w:ascii="Symbol" w:hAnsi="Symbol"/>
      </w:rPr>
    </w:lvl>
    <w:lvl w:ilvl="6" w:tplc="E2C409C0">
      <w:start w:val="1"/>
      <w:numFmt w:val="bullet"/>
      <w:lvlText w:val=""/>
      <w:lvlJc w:val="left"/>
      <w:pPr>
        <w:ind w:left="720" w:hanging="360"/>
      </w:pPr>
      <w:rPr>
        <w:rFonts w:ascii="Symbol" w:hAnsi="Symbol"/>
      </w:rPr>
    </w:lvl>
    <w:lvl w:ilvl="7" w:tplc="5FC8DAC0">
      <w:start w:val="1"/>
      <w:numFmt w:val="bullet"/>
      <w:lvlText w:val=""/>
      <w:lvlJc w:val="left"/>
      <w:pPr>
        <w:ind w:left="720" w:hanging="360"/>
      </w:pPr>
      <w:rPr>
        <w:rFonts w:ascii="Symbol" w:hAnsi="Symbol"/>
      </w:rPr>
    </w:lvl>
    <w:lvl w:ilvl="8" w:tplc="9F04FD8A">
      <w:start w:val="1"/>
      <w:numFmt w:val="bullet"/>
      <w:lvlText w:val=""/>
      <w:lvlJc w:val="left"/>
      <w:pPr>
        <w:ind w:left="720" w:hanging="360"/>
      </w:pPr>
      <w:rPr>
        <w:rFonts w:ascii="Symbol" w:hAnsi="Symbol"/>
      </w:rPr>
    </w:lvl>
  </w:abstractNum>
  <w:abstractNum w:abstractNumId="45" w15:restartNumberingAfterBreak="0">
    <w:nsid w:val="63A33835"/>
    <w:multiLevelType w:val="multilevel"/>
    <w:tmpl w:val="B758203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4B36E5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4FF54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6934F4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74A4AE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9966D76"/>
    <w:multiLevelType w:val="hybridMultilevel"/>
    <w:tmpl w:val="1A94092E"/>
    <w:lvl w:ilvl="0" w:tplc="65C4B110">
      <w:start w:val="1"/>
      <w:numFmt w:val="decimal"/>
      <w:pStyle w:val="BoxHeading"/>
      <w:lvlText w:val="Box %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BB969A9"/>
    <w:multiLevelType w:val="hybridMultilevel"/>
    <w:tmpl w:val="8884C46C"/>
    <w:lvl w:ilvl="0" w:tplc="1BF25C5E">
      <w:start w:val="1"/>
      <w:numFmt w:val="bullet"/>
      <w:lvlText w:val=""/>
      <w:lvlJc w:val="left"/>
      <w:pPr>
        <w:ind w:left="720" w:hanging="360"/>
      </w:pPr>
      <w:rPr>
        <w:rFonts w:ascii="Symbol" w:hAnsi="Symbol"/>
      </w:rPr>
    </w:lvl>
    <w:lvl w:ilvl="1" w:tplc="0408EF9E">
      <w:start w:val="1"/>
      <w:numFmt w:val="bullet"/>
      <w:lvlText w:val=""/>
      <w:lvlJc w:val="left"/>
      <w:pPr>
        <w:ind w:left="720" w:hanging="360"/>
      </w:pPr>
      <w:rPr>
        <w:rFonts w:ascii="Symbol" w:hAnsi="Symbol"/>
      </w:rPr>
    </w:lvl>
    <w:lvl w:ilvl="2" w:tplc="3FCA8ADE">
      <w:start w:val="1"/>
      <w:numFmt w:val="bullet"/>
      <w:lvlText w:val=""/>
      <w:lvlJc w:val="left"/>
      <w:pPr>
        <w:ind w:left="720" w:hanging="360"/>
      </w:pPr>
      <w:rPr>
        <w:rFonts w:ascii="Symbol" w:hAnsi="Symbol"/>
      </w:rPr>
    </w:lvl>
    <w:lvl w:ilvl="3" w:tplc="FF982754">
      <w:start w:val="1"/>
      <w:numFmt w:val="bullet"/>
      <w:lvlText w:val=""/>
      <w:lvlJc w:val="left"/>
      <w:pPr>
        <w:ind w:left="720" w:hanging="360"/>
      </w:pPr>
      <w:rPr>
        <w:rFonts w:ascii="Symbol" w:hAnsi="Symbol"/>
      </w:rPr>
    </w:lvl>
    <w:lvl w:ilvl="4" w:tplc="2A186190">
      <w:start w:val="1"/>
      <w:numFmt w:val="bullet"/>
      <w:lvlText w:val=""/>
      <w:lvlJc w:val="left"/>
      <w:pPr>
        <w:ind w:left="720" w:hanging="360"/>
      </w:pPr>
      <w:rPr>
        <w:rFonts w:ascii="Symbol" w:hAnsi="Symbol"/>
      </w:rPr>
    </w:lvl>
    <w:lvl w:ilvl="5" w:tplc="5EEC0ED0">
      <w:start w:val="1"/>
      <w:numFmt w:val="bullet"/>
      <w:lvlText w:val=""/>
      <w:lvlJc w:val="left"/>
      <w:pPr>
        <w:ind w:left="720" w:hanging="360"/>
      </w:pPr>
      <w:rPr>
        <w:rFonts w:ascii="Symbol" w:hAnsi="Symbol"/>
      </w:rPr>
    </w:lvl>
    <w:lvl w:ilvl="6" w:tplc="A3FA4AB6">
      <w:start w:val="1"/>
      <w:numFmt w:val="bullet"/>
      <w:lvlText w:val=""/>
      <w:lvlJc w:val="left"/>
      <w:pPr>
        <w:ind w:left="720" w:hanging="360"/>
      </w:pPr>
      <w:rPr>
        <w:rFonts w:ascii="Symbol" w:hAnsi="Symbol"/>
      </w:rPr>
    </w:lvl>
    <w:lvl w:ilvl="7" w:tplc="A77CCFD8">
      <w:start w:val="1"/>
      <w:numFmt w:val="bullet"/>
      <w:lvlText w:val=""/>
      <w:lvlJc w:val="left"/>
      <w:pPr>
        <w:ind w:left="720" w:hanging="360"/>
      </w:pPr>
      <w:rPr>
        <w:rFonts w:ascii="Symbol" w:hAnsi="Symbol"/>
      </w:rPr>
    </w:lvl>
    <w:lvl w:ilvl="8" w:tplc="37A64FE0">
      <w:start w:val="1"/>
      <w:numFmt w:val="bullet"/>
      <w:lvlText w:val=""/>
      <w:lvlJc w:val="left"/>
      <w:pPr>
        <w:ind w:left="720" w:hanging="360"/>
      </w:pPr>
      <w:rPr>
        <w:rFonts w:ascii="Symbol" w:hAnsi="Symbol"/>
      </w:rPr>
    </w:lvl>
  </w:abstractNum>
  <w:abstractNum w:abstractNumId="52" w15:restartNumberingAfterBreak="0">
    <w:nsid w:val="6C1664FE"/>
    <w:multiLevelType w:val="multilevel"/>
    <w:tmpl w:val="A504236C"/>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12E4721"/>
    <w:multiLevelType w:val="hybridMultilevel"/>
    <w:tmpl w:val="E0EA3290"/>
    <w:lvl w:ilvl="0" w:tplc="09D22C32">
      <w:start w:val="1"/>
      <w:numFmt w:val="bullet"/>
      <w:lvlText w:val=""/>
      <w:lvlJc w:val="left"/>
      <w:pPr>
        <w:ind w:left="1080" w:hanging="360"/>
      </w:pPr>
      <w:rPr>
        <w:rFonts w:ascii="Symbol" w:hAnsi="Symbol"/>
      </w:rPr>
    </w:lvl>
    <w:lvl w:ilvl="1" w:tplc="DEE451E2">
      <w:start w:val="1"/>
      <w:numFmt w:val="bullet"/>
      <w:lvlText w:val=""/>
      <w:lvlJc w:val="left"/>
      <w:pPr>
        <w:ind w:left="1080" w:hanging="360"/>
      </w:pPr>
      <w:rPr>
        <w:rFonts w:ascii="Symbol" w:hAnsi="Symbol"/>
      </w:rPr>
    </w:lvl>
    <w:lvl w:ilvl="2" w:tplc="A2B2328C">
      <w:start w:val="1"/>
      <w:numFmt w:val="bullet"/>
      <w:lvlText w:val=""/>
      <w:lvlJc w:val="left"/>
      <w:pPr>
        <w:ind w:left="1080" w:hanging="360"/>
      </w:pPr>
      <w:rPr>
        <w:rFonts w:ascii="Symbol" w:hAnsi="Symbol"/>
      </w:rPr>
    </w:lvl>
    <w:lvl w:ilvl="3" w:tplc="8AA0A38E">
      <w:start w:val="1"/>
      <w:numFmt w:val="bullet"/>
      <w:lvlText w:val=""/>
      <w:lvlJc w:val="left"/>
      <w:pPr>
        <w:ind w:left="1080" w:hanging="360"/>
      </w:pPr>
      <w:rPr>
        <w:rFonts w:ascii="Symbol" w:hAnsi="Symbol"/>
      </w:rPr>
    </w:lvl>
    <w:lvl w:ilvl="4" w:tplc="13805E4C">
      <w:start w:val="1"/>
      <w:numFmt w:val="bullet"/>
      <w:lvlText w:val=""/>
      <w:lvlJc w:val="left"/>
      <w:pPr>
        <w:ind w:left="1080" w:hanging="360"/>
      </w:pPr>
      <w:rPr>
        <w:rFonts w:ascii="Symbol" w:hAnsi="Symbol"/>
      </w:rPr>
    </w:lvl>
    <w:lvl w:ilvl="5" w:tplc="0D6E9F6E">
      <w:start w:val="1"/>
      <w:numFmt w:val="bullet"/>
      <w:lvlText w:val=""/>
      <w:lvlJc w:val="left"/>
      <w:pPr>
        <w:ind w:left="1080" w:hanging="360"/>
      </w:pPr>
      <w:rPr>
        <w:rFonts w:ascii="Symbol" w:hAnsi="Symbol"/>
      </w:rPr>
    </w:lvl>
    <w:lvl w:ilvl="6" w:tplc="E6DAE89C">
      <w:start w:val="1"/>
      <w:numFmt w:val="bullet"/>
      <w:lvlText w:val=""/>
      <w:lvlJc w:val="left"/>
      <w:pPr>
        <w:ind w:left="1080" w:hanging="360"/>
      </w:pPr>
      <w:rPr>
        <w:rFonts w:ascii="Symbol" w:hAnsi="Symbol"/>
      </w:rPr>
    </w:lvl>
    <w:lvl w:ilvl="7" w:tplc="65F2734E">
      <w:start w:val="1"/>
      <w:numFmt w:val="bullet"/>
      <w:lvlText w:val=""/>
      <w:lvlJc w:val="left"/>
      <w:pPr>
        <w:ind w:left="1080" w:hanging="360"/>
      </w:pPr>
      <w:rPr>
        <w:rFonts w:ascii="Symbol" w:hAnsi="Symbol"/>
      </w:rPr>
    </w:lvl>
    <w:lvl w:ilvl="8" w:tplc="1264F2AC">
      <w:start w:val="1"/>
      <w:numFmt w:val="bullet"/>
      <w:lvlText w:val=""/>
      <w:lvlJc w:val="left"/>
      <w:pPr>
        <w:ind w:left="1080" w:hanging="360"/>
      </w:pPr>
      <w:rPr>
        <w:rFonts w:ascii="Symbol" w:hAnsi="Symbol"/>
      </w:rPr>
    </w:lvl>
  </w:abstractNum>
  <w:abstractNum w:abstractNumId="54" w15:restartNumberingAfterBreak="0">
    <w:nsid w:val="721A2A63"/>
    <w:multiLevelType w:val="hybridMultilevel"/>
    <w:tmpl w:val="C6BA8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8E63A0"/>
    <w:multiLevelType w:val="multilevel"/>
    <w:tmpl w:val="6EE8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41773DE"/>
    <w:multiLevelType w:val="multilevel"/>
    <w:tmpl w:val="BC524E5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64866EF"/>
    <w:multiLevelType w:val="multilevel"/>
    <w:tmpl w:val="371201F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75A02C0"/>
    <w:multiLevelType w:val="hybridMultilevel"/>
    <w:tmpl w:val="F146CEBC"/>
    <w:lvl w:ilvl="0" w:tplc="8E0CD19A">
      <w:start w:val="1"/>
      <w:numFmt w:val="decimal"/>
      <w:pStyle w:val="ChartMainHeading"/>
      <w:lvlText w:val="Chart %1."/>
      <w:lvlJc w:val="left"/>
      <w:pPr>
        <w:ind w:left="720" w:hanging="360"/>
      </w:pPr>
      <w:rPr>
        <w:rFonts w:hint="default"/>
        <w:spacing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8291F76"/>
    <w:multiLevelType w:val="multilevel"/>
    <w:tmpl w:val="D2882952"/>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C297CAF"/>
    <w:multiLevelType w:val="multilevel"/>
    <w:tmpl w:val="D0E0E1C2"/>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D6B5224"/>
    <w:multiLevelType w:val="multilevel"/>
    <w:tmpl w:val="EB0E3002"/>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99613398">
    <w:abstractNumId w:val="0"/>
  </w:num>
  <w:num w:numId="2" w16cid:durableId="1874729350">
    <w:abstractNumId w:val="22"/>
  </w:num>
  <w:num w:numId="3" w16cid:durableId="963385822">
    <w:abstractNumId w:val="24"/>
  </w:num>
  <w:num w:numId="4" w16cid:durableId="726682388">
    <w:abstractNumId w:val="25"/>
  </w:num>
  <w:num w:numId="5" w16cid:durableId="1898936951">
    <w:abstractNumId w:val="5"/>
  </w:num>
  <w:num w:numId="6" w16cid:durableId="1923366380">
    <w:abstractNumId w:val="22"/>
  </w:num>
  <w:num w:numId="7" w16cid:durableId="977802493">
    <w:abstractNumId w:val="5"/>
  </w:num>
  <w:num w:numId="8" w16cid:durableId="420101173">
    <w:abstractNumId w:val="17"/>
  </w:num>
  <w:num w:numId="9" w16cid:durableId="1735201344">
    <w:abstractNumId w:val="28"/>
  </w:num>
  <w:num w:numId="10" w16cid:durableId="595677897">
    <w:abstractNumId w:val="40"/>
  </w:num>
  <w:num w:numId="11" w16cid:durableId="2078043811">
    <w:abstractNumId w:val="58"/>
  </w:num>
  <w:num w:numId="12" w16cid:durableId="526018401">
    <w:abstractNumId w:val="50"/>
  </w:num>
  <w:num w:numId="13" w16cid:durableId="1415474309">
    <w:abstractNumId w:val="1"/>
  </w:num>
  <w:num w:numId="14" w16cid:durableId="1885749963">
    <w:abstractNumId w:val="60"/>
  </w:num>
  <w:num w:numId="15" w16cid:durableId="1829396304">
    <w:abstractNumId w:val="59"/>
  </w:num>
  <w:num w:numId="16" w16cid:durableId="263732362">
    <w:abstractNumId w:val="31"/>
  </w:num>
  <w:num w:numId="17" w16cid:durableId="1047532710">
    <w:abstractNumId w:val="11"/>
  </w:num>
  <w:num w:numId="18" w16cid:durableId="1223365212">
    <w:abstractNumId w:val="33"/>
  </w:num>
  <w:num w:numId="19" w16cid:durableId="2126458795">
    <w:abstractNumId w:val="19"/>
  </w:num>
  <w:num w:numId="20" w16cid:durableId="17752447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6234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651826">
    <w:abstractNumId w:val="8"/>
  </w:num>
  <w:num w:numId="23" w16cid:durableId="434401664">
    <w:abstractNumId w:val="41"/>
  </w:num>
  <w:num w:numId="24" w16cid:durableId="494608010">
    <w:abstractNumId w:val="45"/>
  </w:num>
  <w:num w:numId="25" w16cid:durableId="1247884187">
    <w:abstractNumId w:val="3"/>
  </w:num>
  <w:num w:numId="26" w16cid:durableId="1916016441">
    <w:abstractNumId w:val="54"/>
  </w:num>
  <w:num w:numId="27" w16cid:durableId="505052353">
    <w:abstractNumId w:val="23"/>
  </w:num>
  <w:num w:numId="28" w16cid:durableId="1405569149">
    <w:abstractNumId w:val="38"/>
  </w:num>
  <w:num w:numId="29" w16cid:durableId="668287566">
    <w:abstractNumId w:val="10"/>
  </w:num>
  <w:num w:numId="30" w16cid:durableId="2105031349">
    <w:abstractNumId w:val="6"/>
  </w:num>
  <w:num w:numId="31" w16cid:durableId="2070951881">
    <w:abstractNumId w:val="26"/>
  </w:num>
  <w:num w:numId="32" w16cid:durableId="1542861694">
    <w:abstractNumId w:val="55"/>
  </w:num>
  <w:num w:numId="33" w16cid:durableId="785268528">
    <w:abstractNumId w:val="13"/>
  </w:num>
  <w:num w:numId="34" w16cid:durableId="1471091785">
    <w:abstractNumId w:val="52"/>
  </w:num>
  <w:num w:numId="35" w16cid:durableId="1638486063">
    <w:abstractNumId w:val="56"/>
  </w:num>
  <w:num w:numId="36" w16cid:durableId="1954166085">
    <w:abstractNumId w:val="12"/>
  </w:num>
  <w:num w:numId="37" w16cid:durableId="1314870911">
    <w:abstractNumId w:val="57"/>
  </w:num>
  <w:num w:numId="38" w16cid:durableId="1081175184">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9774261">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3879127">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8972620">
    <w:abstractNumId w:val="20"/>
  </w:num>
  <w:num w:numId="42" w16cid:durableId="4864801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67899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418021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08059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134064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39128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901332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112617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881078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917181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362247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439691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327845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072551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511004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606760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665251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67096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620333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005743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4742798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485756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3382641">
    <w:abstractNumId w:val="58"/>
    <w:lvlOverride w:ilvl="0">
      <w:startOverride w:val="1"/>
    </w:lvlOverride>
  </w:num>
  <w:num w:numId="65" w16cid:durableId="193614987">
    <w:abstractNumId w:val="58"/>
    <w:lvlOverride w:ilvl="0">
      <w:startOverride w:val="1"/>
    </w:lvlOverride>
  </w:num>
  <w:num w:numId="66" w16cid:durableId="129089135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20947008">
    <w:abstractNumId w:val="46"/>
  </w:num>
  <w:num w:numId="68" w16cid:durableId="2001301180">
    <w:abstractNumId w:val="18"/>
  </w:num>
  <w:num w:numId="69" w16cid:durableId="1884052037">
    <w:abstractNumId w:val="9"/>
  </w:num>
  <w:num w:numId="70" w16cid:durableId="1567454225">
    <w:abstractNumId w:val="51"/>
  </w:num>
  <w:num w:numId="71" w16cid:durableId="1845898599">
    <w:abstractNumId w:val="16"/>
  </w:num>
  <w:num w:numId="72" w16cid:durableId="10184342">
    <w:abstractNumId w:val="21"/>
  </w:num>
  <w:num w:numId="73" w16cid:durableId="1489976516">
    <w:abstractNumId w:val="32"/>
  </w:num>
  <w:num w:numId="74" w16cid:durableId="68894298">
    <w:abstractNumId w:val="58"/>
    <w:lvlOverride w:ilvl="0">
      <w:startOverride w:val="1"/>
    </w:lvlOverride>
  </w:num>
  <w:num w:numId="75" w16cid:durableId="1621491876">
    <w:abstractNumId w:val="48"/>
  </w:num>
  <w:num w:numId="76" w16cid:durableId="1072895169">
    <w:abstractNumId w:val="49"/>
  </w:num>
  <w:num w:numId="77" w16cid:durableId="706373050">
    <w:abstractNumId w:val="4"/>
  </w:num>
  <w:num w:numId="78" w16cid:durableId="1098525480">
    <w:abstractNumId w:val="35"/>
  </w:num>
  <w:num w:numId="79" w16cid:durableId="430980517">
    <w:abstractNumId w:val="42"/>
  </w:num>
  <w:num w:numId="80" w16cid:durableId="978340127">
    <w:abstractNumId w:val="34"/>
  </w:num>
  <w:num w:numId="81" w16cid:durableId="1009480821">
    <w:abstractNumId w:val="15"/>
  </w:num>
  <w:num w:numId="82" w16cid:durableId="404839464">
    <w:abstractNumId w:val="47"/>
  </w:num>
  <w:num w:numId="83" w16cid:durableId="1823232155">
    <w:abstractNumId w:val="30"/>
  </w:num>
  <w:num w:numId="84" w16cid:durableId="87775673">
    <w:abstractNumId w:val="7"/>
  </w:num>
  <w:num w:numId="85" w16cid:durableId="421726569">
    <w:abstractNumId w:val="36"/>
  </w:num>
  <w:num w:numId="86" w16cid:durableId="2100826716">
    <w:abstractNumId w:val="39"/>
  </w:num>
  <w:num w:numId="87" w16cid:durableId="1464881408">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31762572">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51504395">
    <w:abstractNumId w:val="58"/>
    <w:lvlOverride w:ilvl="0">
      <w:startOverride w:val="1"/>
    </w:lvlOverride>
  </w:num>
  <w:num w:numId="90" w16cid:durableId="1629312858">
    <w:abstractNumId w:val="43"/>
  </w:num>
  <w:num w:numId="91" w16cid:durableId="1537161012">
    <w:abstractNumId w:val="14"/>
  </w:num>
  <w:num w:numId="92" w16cid:durableId="341779513">
    <w:abstractNumId w:val="37"/>
  </w:num>
  <w:num w:numId="93" w16cid:durableId="1383361638">
    <w:abstractNumId w:val="27"/>
  </w:num>
  <w:num w:numId="94" w16cid:durableId="489253892">
    <w:abstractNumId w:val="11"/>
  </w:num>
  <w:num w:numId="95" w16cid:durableId="1725713186">
    <w:abstractNumId w:val="11"/>
  </w:num>
  <w:num w:numId="96" w16cid:durableId="1299720271">
    <w:abstractNumId w:val="11"/>
  </w:num>
  <w:num w:numId="97" w16cid:durableId="139418740">
    <w:abstractNumId w:val="11"/>
  </w:num>
  <w:num w:numId="98" w16cid:durableId="1973245585">
    <w:abstractNumId w:val="11"/>
  </w:num>
  <w:num w:numId="99" w16cid:durableId="967781540">
    <w:abstractNumId w:val="11"/>
  </w:num>
  <w:num w:numId="100" w16cid:durableId="1858692329">
    <w:abstractNumId w:val="11"/>
  </w:num>
  <w:num w:numId="101" w16cid:durableId="1204099890">
    <w:abstractNumId w:val="11"/>
  </w:num>
  <w:num w:numId="102" w16cid:durableId="380326376">
    <w:abstractNumId w:val="11"/>
  </w:num>
  <w:num w:numId="103" w16cid:durableId="2101676997">
    <w:abstractNumId w:val="11"/>
  </w:num>
  <w:num w:numId="104" w16cid:durableId="322127731">
    <w:abstractNumId w:val="11"/>
  </w:num>
  <w:num w:numId="105" w16cid:durableId="1288580620">
    <w:abstractNumId w:val="44"/>
  </w:num>
  <w:num w:numId="106" w16cid:durableId="922951410">
    <w:abstractNumId w:val="29"/>
  </w:num>
  <w:num w:numId="107" w16cid:durableId="1316644504">
    <w:abstractNumId w:val="53"/>
  </w:num>
  <w:num w:numId="108" w16cid:durableId="271597336">
    <w:abstractNumId w:val="58"/>
    <w:lvlOverride w:ilvl="0">
      <w:startOverride w:val="1"/>
    </w:lvlOverride>
  </w:num>
  <w:num w:numId="109" w16cid:durableId="1367637931">
    <w:abstractNumId w:val="2"/>
  </w:num>
  <w:num w:numId="110" w16cid:durableId="1948198657">
    <w:abstractNumId w:val="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FE"/>
    <w:rsid w:val="00000039"/>
    <w:rsid w:val="00000049"/>
    <w:rsid w:val="00000056"/>
    <w:rsid w:val="00000230"/>
    <w:rsid w:val="0000034F"/>
    <w:rsid w:val="000003CD"/>
    <w:rsid w:val="00000407"/>
    <w:rsid w:val="00000609"/>
    <w:rsid w:val="0000078E"/>
    <w:rsid w:val="0000085B"/>
    <w:rsid w:val="0000085F"/>
    <w:rsid w:val="000008BC"/>
    <w:rsid w:val="00000983"/>
    <w:rsid w:val="00000A61"/>
    <w:rsid w:val="00000BB4"/>
    <w:rsid w:val="00000C75"/>
    <w:rsid w:val="00000E98"/>
    <w:rsid w:val="00000EB6"/>
    <w:rsid w:val="00000F82"/>
    <w:rsid w:val="00000FD5"/>
    <w:rsid w:val="00000FFA"/>
    <w:rsid w:val="00001075"/>
    <w:rsid w:val="000010B0"/>
    <w:rsid w:val="000010D0"/>
    <w:rsid w:val="000010F1"/>
    <w:rsid w:val="00001147"/>
    <w:rsid w:val="00001324"/>
    <w:rsid w:val="00001404"/>
    <w:rsid w:val="0000142E"/>
    <w:rsid w:val="0000176D"/>
    <w:rsid w:val="0000181D"/>
    <w:rsid w:val="00001947"/>
    <w:rsid w:val="00001B36"/>
    <w:rsid w:val="00001C17"/>
    <w:rsid w:val="00001CF2"/>
    <w:rsid w:val="00001D19"/>
    <w:rsid w:val="00001DFB"/>
    <w:rsid w:val="00001E09"/>
    <w:rsid w:val="00001EC2"/>
    <w:rsid w:val="00001EC5"/>
    <w:rsid w:val="00001F47"/>
    <w:rsid w:val="0000217B"/>
    <w:rsid w:val="000021AB"/>
    <w:rsid w:val="00002277"/>
    <w:rsid w:val="0000228F"/>
    <w:rsid w:val="000022BA"/>
    <w:rsid w:val="00002384"/>
    <w:rsid w:val="000023CE"/>
    <w:rsid w:val="000023F2"/>
    <w:rsid w:val="00002447"/>
    <w:rsid w:val="00002597"/>
    <w:rsid w:val="0000271F"/>
    <w:rsid w:val="00002746"/>
    <w:rsid w:val="0000286F"/>
    <w:rsid w:val="000028C5"/>
    <w:rsid w:val="0000293F"/>
    <w:rsid w:val="0000299E"/>
    <w:rsid w:val="000029B9"/>
    <w:rsid w:val="00002BA9"/>
    <w:rsid w:val="00002BED"/>
    <w:rsid w:val="00002C21"/>
    <w:rsid w:val="00002C36"/>
    <w:rsid w:val="00002DD2"/>
    <w:rsid w:val="00002ED2"/>
    <w:rsid w:val="00002FBE"/>
    <w:rsid w:val="00002FD2"/>
    <w:rsid w:val="0000300E"/>
    <w:rsid w:val="000030AC"/>
    <w:rsid w:val="000030F0"/>
    <w:rsid w:val="000031A5"/>
    <w:rsid w:val="000031EF"/>
    <w:rsid w:val="000031FF"/>
    <w:rsid w:val="0000333A"/>
    <w:rsid w:val="000033E7"/>
    <w:rsid w:val="0000342C"/>
    <w:rsid w:val="00003493"/>
    <w:rsid w:val="000034C6"/>
    <w:rsid w:val="000034CD"/>
    <w:rsid w:val="0000356A"/>
    <w:rsid w:val="000035FF"/>
    <w:rsid w:val="000036A9"/>
    <w:rsid w:val="00003765"/>
    <w:rsid w:val="00003831"/>
    <w:rsid w:val="00003844"/>
    <w:rsid w:val="000038FF"/>
    <w:rsid w:val="00003A35"/>
    <w:rsid w:val="00003A3C"/>
    <w:rsid w:val="00003AF7"/>
    <w:rsid w:val="00003E91"/>
    <w:rsid w:val="00003E98"/>
    <w:rsid w:val="00003EE1"/>
    <w:rsid w:val="00003F02"/>
    <w:rsid w:val="00003F50"/>
    <w:rsid w:val="00003F70"/>
    <w:rsid w:val="000040A9"/>
    <w:rsid w:val="00004106"/>
    <w:rsid w:val="00004167"/>
    <w:rsid w:val="00004177"/>
    <w:rsid w:val="000041C7"/>
    <w:rsid w:val="000041EB"/>
    <w:rsid w:val="000041EF"/>
    <w:rsid w:val="00004373"/>
    <w:rsid w:val="0000449C"/>
    <w:rsid w:val="0000449D"/>
    <w:rsid w:val="0000449F"/>
    <w:rsid w:val="0000451F"/>
    <w:rsid w:val="00004532"/>
    <w:rsid w:val="00004535"/>
    <w:rsid w:val="000047DA"/>
    <w:rsid w:val="000047F0"/>
    <w:rsid w:val="000048E0"/>
    <w:rsid w:val="00004A1A"/>
    <w:rsid w:val="00004A20"/>
    <w:rsid w:val="00004B28"/>
    <w:rsid w:val="00004B2D"/>
    <w:rsid w:val="00004B3F"/>
    <w:rsid w:val="00004BBE"/>
    <w:rsid w:val="00004C14"/>
    <w:rsid w:val="00004C6D"/>
    <w:rsid w:val="00004CF9"/>
    <w:rsid w:val="00004D60"/>
    <w:rsid w:val="00004EE1"/>
    <w:rsid w:val="00004EE5"/>
    <w:rsid w:val="00005162"/>
    <w:rsid w:val="000052A5"/>
    <w:rsid w:val="000053AF"/>
    <w:rsid w:val="000054E8"/>
    <w:rsid w:val="00005631"/>
    <w:rsid w:val="00005780"/>
    <w:rsid w:val="0000587E"/>
    <w:rsid w:val="00005A54"/>
    <w:rsid w:val="00005AF1"/>
    <w:rsid w:val="00005AF8"/>
    <w:rsid w:val="00005BEC"/>
    <w:rsid w:val="00005C9B"/>
    <w:rsid w:val="00005DE6"/>
    <w:rsid w:val="00005DFC"/>
    <w:rsid w:val="00005E17"/>
    <w:rsid w:val="00005E52"/>
    <w:rsid w:val="00005EFA"/>
    <w:rsid w:val="00005F25"/>
    <w:rsid w:val="00006023"/>
    <w:rsid w:val="0000610C"/>
    <w:rsid w:val="00006198"/>
    <w:rsid w:val="00006233"/>
    <w:rsid w:val="000062BF"/>
    <w:rsid w:val="0000635E"/>
    <w:rsid w:val="00006475"/>
    <w:rsid w:val="00006479"/>
    <w:rsid w:val="00006568"/>
    <w:rsid w:val="00006632"/>
    <w:rsid w:val="000066DB"/>
    <w:rsid w:val="0000679D"/>
    <w:rsid w:val="000068DA"/>
    <w:rsid w:val="000068E9"/>
    <w:rsid w:val="00006912"/>
    <w:rsid w:val="000069DB"/>
    <w:rsid w:val="00006F9F"/>
    <w:rsid w:val="0000701B"/>
    <w:rsid w:val="00007029"/>
    <w:rsid w:val="0000711B"/>
    <w:rsid w:val="0000717E"/>
    <w:rsid w:val="00007307"/>
    <w:rsid w:val="000073EA"/>
    <w:rsid w:val="000074B8"/>
    <w:rsid w:val="00007541"/>
    <w:rsid w:val="000075D5"/>
    <w:rsid w:val="00007718"/>
    <w:rsid w:val="0000771C"/>
    <w:rsid w:val="000077A0"/>
    <w:rsid w:val="000077DB"/>
    <w:rsid w:val="00007858"/>
    <w:rsid w:val="0000788A"/>
    <w:rsid w:val="0000794F"/>
    <w:rsid w:val="000079CA"/>
    <w:rsid w:val="00007A82"/>
    <w:rsid w:val="00007AE2"/>
    <w:rsid w:val="00007B99"/>
    <w:rsid w:val="00007CB8"/>
    <w:rsid w:val="00007F32"/>
    <w:rsid w:val="00007F6D"/>
    <w:rsid w:val="00007FB0"/>
    <w:rsid w:val="000100A7"/>
    <w:rsid w:val="000101B4"/>
    <w:rsid w:val="000101C3"/>
    <w:rsid w:val="000101F4"/>
    <w:rsid w:val="00010237"/>
    <w:rsid w:val="00010354"/>
    <w:rsid w:val="00010356"/>
    <w:rsid w:val="0001037A"/>
    <w:rsid w:val="000103FE"/>
    <w:rsid w:val="00010522"/>
    <w:rsid w:val="000105F8"/>
    <w:rsid w:val="00010633"/>
    <w:rsid w:val="00010695"/>
    <w:rsid w:val="000107C1"/>
    <w:rsid w:val="0001084C"/>
    <w:rsid w:val="0001086A"/>
    <w:rsid w:val="000108D7"/>
    <w:rsid w:val="000108F1"/>
    <w:rsid w:val="000109A3"/>
    <w:rsid w:val="00010AD4"/>
    <w:rsid w:val="00010B1C"/>
    <w:rsid w:val="00010B9B"/>
    <w:rsid w:val="00010C64"/>
    <w:rsid w:val="00010C75"/>
    <w:rsid w:val="00010CF1"/>
    <w:rsid w:val="00010D4F"/>
    <w:rsid w:val="00010F86"/>
    <w:rsid w:val="0001110B"/>
    <w:rsid w:val="000112B7"/>
    <w:rsid w:val="000112D4"/>
    <w:rsid w:val="0001134E"/>
    <w:rsid w:val="00011473"/>
    <w:rsid w:val="0001148F"/>
    <w:rsid w:val="00011503"/>
    <w:rsid w:val="0001152E"/>
    <w:rsid w:val="000115D9"/>
    <w:rsid w:val="000115F1"/>
    <w:rsid w:val="00011725"/>
    <w:rsid w:val="00011754"/>
    <w:rsid w:val="0001179C"/>
    <w:rsid w:val="00011882"/>
    <w:rsid w:val="00011893"/>
    <w:rsid w:val="000119E6"/>
    <w:rsid w:val="000119F8"/>
    <w:rsid w:val="00011A0A"/>
    <w:rsid w:val="00011A67"/>
    <w:rsid w:val="00011B0C"/>
    <w:rsid w:val="00011CB0"/>
    <w:rsid w:val="00011E71"/>
    <w:rsid w:val="00011F1D"/>
    <w:rsid w:val="00011FC3"/>
    <w:rsid w:val="00012074"/>
    <w:rsid w:val="00012098"/>
    <w:rsid w:val="000120B4"/>
    <w:rsid w:val="0001213C"/>
    <w:rsid w:val="000121A6"/>
    <w:rsid w:val="000121FF"/>
    <w:rsid w:val="00012232"/>
    <w:rsid w:val="0001224C"/>
    <w:rsid w:val="00012380"/>
    <w:rsid w:val="0001240E"/>
    <w:rsid w:val="00012671"/>
    <w:rsid w:val="0001271B"/>
    <w:rsid w:val="0001278D"/>
    <w:rsid w:val="000128D1"/>
    <w:rsid w:val="00012972"/>
    <w:rsid w:val="00012AC0"/>
    <w:rsid w:val="00012B1F"/>
    <w:rsid w:val="00012B62"/>
    <w:rsid w:val="00012B85"/>
    <w:rsid w:val="00012BDF"/>
    <w:rsid w:val="00012C2E"/>
    <w:rsid w:val="00012C3C"/>
    <w:rsid w:val="00012C62"/>
    <w:rsid w:val="00012CF7"/>
    <w:rsid w:val="00012D5F"/>
    <w:rsid w:val="00012E5C"/>
    <w:rsid w:val="00012EFC"/>
    <w:rsid w:val="00012F7A"/>
    <w:rsid w:val="00012FE7"/>
    <w:rsid w:val="000130B5"/>
    <w:rsid w:val="0001322A"/>
    <w:rsid w:val="00013251"/>
    <w:rsid w:val="00013412"/>
    <w:rsid w:val="0001341A"/>
    <w:rsid w:val="00013438"/>
    <w:rsid w:val="000134F4"/>
    <w:rsid w:val="000135C0"/>
    <w:rsid w:val="00013610"/>
    <w:rsid w:val="0001365D"/>
    <w:rsid w:val="000136F8"/>
    <w:rsid w:val="000137A8"/>
    <w:rsid w:val="0001388C"/>
    <w:rsid w:val="0001392F"/>
    <w:rsid w:val="0001396A"/>
    <w:rsid w:val="00013AC9"/>
    <w:rsid w:val="00013AD5"/>
    <w:rsid w:val="00013BE2"/>
    <w:rsid w:val="00013C29"/>
    <w:rsid w:val="00013CA6"/>
    <w:rsid w:val="00013CEA"/>
    <w:rsid w:val="00013DBA"/>
    <w:rsid w:val="00013EC9"/>
    <w:rsid w:val="00013EE1"/>
    <w:rsid w:val="00013F20"/>
    <w:rsid w:val="0001404F"/>
    <w:rsid w:val="00014050"/>
    <w:rsid w:val="000140AC"/>
    <w:rsid w:val="000140FD"/>
    <w:rsid w:val="000140FE"/>
    <w:rsid w:val="000141C7"/>
    <w:rsid w:val="000141F4"/>
    <w:rsid w:val="000142A3"/>
    <w:rsid w:val="0001442C"/>
    <w:rsid w:val="0001453E"/>
    <w:rsid w:val="00014613"/>
    <w:rsid w:val="00014874"/>
    <w:rsid w:val="00014892"/>
    <w:rsid w:val="000148E9"/>
    <w:rsid w:val="0001491B"/>
    <w:rsid w:val="000149CB"/>
    <w:rsid w:val="00014A19"/>
    <w:rsid w:val="00014ADC"/>
    <w:rsid w:val="00014AF0"/>
    <w:rsid w:val="00014B06"/>
    <w:rsid w:val="00014B1A"/>
    <w:rsid w:val="00014CF2"/>
    <w:rsid w:val="00014D48"/>
    <w:rsid w:val="00014D72"/>
    <w:rsid w:val="00014D86"/>
    <w:rsid w:val="00014D88"/>
    <w:rsid w:val="00015026"/>
    <w:rsid w:val="000150C4"/>
    <w:rsid w:val="0001517E"/>
    <w:rsid w:val="000151DE"/>
    <w:rsid w:val="00015305"/>
    <w:rsid w:val="00015490"/>
    <w:rsid w:val="00015553"/>
    <w:rsid w:val="0001562D"/>
    <w:rsid w:val="00015644"/>
    <w:rsid w:val="0001582C"/>
    <w:rsid w:val="00015B07"/>
    <w:rsid w:val="00015B68"/>
    <w:rsid w:val="00015B6C"/>
    <w:rsid w:val="00015C54"/>
    <w:rsid w:val="00015CA7"/>
    <w:rsid w:val="00015CF7"/>
    <w:rsid w:val="00015D94"/>
    <w:rsid w:val="00015DB0"/>
    <w:rsid w:val="00015DC7"/>
    <w:rsid w:val="00015E04"/>
    <w:rsid w:val="00015E47"/>
    <w:rsid w:val="00015E90"/>
    <w:rsid w:val="00015EDC"/>
    <w:rsid w:val="00015EF9"/>
    <w:rsid w:val="00015F04"/>
    <w:rsid w:val="00015FBB"/>
    <w:rsid w:val="00016049"/>
    <w:rsid w:val="0001609D"/>
    <w:rsid w:val="000161CF"/>
    <w:rsid w:val="00016245"/>
    <w:rsid w:val="0001629C"/>
    <w:rsid w:val="0001638D"/>
    <w:rsid w:val="0001643A"/>
    <w:rsid w:val="000165DE"/>
    <w:rsid w:val="00016655"/>
    <w:rsid w:val="000168A8"/>
    <w:rsid w:val="00016996"/>
    <w:rsid w:val="000169DB"/>
    <w:rsid w:val="000169E2"/>
    <w:rsid w:val="00016AA3"/>
    <w:rsid w:val="00016B2F"/>
    <w:rsid w:val="00016B60"/>
    <w:rsid w:val="00016B90"/>
    <w:rsid w:val="00016C2B"/>
    <w:rsid w:val="00016CF1"/>
    <w:rsid w:val="00016DE4"/>
    <w:rsid w:val="00016EBE"/>
    <w:rsid w:val="00016F6D"/>
    <w:rsid w:val="00016FFE"/>
    <w:rsid w:val="0001706D"/>
    <w:rsid w:val="0001709B"/>
    <w:rsid w:val="000171F5"/>
    <w:rsid w:val="0001722D"/>
    <w:rsid w:val="00017248"/>
    <w:rsid w:val="00017397"/>
    <w:rsid w:val="000173CD"/>
    <w:rsid w:val="00017424"/>
    <w:rsid w:val="00017472"/>
    <w:rsid w:val="0001749F"/>
    <w:rsid w:val="000174FA"/>
    <w:rsid w:val="0001752A"/>
    <w:rsid w:val="0001759E"/>
    <w:rsid w:val="0001768D"/>
    <w:rsid w:val="000176E7"/>
    <w:rsid w:val="000176E9"/>
    <w:rsid w:val="0001777D"/>
    <w:rsid w:val="000177BB"/>
    <w:rsid w:val="000178DE"/>
    <w:rsid w:val="000178DF"/>
    <w:rsid w:val="00017AC4"/>
    <w:rsid w:val="00017AE3"/>
    <w:rsid w:val="00017AF2"/>
    <w:rsid w:val="00017B69"/>
    <w:rsid w:val="00017BB1"/>
    <w:rsid w:val="00017C0C"/>
    <w:rsid w:val="00017D37"/>
    <w:rsid w:val="00017D4D"/>
    <w:rsid w:val="00017DC1"/>
    <w:rsid w:val="00017DCC"/>
    <w:rsid w:val="00017E1C"/>
    <w:rsid w:val="00017E24"/>
    <w:rsid w:val="00017E93"/>
    <w:rsid w:val="00017FC3"/>
    <w:rsid w:val="000200DA"/>
    <w:rsid w:val="00020186"/>
    <w:rsid w:val="000201E2"/>
    <w:rsid w:val="0002035A"/>
    <w:rsid w:val="0002049E"/>
    <w:rsid w:val="000204D1"/>
    <w:rsid w:val="0002058D"/>
    <w:rsid w:val="00020666"/>
    <w:rsid w:val="000206C8"/>
    <w:rsid w:val="000206FF"/>
    <w:rsid w:val="00020779"/>
    <w:rsid w:val="000207E3"/>
    <w:rsid w:val="0002086F"/>
    <w:rsid w:val="000209C6"/>
    <w:rsid w:val="00020B32"/>
    <w:rsid w:val="00020B94"/>
    <w:rsid w:val="00020D4E"/>
    <w:rsid w:val="00020DDE"/>
    <w:rsid w:val="00020E48"/>
    <w:rsid w:val="00020E7B"/>
    <w:rsid w:val="00020EF8"/>
    <w:rsid w:val="00021067"/>
    <w:rsid w:val="0002106D"/>
    <w:rsid w:val="00021090"/>
    <w:rsid w:val="0002112C"/>
    <w:rsid w:val="00021177"/>
    <w:rsid w:val="00021191"/>
    <w:rsid w:val="00021270"/>
    <w:rsid w:val="0002136C"/>
    <w:rsid w:val="0002140A"/>
    <w:rsid w:val="00021598"/>
    <w:rsid w:val="0002170B"/>
    <w:rsid w:val="00021721"/>
    <w:rsid w:val="0002175E"/>
    <w:rsid w:val="00021810"/>
    <w:rsid w:val="0002189B"/>
    <w:rsid w:val="000218E4"/>
    <w:rsid w:val="000219A6"/>
    <w:rsid w:val="00021A39"/>
    <w:rsid w:val="00021ADD"/>
    <w:rsid w:val="00021B43"/>
    <w:rsid w:val="00021B51"/>
    <w:rsid w:val="00021B98"/>
    <w:rsid w:val="00021BC9"/>
    <w:rsid w:val="00021C62"/>
    <w:rsid w:val="00021CDE"/>
    <w:rsid w:val="00021DBD"/>
    <w:rsid w:val="00021DE5"/>
    <w:rsid w:val="00021E49"/>
    <w:rsid w:val="00021E65"/>
    <w:rsid w:val="00021F03"/>
    <w:rsid w:val="00021F26"/>
    <w:rsid w:val="00021FBE"/>
    <w:rsid w:val="00021FF1"/>
    <w:rsid w:val="00022044"/>
    <w:rsid w:val="00022046"/>
    <w:rsid w:val="0002213D"/>
    <w:rsid w:val="00022295"/>
    <w:rsid w:val="0002234D"/>
    <w:rsid w:val="00022361"/>
    <w:rsid w:val="0002236E"/>
    <w:rsid w:val="000223AA"/>
    <w:rsid w:val="00022407"/>
    <w:rsid w:val="000224A2"/>
    <w:rsid w:val="000225EE"/>
    <w:rsid w:val="000226E9"/>
    <w:rsid w:val="00022703"/>
    <w:rsid w:val="00022709"/>
    <w:rsid w:val="000227AE"/>
    <w:rsid w:val="000228AF"/>
    <w:rsid w:val="00022A1E"/>
    <w:rsid w:val="00022A94"/>
    <w:rsid w:val="00022AD1"/>
    <w:rsid w:val="00022B1E"/>
    <w:rsid w:val="00022CD6"/>
    <w:rsid w:val="00022D11"/>
    <w:rsid w:val="00022D68"/>
    <w:rsid w:val="00022E48"/>
    <w:rsid w:val="00022E4D"/>
    <w:rsid w:val="00022EAF"/>
    <w:rsid w:val="00022FDC"/>
    <w:rsid w:val="00022FDD"/>
    <w:rsid w:val="00023043"/>
    <w:rsid w:val="00023067"/>
    <w:rsid w:val="0002312E"/>
    <w:rsid w:val="0002319B"/>
    <w:rsid w:val="000232FB"/>
    <w:rsid w:val="00023309"/>
    <w:rsid w:val="00023381"/>
    <w:rsid w:val="000233F4"/>
    <w:rsid w:val="00023407"/>
    <w:rsid w:val="00023408"/>
    <w:rsid w:val="0002345F"/>
    <w:rsid w:val="0002351B"/>
    <w:rsid w:val="00023530"/>
    <w:rsid w:val="0002356C"/>
    <w:rsid w:val="00023609"/>
    <w:rsid w:val="00023623"/>
    <w:rsid w:val="00023658"/>
    <w:rsid w:val="00023697"/>
    <w:rsid w:val="000236D6"/>
    <w:rsid w:val="00023771"/>
    <w:rsid w:val="0002386F"/>
    <w:rsid w:val="00023957"/>
    <w:rsid w:val="0002397F"/>
    <w:rsid w:val="0002398C"/>
    <w:rsid w:val="000239E8"/>
    <w:rsid w:val="00023BDD"/>
    <w:rsid w:val="00023C6F"/>
    <w:rsid w:val="00023CA4"/>
    <w:rsid w:val="00023D5E"/>
    <w:rsid w:val="00023D6E"/>
    <w:rsid w:val="00023D7D"/>
    <w:rsid w:val="00023E3B"/>
    <w:rsid w:val="00023F3A"/>
    <w:rsid w:val="00023F7D"/>
    <w:rsid w:val="00023FD1"/>
    <w:rsid w:val="000240C3"/>
    <w:rsid w:val="000240DA"/>
    <w:rsid w:val="00024206"/>
    <w:rsid w:val="00024299"/>
    <w:rsid w:val="000242D0"/>
    <w:rsid w:val="0002438D"/>
    <w:rsid w:val="000243E1"/>
    <w:rsid w:val="0002440A"/>
    <w:rsid w:val="00024441"/>
    <w:rsid w:val="00024521"/>
    <w:rsid w:val="000245FB"/>
    <w:rsid w:val="00024614"/>
    <w:rsid w:val="000246F3"/>
    <w:rsid w:val="0002475F"/>
    <w:rsid w:val="00024814"/>
    <w:rsid w:val="000248E5"/>
    <w:rsid w:val="00024922"/>
    <w:rsid w:val="00024AF1"/>
    <w:rsid w:val="00024B7F"/>
    <w:rsid w:val="00024B86"/>
    <w:rsid w:val="00024C03"/>
    <w:rsid w:val="00024D9B"/>
    <w:rsid w:val="00024EA6"/>
    <w:rsid w:val="00024EEC"/>
    <w:rsid w:val="00024F53"/>
    <w:rsid w:val="00024F65"/>
    <w:rsid w:val="00024FA6"/>
    <w:rsid w:val="00024FEE"/>
    <w:rsid w:val="00025016"/>
    <w:rsid w:val="0002514F"/>
    <w:rsid w:val="00025175"/>
    <w:rsid w:val="00025199"/>
    <w:rsid w:val="0002525F"/>
    <w:rsid w:val="0002529A"/>
    <w:rsid w:val="00025314"/>
    <w:rsid w:val="0002538F"/>
    <w:rsid w:val="000253EB"/>
    <w:rsid w:val="00025400"/>
    <w:rsid w:val="0002544D"/>
    <w:rsid w:val="00025453"/>
    <w:rsid w:val="000254A5"/>
    <w:rsid w:val="000254D1"/>
    <w:rsid w:val="0002550D"/>
    <w:rsid w:val="0002550E"/>
    <w:rsid w:val="00025658"/>
    <w:rsid w:val="000256CD"/>
    <w:rsid w:val="000256D1"/>
    <w:rsid w:val="0002587C"/>
    <w:rsid w:val="00025884"/>
    <w:rsid w:val="000258D0"/>
    <w:rsid w:val="000258FC"/>
    <w:rsid w:val="0002590C"/>
    <w:rsid w:val="00025969"/>
    <w:rsid w:val="0002599C"/>
    <w:rsid w:val="00025A29"/>
    <w:rsid w:val="00025AF8"/>
    <w:rsid w:val="00025B1B"/>
    <w:rsid w:val="00025CD9"/>
    <w:rsid w:val="00025D2A"/>
    <w:rsid w:val="00025D3E"/>
    <w:rsid w:val="00025D66"/>
    <w:rsid w:val="00025DD4"/>
    <w:rsid w:val="00025E92"/>
    <w:rsid w:val="00025EEB"/>
    <w:rsid w:val="00025F93"/>
    <w:rsid w:val="00025FDB"/>
    <w:rsid w:val="00025FF8"/>
    <w:rsid w:val="0002606F"/>
    <w:rsid w:val="00026213"/>
    <w:rsid w:val="00026276"/>
    <w:rsid w:val="0002633A"/>
    <w:rsid w:val="00026340"/>
    <w:rsid w:val="000263AF"/>
    <w:rsid w:val="000263D6"/>
    <w:rsid w:val="00026416"/>
    <w:rsid w:val="000264BF"/>
    <w:rsid w:val="000265D1"/>
    <w:rsid w:val="00026668"/>
    <w:rsid w:val="0002672F"/>
    <w:rsid w:val="00026809"/>
    <w:rsid w:val="0002684A"/>
    <w:rsid w:val="00026868"/>
    <w:rsid w:val="00026924"/>
    <w:rsid w:val="00026A9E"/>
    <w:rsid w:val="00026B04"/>
    <w:rsid w:val="00026B6D"/>
    <w:rsid w:val="00026B84"/>
    <w:rsid w:val="00026BBF"/>
    <w:rsid w:val="00026C49"/>
    <w:rsid w:val="00026C74"/>
    <w:rsid w:val="00026D09"/>
    <w:rsid w:val="00026E68"/>
    <w:rsid w:val="00026FF3"/>
    <w:rsid w:val="00027081"/>
    <w:rsid w:val="000270DF"/>
    <w:rsid w:val="00027103"/>
    <w:rsid w:val="00027164"/>
    <w:rsid w:val="000272CC"/>
    <w:rsid w:val="00027326"/>
    <w:rsid w:val="000273F7"/>
    <w:rsid w:val="00027433"/>
    <w:rsid w:val="0002752C"/>
    <w:rsid w:val="00027596"/>
    <w:rsid w:val="000275F8"/>
    <w:rsid w:val="0002760D"/>
    <w:rsid w:val="00027640"/>
    <w:rsid w:val="000276B6"/>
    <w:rsid w:val="000276D6"/>
    <w:rsid w:val="00027832"/>
    <w:rsid w:val="00027833"/>
    <w:rsid w:val="000278AF"/>
    <w:rsid w:val="00027AA6"/>
    <w:rsid w:val="00027ADA"/>
    <w:rsid w:val="00027B93"/>
    <w:rsid w:val="00027CE8"/>
    <w:rsid w:val="00027D5F"/>
    <w:rsid w:val="00027DB7"/>
    <w:rsid w:val="00027ECB"/>
    <w:rsid w:val="00027ECD"/>
    <w:rsid w:val="00027F3F"/>
    <w:rsid w:val="00027FB3"/>
    <w:rsid w:val="00027FDA"/>
    <w:rsid w:val="00030012"/>
    <w:rsid w:val="00030031"/>
    <w:rsid w:val="000300BE"/>
    <w:rsid w:val="0003015B"/>
    <w:rsid w:val="00030367"/>
    <w:rsid w:val="000303FF"/>
    <w:rsid w:val="00030472"/>
    <w:rsid w:val="00030515"/>
    <w:rsid w:val="00030544"/>
    <w:rsid w:val="00030684"/>
    <w:rsid w:val="00030766"/>
    <w:rsid w:val="00030767"/>
    <w:rsid w:val="0003078B"/>
    <w:rsid w:val="00030827"/>
    <w:rsid w:val="00030887"/>
    <w:rsid w:val="0003099E"/>
    <w:rsid w:val="00030A8A"/>
    <w:rsid w:val="00030AF7"/>
    <w:rsid w:val="00030B99"/>
    <w:rsid w:val="00030BC0"/>
    <w:rsid w:val="00030C4B"/>
    <w:rsid w:val="00030C7C"/>
    <w:rsid w:val="00030CBD"/>
    <w:rsid w:val="00030D20"/>
    <w:rsid w:val="00030D4D"/>
    <w:rsid w:val="00030E95"/>
    <w:rsid w:val="00030F3F"/>
    <w:rsid w:val="00030F58"/>
    <w:rsid w:val="00031087"/>
    <w:rsid w:val="00031167"/>
    <w:rsid w:val="00031199"/>
    <w:rsid w:val="00031294"/>
    <w:rsid w:val="0003133B"/>
    <w:rsid w:val="00031381"/>
    <w:rsid w:val="00031434"/>
    <w:rsid w:val="000314AD"/>
    <w:rsid w:val="00031628"/>
    <w:rsid w:val="0003168F"/>
    <w:rsid w:val="000316F6"/>
    <w:rsid w:val="00031747"/>
    <w:rsid w:val="00031795"/>
    <w:rsid w:val="0003187C"/>
    <w:rsid w:val="00031989"/>
    <w:rsid w:val="00031BBB"/>
    <w:rsid w:val="00031BEF"/>
    <w:rsid w:val="00031CFB"/>
    <w:rsid w:val="00031D06"/>
    <w:rsid w:val="00031D70"/>
    <w:rsid w:val="00031D8F"/>
    <w:rsid w:val="00031DAF"/>
    <w:rsid w:val="00031DF2"/>
    <w:rsid w:val="00031E6C"/>
    <w:rsid w:val="00031EC8"/>
    <w:rsid w:val="00031F4B"/>
    <w:rsid w:val="00031F6E"/>
    <w:rsid w:val="00031FF9"/>
    <w:rsid w:val="00031FFD"/>
    <w:rsid w:val="00032058"/>
    <w:rsid w:val="00032078"/>
    <w:rsid w:val="0003220E"/>
    <w:rsid w:val="0003221F"/>
    <w:rsid w:val="000323E3"/>
    <w:rsid w:val="00032482"/>
    <w:rsid w:val="000324D2"/>
    <w:rsid w:val="00032587"/>
    <w:rsid w:val="00032635"/>
    <w:rsid w:val="000326BD"/>
    <w:rsid w:val="000327B4"/>
    <w:rsid w:val="00032807"/>
    <w:rsid w:val="00032A36"/>
    <w:rsid w:val="00032AC7"/>
    <w:rsid w:val="00032B5E"/>
    <w:rsid w:val="00032B94"/>
    <w:rsid w:val="00032C6F"/>
    <w:rsid w:val="00032EC6"/>
    <w:rsid w:val="00033001"/>
    <w:rsid w:val="0003303D"/>
    <w:rsid w:val="00033088"/>
    <w:rsid w:val="00033091"/>
    <w:rsid w:val="000330AB"/>
    <w:rsid w:val="00033174"/>
    <w:rsid w:val="000331B4"/>
    <w:rsid w:val="0003325F"/>
    <w:rsid w:val="0003327F"/>
    <w:rsid w:val="00033478"/>
    <w:rsid w:val="000334CD"/>
    <w:rsid w:val="0003363F"/>
    <w:rsid w:val="00033692"/>
    <w:rsid w:val="00033776"/>
    <w:rsid w:val="000337C5"/>
    <w:rsid w:val="00033931"/>
    <w:rsid w:val="00033B49"/>
    <w:rsid w:val="00033B77"/>
    <w:rsid w:val="00033B86"/>
    <w:rsid w:val="00033BC5"/>
    <w:rsid w:val="00033CB3"/>
    <w:rsid w:val="00033D1A"/>
    <w:rsid w:val="00033D25"/>
    <w:rsid w:val="00033D65"/>
    <w:rsid w:val="00033E5D"/>
    <w:rsid w:val="00033E9A"/>
    <w:rsid w:val="00033F87"/>
    <w:rsid w:val="00033F93"/>
    <w:rsid w:val="00033F9F"/>
    <w:rsid w:val="00034167"/>
    <w:rsid w:val="000341A9"/>
    <w:rsid w:val="000342C5"/>
    <w:rsid w:val="0003433B"/>
    <w:rsid w:val="00034394"/>
    <w:rsid w:val="00034401"/>
    <w:rsid w:val="00034414"/>
    <w:rsid w:val="000346E7"/>
    <w:rsid w:val="000347CA"/>
    <w:rsid w:val="000347F6"/>
    <w:rsid w:val="0003481B"/>
    <w:rsid w:val="00034A47"/>
    <w:rsid w:val="00034BEA"/>
    <w:rsid w:val="00034C44"/>
    <w:rsid w:val="00034C54"/>
    <w:rsid w:val="00034CCE"/>
    <w:rsid w:val="00034D82"/>
    <w:rsid w:val="00034EB1"/>
    <w:rsid w:val="00034F31"/>
    <w:rsid w:val="00034FA8"/>
    <w:rsid w:val="00034FB2"/>
    <w:rsid w:val="0003510C"/>
    <w:rsid w:val="00035135"/>
    <w:rsid w:val="0003525C"/>
    <w:rsid w:val="0003527C"/>
    <w:rsid w:val="00035290"/>
    <w:rsid w:val="000352CE"/>
    <w:rsid w:val="0003532F"/>
    <w:rsid w:val="000353D1"/>
    <w:rsid w:val="00035407"/>
    <w:rsid w:val="0003543B"/>
    <w:rsid w:val="00035442"/>
    <w:rsid w:val="000354A3"/>
    <w:rsid w:val="00035696"/>
    <w:rsid w:val="0003570F"/>
    <w:rsid w:val="00035776"/>
    <w:rsid w:val="0003581C"/>
    <w:rsid w:val="00035835"/>
    <w:rsid w:val="00035865"/>
    <w:rsid w:val="0003597B"/>
    <w:rsid w:val="00035A00"/>
    <w:rsid w:val="00035B26"/>
    <w:rsid w:val="00035B73"/>
    <w:rsid w:val="00035C28"/>
    <w:rsid w:val="00035C83"/>
    <w:rsid w:val="00035CBF"/>
    <w:rsid w:val="00035D30"/>
    <w:rsid w:val="00035D59"/>
    <w:rsid w:val="00035D6E"/>
    <w:rsid w:val="00035E0E"/>
    <w:rsid w:val="00035E35"/>
    <w:rsid w:val="00035E43"/>
    <w:rsid w:val="0003602B"/>
    <w:rsid w:val="000360A5"/>
    <w:rsid w:val="0003621D"/>
    <w:rsid w:val="00036225"/>
    <w:rsid w:val="00036235"/>
    <w:rsid w:val="000362AE"/>
    <w:rsid w:val="000362D5"/>
    <w:rsid w:val="000363B3"/>
    <w:rsid w:val="0003658E"/>
    <w:rsid w:val="00036690"/>
    <w:rsid w:val="000366F9"/>
    <w:rsid w:val="0003681F"/>
    <w:rsid w:val="000368E9"/>
    <w:rsid w:val="000369AB"/>
    <w:rsid w:val="00036A1E"/>
    <w:rsid w:val="00036B73"/>
    <w:rsid w:val="00036BC6"/>
    <w:rsid w:val="00036C36"/>
    <w:rsid w:val="00036CEA"/>
    <w:rsid w:val="00036D5E"/>
    <w:rsid w:val="00036DBF"/>
    <w:rsid w:val="00036E18"/>
    <w:rsid w:val="00036F3E"/>
    <w:rsid w:val="00036FE5"/>
    <w:rsid w:val="000371B2"/>
    <w:rsid w:val="000371BD"/>
    <w:rsid w:val="00037210"/>
    <w:rsid w:val="0003724B"/>
    <w:rsid w:val="000372A5"/>
    <w:rsid w:val="0003733F"/>
    <w:rsid w:val="00037351"/>
    <w:rsid w:val="000373BC"/>
    <w:rsid w:val="000373C0"/>
    <w:rsid w:val="00037473"/>
    <w:rsid w:val="000374C7"/>
    <w:rsid w:val="0003758F"/>
    <w:rsid w:val="0003759B"/>
    <w:rsid w:val="0003760E"/>
    <w:rsid w:val="00037615"/>
    <w:rsid w:val="0003762F"/>
    <w:rsid w:val="0003775C"/>
    <w:rsid w:val="000377C2"/>
    <w:rsid w:val="000377F8"/>
    <w:rsid w:val="00037864"/>
    <w:rsid w:val="000378A0"/>
    <w:rsid w:val="000378CC"/>
    <w:rsid w:val="00037AC9"/>
    <w:rsid w:val="00037B0C"/>
    <w:rsid w:val="00037B98"/>
    <w:rsid w:val="00037C22"/>
    <w:rsid w:val="00037C6C"/>
    <w:rsid w:val="00037CE7"/>
    <w:rsid w:val="00037D45"/>
    <w:rsid w:val="00037D78"/>
    <w:rsid w:val="00037EDF"/>
    <w:rsid w:val="00037FBE"/>
    <w:rsid w:val="00037FCD"/>
    <w:rsid w:val="00040100"/>
    <w:rsid w:val="00040250"/>
    <w:rsid w:val="000402AA"/>
    <w:rsid w:val="000402DD"/>
    <w:rsid w:val="00040486"/>
    <w:rsid w:val="0004064E"/>
    <w:rsid w:val="000407E9"/>
    <w:rsid w:val="000407F9"/>
    <w:rsid w:val="000408E3"/>
    <w:rsid w:val="000408E5"/>
    <w:rsid w:val="000408E9"/>
    <w:rsid w:val="000408FE"/>
    <w:rsid w:val="0004091B"/>
    <w:rsid w:val="0004095D"/>
    <w:rsid w:val="000409A2"/>
    <w:rsid w:val="00040B3E"/>
    <w:rsid w:val="00040B59"/>
    <w:rsid w:val="00040BBB"/>
    <w:rsid w:val="00040CBB"/>
    <w:rsid w:val="00040CF4"/>
    <w:rsid w:val="00040D7C"/>
    <w:rsid w:val="00040DEF"/>
    <w:rsid w:val="00040E3B"/>
    <w:rsid w:val="00040E77"/>
    <w:rsid w:val="000410B1"/>
    <w:rsid w:val="0004120C"/>
    <w:rsid w:val="00041229"/>
    <w:rsid w:val="00041274"/>
    <w:rsid w:val="00041315"/>
    <w:rsid w:val="00041359"/>
    <w:rsid w:val="00041390"/>
    <w:rsid w:val="00041409"/>
    <w:rsid w:val="00041483"/>
    <w:rsid w:val="000414D5"/>
    <w:rsid w:val="000414F2"/>
    <w:rsid w:val="0004179A"/>
    <w:rsid w:val="00041889"/>
    <w:rsid w:val="000418D0"/>
    <w:rsid w:val="00041901"/>
    <w:rsid w:val="0004196F"/>
    <w:rsid w:val="000419A2"/>
    <w:rsid w:val="00041A13"/>
    <w:rsid w:val="00041A3B"/>
    <w:rsid w:val="00041AF6"/>
    <w:rsid w:val="00041B18"/>
    <w:rsid w:val="00041B6D"/>
    <w:rsid w:val="00041BB0"/>
    <w:rsid w:val="00041E87"/>
    <w:rsid w:val="00041EDC"/>
    <w:rsid w:val="00041F34"/>
    <w:rsid w:val="00041F37"/>
    <w:rsid w:val="00041F3A"/>
    <w:rsid w:val="00041F42"/>
    <w:rsid w:val="00042081"/>
    <w:rsid w:val="00042275"/>
    <w:rsid w:val="00042289"/>
    <w:rsid w:val="000422C1"/>
    <w:rsid w:val="0004235F"/>
    <w:rsid w:val="000423D7"/>
    <w:rsid w:val="000423F5"/>
    <w:rsid w:val="0004248A"/>
    <w:rsid w:val="0004252C"/>
    <w:rsid w:val="00042554"/>
    <w:rsid w:val="00042684"/>
    <w:rsid w:val="000426E6"/>
    <w:rsid w:val="00042711"/>
    <w:rsid w:val="0004274D"/>
    <w:rsid w:val="000427E3"/>
    <w:rsid w:val="0004283E"/>
    <w:rsid w:val="00042881"/>
    <w:rsid w:val="000428AE"/>
    <w:rsid w:val="00042962"/>
    <w:rsid w:val="00042983"/>
    <w:rsid w:val="00042ADA"/>
    <w:rsid w:val="00042B07"/>
    <w:rsid w:val="00042B92"/>
    <w:rsid w:val="00042BA7"/>
    <w:rsid w:val="00042C0B"/>
    <w:rsid w:val="00042CB0"/>
    <w:rsid w:val="00042E39"/>
    <w:rsid w:val="00042EED"/>
    <w:rsid w:val="00042F20"/>
    <w:rsid w:val="00042FA8"/>
    <w:rsid w:val="00042FE9"/>
    <w:rsid w:val="00042FFC"/>
    <w:rsid w:val="0004303B"/>
    <w:rsid w:val="000430A8"/>
    <w:rsid w:val="00043132"/>
    <w:rsid w:val="0004320E"/>
    <w:rsid w:val="0004323C"/>
    <w:rsid w:val="00043318"/>
    <w:rsid w:val="00043348"/>
    <w:rsid w:val="000433C8"/>
    <w:rsid w:val="000433E2"/>
    <w:rsid w:val="00043416"/>
    <w:rsid w:val="00043431"/>
    <w:rsid w:val="00043439"/>
    <w:rsid w:val="000435BC"/>
    <w:rsid w:val="00043612"/>
    <w:rsid w:val="00043666"/>
    <w:rsid w:val="00043759"/>
    <w:rsid w:val="0004377D"/>
    <w:rsid w:val="00043867"/>
    <w:rsid w:val="0004390C"/>
    <w:rsid w:val="00043935"/>
    <w:rsid w:val="00043975"/>
    <w:rsid w:val="000439C7"/>
    <w:rsid w:val="00043A04"/>
    <w:rsid w:val="00043BBB"/>
    <w:rsid w:val="00043C19"/>
    <w:rsid w:val="00043F2B"/>
    <w:rsid w:val="00043FC4"/>
    <w:rsid w:val="0004423D"/>
    <w:rsid w:val="000442BC"/>
    <w:rsid w:val="000442C1"/>
    <w:rsid w:val="000443F9"/>
    <w:rsid w:val="00044410"/>
    <w:rsid w:val="00044461"/>
    <w:rsid w:val="00044490"/>
    <w:rsid w:val="000444DB"/>
    <w:rsid w:val="000445EB"/>
    <w:rsid w:val="0004460C"/>
    <w:rsid w:val="00044681"/>
    <w:rsid w:val="000446E9"/>
    <w:rsid w:val="00044812"/>
    <w:rsid w:val="00044815"/>
    <w:rsid w:val="0004483F"/>
    <w:rsid w:val="000448D3"/>
    <w:rsid w:val="00044951"/>
    <w:rsid w:val="000449EE"/>
    <w:rsid w:val="00044A30"/>
    <w:rsid w:val="00044A4F"/>
    <w:rsid w:val="00044A90"/>
    <w:rsid w:val="00044ABE"/>
    <w:rsid w:val="00044B09"/>
    <w:rsid w:val="00044B62"/>
    <w:rsid w:val="00044C74"/>
    <w:rsid w:val="00044C9F"/>
    <w:rsid w:val="00044E47"/>
    <w:rsid w:val="00044E5D"/>
    <w:rsid w:val="00044F3E"/>
    <w:rsid w:val="00044F6B"/>
    <w:rsid w:val="00044FB6"/>
    <w:rsid w:val="00044FCB"/>
    <w:rsid w:val="00045001"/>
    <w:rsid w:val="000450F4"/>
    <w:rsid w:val="00045219"/>
    <w:rsid w:val="000452D1"/>
    <w:rsid w:val="00045369"/>
    <w:rsid w:val="0004536A"/>
    <w:rsid w:val="0004537D"/>
    <w:rsid w:val="000454DB"/>
    <w:rsid w:val="00045507"/>
    <w:rsid w:val="000455DD"/>
    <w:rsid w:val="0004561B"/>
    <w:rsid w:val="00045697"/>
    <w:rsid w:val="000456CD"/>
    <w:rsid w:val="000457D6"/>
    <w:rsid w:val="0004581C"/>
    <w:rsid w:val="0004581D"/>
    <w:rsid w:val="000458FF"/>
    <w:rsid w:val="00045914"/>
    <w:rsid w:val="00045926"/>
    <w:rsid w:val="00045988"/>
    <w:rsid w:val="0004598C"/>
    <w:rsid w:val="00045A4C"/>
    <w:rsid w:val="00045ABE"/>
    <w:rsid w:val="00045B17"/>
    <w:rsid w:val="00045B40"/>
    <w:rsid w:val="00045C61"/>
    <w:rsid w:val="00045C7E"/>
    <w:rsid w:val="00045E27"/>
    <w:rsid w:val="00045E2F"/>
    <w:rsid w:val="00045F6C"/>
    <w:rsid w:val="0004600F"/>
    <w:rsid w:val="000460DE"/>
    <w:rsid w:val="0004612C"/>
    <w:rsid w:val="00046153"/>
    <w:rsid w:val="00046294"/>
    <w:rsid w:val="000462CB"/>
    <w:rsid w:val="0004637D"/>
    <w:rsid w:val="00046411"/>
    <w:rsid w:val="00046457"/>
    <w:rsid w:val="0004651B"/>
    <w:rsid w:val="00046549"/>
    <w:rsid w:val="00046560"/>
    <w:rsid w:val="000466E6"/>
    <w:rsid w:val="00046749"/>
    <w:rsid w:val="0004675D"/>
    <w:rsid w:val="00046856"/>
    <w:rsid w:val="0004689A"/>
    <w:rsid w:val="000468D2"/>
    <w:rsid w:val="0004690F"/>
    <w:rsid w:val="00046945"/>
    <w:rsid w:val="00046A36"/>
    <w:rsid w:val="00046BCD"/>
    <w:rsid w:val="00046BD8"/>
    <w:rsid w:val="00046C14"/>
    <w:rsid w:val="00046C34"/>
    <w:rsid w:val="00046C63"/>
    <w:rsid w:val="00046CA5"/>
    <w:rsid w:val="00046F01"/>
    <w:rsid w:val="00046F35"/>
    <w:rsid w:val="00046FE8"/>
    <w:rsid w:val="0004704A"/>
    <w:rsid w:val="00047181"/>
    <w:rsid w:val="000471B4"/>
    <w:rsid w:val="00047260"/>
    <w:rsid w:val="00047284"/>
    <w:rsid w:val="000472AE"/>
    <w:rsid w:val="000472C1"/>
    <w:rsid w:val="00047374"/>
    <w:rsid w:val="000473B9"/>
    <w:rsid w:val="0004741E"/>
    <w:rsid w:val="0004747F"/>
    <w:rsid w:val="000474D4"/>
    <w:rsid w:val="0004759B"/>
    <w:rsid w:val="0004764D"/>
    <w:rsid w:val="000476F7"/>
    <w:rsid w:val="00047740"/>
    <w:rsid w:val="000477FE"/>
    <w:rsid w:val="00047883"/>
    <w:rsid w:val="000479DF"/>
    <w:rsid w:val="00047B14"/>
    <w:rsid w:val="00047B47"/>
    <w:rsid w:val="00047BA0"/>
    <w:rsid w:val="00047BD3"/>
    <w:rsid w:val="00047D19"/>
    <w:rsid w:val="00047E11"/>
    <w:rsid w:val="00047EAA"/>
    <w:rsid w:val="00047F43"/>
    <w:rsid w:val="00047F91"/>
    <w:rsid w:val="0005000A"/>
    <w:rsid w:val="000500F1"/>
    <w:rsid w:val="000501D3"/>
    <w:rsid w:val="000501FC"/>
    <w:rsid w:val="00050226"/>
    <w:rsid w:val="000502BE"/>
    <w:rsid w:val="00050306"/>
    <w:rsid w:val="00050310"/>
    <w:rsid w:val="0005055B"/>
    <w:rsid w:val="000505A1"/>
    <w:rsid w:val="000505AB"/>
    <w:rsid w:val="00050689"/>
    <w:rsid w:val="00050728"/>
    <w:rsid w:val="00050787"/>
    <w:rsid w:val="00050792"/>
    <w:rsid w:val="00050836"/>
    <w:rsid w:val="00050842"/>
    <w:rsid w:val="00050865"/>
    <w:rsid w:val="00050930"/>
    <w:rsid w:val="00050979"/>
    <w:rsid w:val="000509A1"/>
    <w:rsid w:val="000509D7"/>
    <w:rsid w:val="00050A36"/>
    <w:rsid w:val="00050AFE"/>
    <w:rsid w:val="00050B51"/>
    <w:rsid w:val="00050B5E"/>
    <w:rsid w:val="00050BCC"/>
    <w:rsid w:val="00050C17"/>
    <w:rsid w:val="00050C71"/>
    <w:rsid w:val="00050C8C"/>
    <w:rsid w:val="00050D15"/>
    <w:rsid w:val="00050DDB"/>
    <w:rsid w:val="00050E04"/>
    <w:rsid w:val="00050E6A"/>
    <w:rsid w:val="00050E85"/>
    <w:rsid w:val="00050EE7"/>
    <w:rsid w:val="00050EFF"/>
    <w:rsid w:val="00050F2A"/>
    <w:rsid w:val="0005104C"/>
    <w:rsid w:val="00051097"/>
    <w:rsid w:val="000510EB"/>
    <w:rsid w:val="000510EE"/>
    <w:rsid w:val="000510F1"/>
    <w:rsid w:val="000510F9"/>
    <w:rsid w:val="00051110"/>
    <w:rsid w:val="000511D8"/>
    <w:rsid w:val="000512A7"/>
    <w:rsid w:val="00051342"/>
    <w:rsid w:val="0005138B"/>
    <w:rsid w:val="000513DE"/>
    <w:rsid w:val="00051705"/>
    <w:rsid w:val="00051731"/>
    <w:rsid w:val="00051777"/>
    <w:rsid w:val="00051817"/>
    <w:rsid w:val="00051B1E"/>
    <w:rsid w:val="00051B40"/>
    <w:rsid w:val="00051BD2"/>
    <w:rsid w:val="00051D1D"/>
    <w:rsid w:val="00051DE1"/>
    <w:rsid w:val="00051E99"/>
    <w:rsid w:val="00051EA5"/>
    <w:rsid w:val="00052044"/>
    <w:rsid w:val="00052046"/>
    <w:rsid w:val="000520A4"/>
    <w:rsid w:val="00052197"/>
    <w:rsid w:val="000521B9"/>
    <w:rsid w:val="000521DB"/>
    <w:rsid w:val="00052232"/>
    <w:rsid w:val="000522B7"/>
    <w:rsid w:val="000522CD"/>
    <w:rsid w:val="0005233F"/>
    <w:rsid w:val="00052351"/>
    <w:rsid w:val="000523D3"/>
    <w:rsid w:val="00052496"/>
    <w:rsid w:val="000524A4"/>
    <w:rsid w:val="000524E3"/>
    <w:rsid w:val="00052513"/>
    <w:rsid w:val="00052688"/>
    <w:rsid w:val="0005269E"/>
    <w:rsid w:val="0005270B"/>
    <w:rsid w:val="00052740"/>
    <w:rsid w:val="00052750"/>
    <w:rsid w:val="000527F6"/>
    <w:rsid w:val="00052895"/>
    <w:rsid w:val="000528C1"/>
    <w:rsid w:val="00052B10"/>
    <w:rsid w:val="00052B99"/>
    <w:rsid w:val="00052B9B"/>
    <w:rsid w:val="00052C65"/>
    <w:rsid w:val="00052CC2"/>
    <w:rsid w:val="00052DAA"/>
    <w:rsid w:val="00052DD7"/>
    <w:rsid w:val="00052ED2"/>
    <w:rsid w:val="00052EE0"/>
    <w:rsid w:val="00053099"/>
    <w:rsid w:val="000530F7"/>
    <w:rsid w:val="0005321A"/>
    <w:rsid w:val="00053268"/>
    <w:rsid w:val="00053573"/>
    <w:rsid w:val="000535AA"/>
    <w:rsid w:val="00053645"/>
    <w:rsid w:val="0005364A"/>
    <w:rsid w:val="0005365D"/>
    <w:rsid w:val="00053780"/>
    <w:rsid w:val="000537EA"/>
    <w:rsid w:val="00053829"/>
    <w:rsid w:val="00053942"/>
    <w:rsid w:val="00053994"/>
    <w:rsid w:val="00053A22"/>
    <w:rsid w:val="00053A46"/>
    <w:rsid w:val="00053B03"/>
    <w:rsid w:val="00053C2E"/>
    <w:rsid w:val="00053CFC"/>
    <w:rsid w:val="00053D11"/>
    <w:rsid w:val="00053DE1"/>
    <w:rsid w:val="00053E14"/>
    <w:rsid w:val="00053E27"/>
    <w:rsid w:val="00053E48"/>
    <w:rsid w:val="00053F00"/>
    <w:rsid w:val="00053FDB"/>
    <w:rsid w:val="0005405D"/>
    <w:rsid w:val="000540BD"/>
    <w:rsid w:val="000542B2"/>
    <w:rsid w:val="0005438E"/>
    <w:rsid w:val="0005441D"/>
    <w:rsid w:val="000544DE"/>
    <w:rsid w:val="000545A9"/>
    <w:rsid w:val="000545EB"/>
    <w:rsid w:val="000545F3"/>
    <w:rsid w:val="000545F9"/>
    <w:rsid w:val="00054601"/>
    <w:rsid w:val="00054708"/>
    <w:rsid w:val="00054710"/>
    <w:rsid w:val="000547DE"/>
    <w:rsid w:val="000547F2"/>
    <w:rsid w:val="000548F4"/>
    <w:rsid w:val="00054920"/>
    <w:rsid w:val="0005498E"/>
    <w:rsid w:val="000549BC"/>
    <w:rsid w:val="00054AAD"/>
    <w:rsid w:val="00054B69"/>
    <w:rsid w:val="00054C37"/>
    <w:rsid w:val="00054C6E"/>
    <w:rsid w:val="00054C78"/>
    <w:rsid w:val="00054CC9"/>
    <w:rsid w:val="00054D86"/>
    <w:rsid w:val="00054E79"/>
    <w:rsid w:val="00054EC5"/>
    <w:rsid w:val="00054F55"/>
    <w:rsid w:val="00054FA2"/>
    <w:rsid w:val="00054FDC"/>
    <w:rsid w:val="00055029"/>
    <w:rsid w:val="00055086"/>
    <w:rsid w:val="00055133"/>
    <w:rsid w:val="0005513B"/>
    <w:rsid w:val="000551AC"/>
    <w:rsid w:val="000551BA"/>
    <w:rsid w:val="000551DD"/>
    <w:rsid w:val="00055222"/>
    <w:rsid w:val="00055274"/>
    <w:rsid w:val="000552CB"/>
    <w:rsid w:val="000552D2"/>
    <w:rsid w:val="00055383"/>
    <w:rsid w:val="000555A6"/>
    <w:rsid w:val="0005562F"/>
    <w:rsid w:val="00055697"/>
    <w:rsid w:val="000556A7"/>
    <w:rsid w:val="0005579F"/>
    <w:rsid w:val="000557EE"/>
    <w:rsid w:val="00055805"/>
    <w:rsid w:val="0005584C"/>
    <w:rsid w:val="0005593F"/>
    <w:rsid w:val="00055993"/>
    <w:rsid w:val="000559E5"/>
    <w:rsid w:val="000559F7"/>
    <w:rsid w:val="00055B2B"/>
    <w:rsid w:val="00055B33"/>
    <w:rsid w:val="00055CA4"/>
    <w:rsid w:val="00055CD2"/>
    <w:rsid w:val="00055D1B"/>
    <w:rsid w:val="00055D41"/>
    <w:rsid w:val="00055D9C"/>
    <w:rsid w:val="00055DAD"/>
    <w:rsid w:val="00055DD3"/>
    <w:rsid w:val="00055DF7"/>
    <w:rsid w:val="00055E0E"/>
    <w:rsid w:val="00055E71"/>
    <w:rsid w:val="00055F8A"/>
    <w:rsid w:val="00055F8E"/>
    <w:rsid w:val="0005602D"/>
    <w:rsid w:val="000561AD"/>
    <w:rsid w:val="000561C4"/>
    <w:rsid w:val="00056413"/>
    <w:rsid w:val="000564FB"/>
    <w:rsid w:val="0005651B"/>
    <w:rsid w:val="000565B3"/>
    <w:rsid w:val="000565F2"/>
    <w:rsid w:val="0005676C"/>
    <w:rsid w:val="00056794"/>
    <w:rsid w:val="000567B3"/>
    <w:rsid w:val="00056880"/>
    <w:rsid w:val="0005688D"/>
    <w:rsid w:val="000568BD"/>
    <w:rsid w:val="00056933"/>
    <w:rsid w:val="00056985"/>
    <w:rsid w:val="00056A05"/>
    <w:rsid w:val="00056BFF"/>
    <w:rsid w:val="00056C4C"/>
    <w:rsid w:val="00056CC7"/>
    <w:rsid w:val="00056DE1"/>
    <w:rsid w:val="0005707F"/>
    <w:rsid w:val="00057089"/>
    <w:rsid w:val="00057144"/>
    <w:rsid w:val="0005720A"/>
    <w:rsid w:val="000572C7"/>
    <w:rsid w:val="00057319"/>
    <w:rsid w:val="00057354"/>
    <w:rsid w:val="000573CC"/>
    <w:rsid w:val="0005740C"/>
    <w:rsid w:val="0005745F"/>
    <w:rsid w:val="000574F2"/>
    <w:rsid w:val="00057547"/>
    <w:rsid w:val="0005756E"/>
    <w:rsid w:val="0005757E"/>
    <w:rsid w:val="0005759D"/>
    <w:rsid w:val="00057613"/>
    <w:rsid w:val="000576BD"/>
    <w:rsid w:val="000576F1"/>
    <w:rsid w:val="000577B0"/>
    <w:rsid w:val="000577B3"/>
    <w:rsid w:val="0005781D"/>
    <w:rsid w:val="000578A6"/>
    <w:rsid w:val="000578BB"/>
    <w:rsid w:val="00057AF3"/>
    <w:rsid w:val="00057E14"/>
    <w:rsid w:val="00057E31"/>
    <w:rsid w:val="00057E45"/>
    <w:rsid w:val="00057EBE"/>
    <w:rsid w:val="00057FEC"/>
    <w:rsid w:val="00060049"/>
    <w:rsid w:val="00060207"/>
    <w:rsid w:val="0006024C"/>
    <w:rsid w:val="00060286"/>
    <w:rsid w:val="000602AF"/>
    <w:rsid w:val="000602C1"/>
    <w:rsid w:val="000602C6"/>
    <w:rsid w:val="000603D0"/>
    <w:rsid w:val="00060436"/>
    <w:rsid w:val="0006057A"/>
    <w:rsid w:val="000605A6"/>
    <w:rsid w:val="000605DE"/>
    <w:rsid w:val="0006061D"/>
    <w:rsid w:val="00060780"/>
    <w:rsid w:val="000607A5"/>
    <w:rsid w:val="000607B2"/>
    <w:rsid w:val="000607BD"/>
    <w:rsid w:val="00060855"/>
    <w:rsid w:val="000609B1"/>
    <w:rsid w:val="00060A3D"/>
    <w:rsid w:val="00060B31"/>
    <w:rsid w:val="00060B6E"/>
    <w:rsid w:val="00060CD2"/>
    <w:rsid w:val="00060D52"/>
    <w:rsid w:val="00060D70"/>
    <w:rsid w:val="00060DD4"/>
    <w:rsid w:val="00060E42"/>
    <w:rsid w:val="00060E53"/>
    <w:rsid w:val="00060E55"/>
    <w:rsid w:val="00060F13"/>
    <w:rsid w:val="00060F18"/>
    <w:rsid w:val="00060FFB"/>
    <w:rsid w:val="000610C9"/>
    <w:rsid w:val="000612EF"/>
    <w:rsid w:val="00061325"/>
    <w:rsid w:val="0006140B"/>
    <w:rsid w:val="00061490"/>
    <w:rsid w:val="000614A4"/>
    <w:rsid w:val="000614A9"/>
    <w:rsid w:val="000617B0"/>
    <w:rsid w:val="000617F2"/>
    <w:rsid w:val="0006184F"/>
    <w:rsid w:val="00061895"/>
    <w:rsid w:val="000618A5"/>
    <w:rsid w:val="0006190A"/>
    <w:rsid w:val="00061925"/>
    <w:rsid w:val="0006193C"/>
    <w:rsid w:val="00061949"/>
    <w:rsid w:val="00061A0B"/>
    <w:rsid w:val="00061A6B"/>
    <w:rsid w:val="00061AAA"/>
    <w:rsid w:val="00061C13"/>
    <w:rsid w:val="00061C25"/>
    <w:rsid w:val="00061D3C"/>
    <w:rsid w:val="00061D4C"/>
    <w:rsid w:val="00061F3A"/>
    <w:rsid w:val="00061FF7"/>
    <w:rsid w:val="00062053"/>
    <w:rsid w:val="000620CB"/>
    <w:rsid w:val="000620DF"/>
    <w:rsid w:val="00062180"/>
    <w:rsid w:val="000621AC"/>
    <w:rsid w:val="000621C4"/>
    <w:rsid w:val="0006224E"/>
    <w:rsid w:val="0006228B"/>
    <w:rsid w:val="000622AA"/>
    <w:rsid w:val="000622DD"/>
    <w:rsid w:val="000622FD"/>
    <w:rsid w:val="000623BB"/>
    <w:rsid w:val="000623F6"/>
    <w:rsid w:val="000624AA"/>
    <w:rsid w:val="00062545"/>
    <w:rsid w:val="000625F9"/>
    <w:rsid w:val="00062705"/>
    <w:rsid w:val="00062772"/>
    <w:rsid w:val="000627B0"/>
    <w:rsid w:val="00062908"/>
    <w:rsid w:val="00062985"/>
    <w:rsid w:val="00062A6B"/>
    <w:rsid w:val="00062A7C"/>
    <w:rsid w:val="00062AC4"/>
    <w:rsid w:val="00062D10"/>
    <w:rsid w:val="00062D54"/>
    <w:rsid w:val="00062E57"/>
    <w:rsid w:val="00062E7B"/>
    <w:rsid w:val="00062F89"/>
    <w:rsid w:val="00062F93"/>
    <w:rsid w:val="00062FD1"/>
    <w:rsid w:val="00062FEF"/>
    <w:rsid w:val="00063011"/>
    <w:rsid w:val="0006302D"/>
    <w:rsid w:val="00063098"/>
    <w:rsid w:val="00063125"/>
    <w:rsid w:val="00063323"/>
    <w:rsid w:val="000633C8"/>
    <w:rsid w:val="00063607"/>
    <w:rsid w:val="00063621"/>
    <w:rsid w:val="00063701"/>
    <w:rsid w:val="0006378D"/>
    <w:rsid w:val="000637F1"/>
    <w:rsid w:val="0006380D"/>
    <w:rsid w:val="00063866"/>
    <w:rsid w:val="000638C9"/>
    <w:rsid w:val="000638CB"/>
    <w:rsid w:val="000638E4"/>
    <w:rsid w:val="0006396D"/>
    <w:rsid w:val="00063977"/>
    <w:rsid w:val="00063A8E"/>
    <w:rsid w:val="00063D2E"/>
    <w:rsid w:val="00063D30"/>
    <w:rsid w:val="00063D5D"/>
    <w:rsid w:val="00063E4F"/>
    <w:rsid w:val="00063F45"/>
    <w:rsid w:val="00063F8D"/>
    <w:rsid w:val="0006412C"/>
    <w:rsid w:val="0006412D"/>
    <w:rsid w:val="0006414B"/>
    <w:rsid w:val="00064294"/>
    <w:rsid w:val="00064431"/>
    <w:rsid w:val="00064439"/>
    <w:rsid w:val="000644B1"/>
    <w:rsid w:val="00064549"/>
    <w:rsid w:val="00064555"/>
    <w:rsid w:val="00064560"/>
    <w:rsid w:val="000645C4"/>
    <w:rsid w:val="00064646"/>
    <w:rsid w:val="00064758"/>
    <w:rsid w:val="000647F9"/>
    <w:rsid w:val="00064856"/>
    <w:rsid w:val="00064890"/>
    <w:rsid w:val="00064893"/>
    <w:rsid w:val="000648F0"/>
    <w:rsid w:val="000648FC"/>
    <w:rsid w:val="00064988"/>
    <w:rsid w:val="000649DB"/>
    <w:rsid w:val="00064AA3"/>
    <w:rsid w:val="00064B65"/>
    <w:rsid w:val="00064B66"/>
    <w:rsid w:val="00064C68"/>
    <w:rsid w:val="00064D47"/>
    <w:rsid w:val="00064D55"/>
    <w:rsid w:val="00064F52"/>
    <w:rsid w:val="00064F65"/>
    <w:rsid w:val="00064F98"/>
    <w:rsid w:val="00064FA1"/>
    <w:rsid w:val="00064FC0"/>
    <w:rsid w:val="000650CD"/>
    <w:rsid w:val="000650CE"/>
    <w:rsid w:val="000650D6"/>
    <w:rsid w:val="0006515B"/>
    <w:rsid w:val="00065161"/>
    <w:rsid w:val="000651D5"/>
    <w:rsid w:val="000652AE"/>
    <w:rsid w:val="000653D6"/>
    <w:rsid w:val="00065477"/>
    <w:rsid w:val="0006547C"/>
    <w:rsid w:val="00065495"/>
    <w:rsid w:val="0006553C"/>
    <w:rsid w:val="00065577"/>
    <w:rsid w:val="00065706"/>
    <w:rsid w:val="0006577A"/>
    <w:rsid w:val="00065A53"/>
    <w:rsid w:val="00065B14"/>
    <w:rsid w:val="00065BB4"/>
    <w:rsid w:val="00065BC0"/>
    <w:rsid w:val="00065BC5"/>
    <w:rsid w:val="00065C63"/>
    <w:rsid w:val="00065CCE"/>
    <w:rsid w:val="00065D5E"/>
    <w:rsid w:val="00065F3B"/>
    <w:rsid w:val="00065FF5"/>
    <w:rsid w:val="00066004"/>
    <w:rsid w:val="0006604C"/>
    <w:rsid w:val="000660DF"/>
    <w:rsid w:val="00066111"/>
    <w:rsid w:val="000661BE"/>
    <w:rsid w:val="0006626B"/>
    <w:rsid w:val="00066288"/>
    <w:rsid w:val="000662F8"/>
    <w:rsid w:val="000663D0"/>
    <w:rsid w:val="000663F9"/>
    <w:rsid w:val="00066425"/>
    <w:rsid w:val="0006644D"/>
    <w:rsid w:val="000664E6"/>
    <w:rsid w:val="00066536"/>
    <w:rsid w:val="0006654A"/>
    <w:rsid w:val="00066560"/>
    <w:rsid w:val="00066621"/>
    <w:rsid w:val="00066749"/>
    <w:rsid w:val="000668D8"/>
    <w:rsid w:val="000668EE"/>
    <w:rsid w:val="000669AC"/>
    <w:rsid w:val="00066A7F"/>
    <w:rsid w:val="00066B3B"/>
    <w:rsid w:val="00066B42"/>
    <w:rsid w:val="00066B48"/>
    <w:rsid w:val="00066BED"/>
    <w:rsid w:val="00066CA3"/>
    <w:rsid w:val="00066CC5"/>
    <w:rsid w:val="00066E04"/>
    <w:rsid w:val="00066F5E"/>
    <w:rsid w:val="00067192"/>
    <w:rsid w:val="0006719F"/>
    <w:rsid w:val="000671AA"/>
    <w:rsid w:val="0006722D"/>
    <w:rsid w:val="000672D8"/>
    <w:rsid w:val="00067582"/>
    <w:rsid w:val="000675D1"/>
    <w:rsid w:val="000675DC"/>
    <w:rsid w:val="000676A0"/>
    <w:rsid w:val="0006782D"/>
    <w:rsid w:val="00067924"/>
    <w:rsid w:val="000679A0"/>
    <w:rsid w:val="000679DB"/>
    <w:rsid w:val="00067A48"/>
    <w:rsid w:val="00067AEA"/>
    <w:rsid w:val="00067B29"/>
    <w:rsid w:val="00067B82"/>
    <w:rsid w:val="00067B9C"/>
    <w:rsid w:val="00067BE1"/>
    <w:rsid w:val="00067C1F"/>
    <w:rsid w:val="00067D73"/>
    <w:rsid w:val="00067DA4"/>
    <w:rsid w:val="00067E61"/>
    <w:rsid w:val="00067E88"/>
    <w:rsid w:val="00067EAB"/>
    <w:rsid w:val="00067F0C"/>
    <w:rsid w:val="00067F5A"/>
    <w:rsid w:val="000700C1"/>
    <w:rsid w:val="000702CC"/>
    <w:rsid w:val="00070304"/>
    <w:rsid w:val="0007038D"/>
    <w:rsid w:val="00070482"/>
    <w:rsid w:val="000704A7"/>
    <w:rsid w:val="00070585"/>
    <w:rsid w:val="000705E5"/>
    <w:rsid w:val="000706EF"/>
    <w:rsid w:val="000706FF"/>
    <w:rsid w:val="00070705"/>
    <w:rsid w:val="0007070E"/>
    <w:rsid w:val="00070732"/>
    <w:rsid w:val="000707E4"/>
    <w:rsid w:val="000707FD"/>
    <w:rsid w:val="00070921"/>
    <w:rsid w:val="00070972"/>
    <w:rsid w:val="000709FA"/>
    <w:rsid w:val="00070ACB"/>
    <w:rsid w:val="00070BAF"/>
    <w:rsid w:val="00070C1F"/>
    <w:rsid w:val="00070C51"/>
    <w:rsid w:val="00070C86"/>
    <w:rsid w:val="00070F00"/>
    <w:rsid w:val="00070F16"/>
    <w:rsid w:val="0007105A"/>
    <w:rsid w:val="000710DF"/>
    <w:rsid w:val="000710F8"/>
    <w:rsid w:val="000713DC"/>
    <w:rsid w:val="00071457"/>
    <w:rsid w:val="000714FB"/>
    <w:rsid w:val="00071507"/>
    <w:rsid w:val="00071633"/>
    <w:rsid w:val="000716DA"/>
    <w:rsid w:val="00071758"/>
    <w:rsid w:val="000717A7"/>
    <w:rsid w:val="00071802"/>
    <w:rsid w:val="0007181A"/>
    <w:rsid w:val="00071849"/>
    <w:rsid w:val="00071884"/>
    <w:rsid w:val="000718BC"/>
    <w:rsid w:val="00071905"/>
    <w:rsid w:val="00071974"/>
    <w:rsid w:val="00071A2F"/>
    <w:rsid w:val="00071AA5"/>
    <w:rsid w:val="00071B6F"/>
    <w:rsid w:val="00071C14"/>
    <w:rsid w:val="00071FA6"/>
    <w:rsid w:val="00071FD4"/>
    <w:rsid w:val="00072021"/>
    <w:rsid w:val="00072027"/>
    <w:rsid w:val="000720B3"/>
    <w:rsid w:val="0007210A"/>
    <w:rsid w:val="000721AD"/>
    <w:rsid w:val="0007223F"/>
    <w:rsid w:val="00072483"/>
    <w:rsid w:val="00072496"/>
    <w:rsid w:val="000724DD"/>
    <w:rsid w:val="00072526"/>
    <w:rsid w:val="000726C7"/>
    <w:rsid w:val="00072773"/>
    <w:rsid w:val="00072871"/>
    <w:rsid w:val="000728BC"/>
    <w:rsid w:val="00072914"/>
    <w:rsid w:val="00072952"/>
    <w:rsid w:val="00072A8C"/>
    <w:rsid w:val="00072AA8"/>
    <w:rsid w:val="00072ADC"/>
    <w:rsid w:val="00072AE9"/>
    <w:rsid w:val="00072BB5"/>
    <w:rsid w:val="00072BCD"/>
    <w:rsid w:val="00072CA6"/>
    <w:rsid w:val="00072CE1"/>
    <w:rsid w:val="00072E6E"/>
    <w:rsid w:val="00072EDC"/>
    <w:rsid w:val="00072FAA"/>
    <w:rsid w:val="00073054"/>
    <w:rsid w:val="0007310B"/>
    <w:rsid w:val="0007311B"/>
    <w:rsid w:val="00073199"/>
    <w:rsid w:val="000731A6"/>
    <w:rsid w:val="000731AE"/>
    <w:rsid w:val="000731E8"/>
    <w:rsid w:val="0007321E"/>
    <w:rsid w:val="0007326D"/>
    <w:rsid w:val="000732DD"/>
    <w:rsid w:val="00073392"/>
    <w:rsid w:val="00073462"/>
    <w:rsid w:val="00073486"/>
    <w:rsid w:val="00073521"/>
    <w:rsid w:val="00073524"/>
    <w:rsid w:val="000735E7"/>
    <w:rsid w:val="00073741"/>
    <w:rsid w:val="00073794"/>
    <w:rsid w:val="00073856"/>
    <w:rsid w:val="000739C5"/>
    <w:rsid w:val="00073AAE"/>
    <w:rsid w:val="00073ADE"/>
    <w:rsid w:val="00073B0D"/>
    <w:rsid w:val="00073BA5"/>
    <w:rsid w:val="00073C34"/>
    <w:rsid w:val="00073C58"/>
    <w:rsid w:val="00073D75"/>
    <w:rsid w:val="00073E2C"/>
    <w:rsid w:val="00074039"/>
    <w:rsid w:val="00074137"/>
    <w:rsid w:val="00074222"/>
    <w:rsid w:val="0007428E"/>
    <w:rsid w:val="000742E0"/>
    <w:rsid w:val="00074352"/>
    <w:rsid w:val="000743BD"/>
    <w:rsid w:val="000744BE"/>
    <w:rsid w:val="000744FF"/>
    <w:rsid w:val="00074532"/>
    <w:rsid w:val="00074564"/>
    <w:rsid w:val="000745BE"/>
    <w:rsid w:val="0007467C"/>
    <w:rsid w:val="000746CF"/>
    <w:rsid w:val="000746E9"/>
    <w:rsid w:val="00074791"/>
    <w:rsid w:val="00074822"/>
    <w:rsid w:val="00074858"/>
    <w:rsid w:val="00074859"/>
    <w:rsid w:val="000748BE"/>
    <w:rsid w:val="000748C3"/>
    <w:rsid w:val="00074916"/>
    <w:rsid w:val="000749FE"/>
    <w:rsid w:val="00074A00"/>
    <w:rsid w:val="00074A3D"/>
    <w:rsid w:val="00074AB8"/>
    <w:rsid w:val="00074AEA"/>
    <w:rsid w:val="00074B29"/>
    <w:rsid w:val="00074C55"/>
    <w:rsid w:val="00074C8B"/>
    <w:rsid w:val="00074D40"/>
    <w:rsid w:val="00074D55"/>
    <w:rsid w:val="00074D5D"/>
    <w:rsid w:val="00074DEB"/>
    <w:rsid w:val="00074E67"/>
    <w:rsid w:val="00074F3B"/>
    <w:rsid w:val="00074F6D"/>
    <w:rsid w:val="00074FBD"/>
    <w:rsid w:val="00074FFE"/>
    <w:rsid w:val="00075019"/>
    <w:rsid w:val="00075037"/>
    <w:rsid w:val="00075162"/>
    <w:rsid w:val="000751C1"/>
    <w:rsid w:val="00075340"/>
    <w:rsid w:val="00075428"/>
    <w:rsid w:val="000754CB"/>
    <w:rsid w:val="0007551C"/>
    <w:rsid w:val="000756C6"/>
    <w:rsid w:val="00075799"/>
    <w:rsid w:val="000757F6"/>
    <w:rsid w:val="00075801"/>
    <w:rsid w:val="00075806"/>
    <w:rsid w:val="00075818"/>
    <w:rsid w:val="00075881"/>
    <w:rsid w:val="000758D0"/>
    <w:rsid w:val="00075AE8"/>
    <w:rsid w:val="00075B32"/>
    <w:rsid w:val="00075B4D"/>
    <w:rsid w:val="00075B57"/>
    <w:rsid w:val="00075B97"/>
    <w:rsid w:val="00075B9E"/>
    <w:rsid w:val="00075C29"/>
    <w:rsid w:val="00075CB4"/>
    <w:rsid w:val="00075CD1"/>
    <w:rsid w:val="00075D11"/>
    <w:rsid w:val="00075D17"/>
    <w:rsid w:val="00075D2E"/>
    <w:rsid w:val="00075E65"/>
    <w:rsid w:val="00075E70"/>
    <w:rsid w:val="00075EBC"/>
    <w:rsid w:val="00075ED2"/>
    <w:rsid w:val="00075F31"/>
    <w:rsid w:val="00075F42"/>
    <w:rsid w:val="00075F83"/>
    <w:rsid w:val="00075FF8"/>
    <w:rsid w:val="00076078"/>
    <w:rsid w:val="000760C2"/>
    <w:rsid w:val="000760F4"/>
    <w:rsid w:val="00076119"/>
    <w:rsid w:val="000761DA"/>
    <w:rsid w:val="00076206"/>
    <w:rsid w:val="000762E2"/>
    <w:rsid w:val="00076513"/>
    <w:rsid w:val="00076516"/>
    <w:rsid w:val="0007655A"/>
    <w:rsid w:val="00076577"/>
    <w:rsid w:val="0007658A"/>
    <w:rsid w:val="0007659B"/>
    <w:rsid w:val="000765CB"/>
    <w:rsid w:val="000765FD"/>
    <w:rsid w:val="000766B0"/>
    <w:rsid w:val="0007690C"/>
    <w:rsid w:val="00076919"/>
    <w:rsid w:val="000769D1"/>
    <w:rsid w:val="00076A1C"/>
    <w:rsid w:val="00076B11"/>
    <w:rsid w:val="00076CB6"/>
    <w:rsid w:val="00076DB7"/>
    <w:rsid w:val="00076E41"/>
    <w:rsid w:val="00076E9B"/>
    <w:rsid w:val="00076F5D"/>
    <w:rsid w:val="00076FAE"/>
    <w:rsid w:val="0007700C"/>
    <w:rsid w:val="0007702A"/>
    <w:rsid w:val="0007721E"/>
    <w:rsid w:val="00077231"/>
    <w:rsid w:val="00077286"/>
    <w:rsid w:val="00077337"/>
    <w:rsid w:val="0007736A"/>
    <w:rsid w:val="000773FF"/>
    <w:rsid w:val="000774B8"/>
    <w:rsid w:val="00077508"/>
    <w:rsid w:val="000775DE"/>
    <w:rsid w:val="00077677"/>
    <w:rsid w:val="00077805"/>
    <w:rsid w:val="0007791F"/>
    <w:rsid w:val="00077960"/>
    <w:rsid w:val="00077A63"/>
    <w:rsid w:val="00077A8B"/>
    <w:rsid w:val="00077A97"/>
    <w:rsid w:val="00077AED"/>
    <w:rsid w:val="00077B8B"/>
    <w:rsid w:val="00077B92"/>
    <w:rsid w:val="00077BA1"/>
    <w:rsid w:val="00077BE8"/>
    <w:rsid w:val="00077CCE"/>
    <w:rsid w:val="00077DA4"/>
    <w:rsid w:val="00077F3B"/>
    <w:rsid w:val="00077F8E"/>
    <w:rsid w:val="00080003"/>
    <w:rsid w:val="000800BD"/>
    <w:rsid w:val="00080123"/>
    <w:rsid w:val="000801F8"/>
    <w:rsid w:val="0008027F"/>
    <w:rsid w:val="0008045A"/>
    <w:rsid w:val="000804BF"/>
    <w:rsid w:val="00080555"/>
    <w:rsid w:val="0008055D"/>
    <w:rsid w:val="000805FC"/>
    <w:rsid w:val="000807A6"/>
    <w:rsid w:val="000807D3"/>
    <w:rsid w:val="000807E2"/>
    <w:rsid w:val="000808B6"/>
    <w:rsid w:val="00080998"/>
    <w:rsid w:val="000809DC"/>
    <w:rsid w:val="00080A23"/>
    <w:rsid w:val="00080AB1"/>
    <w:rsid w:val="00080B2A"/>
    <w:rsid w:val="00080B86"/>
    <w:rsid w:val="00080B8D"/>
    <w:rsid w:val="00080BC6"/>
    <w:rsid w:val="00080C4C"/>
    <w:rsid w:val="00080C5A"/>
    <w:rsid w:val="00080C66"/>
    <w:rsid w:val="00080C89"/>
    <w:rsid w:val="00080EFC"/>
    <w:rsid w:val="00080FDB"/>
    <w:rsid w:val="00081062"/>
    <w:rsid w:val="000810F0"/>
    <w:rsid w:val="0008129A"/>
    <w:rsid w:val="000813AD"/>
    <w:rsid w:val="00081406"/>
    <w:rsid w:val="000814E0"/>
    <w:rsid w:val="00081503"/>
    <w:rsid w:val="00081504"/>
    <w:rsid w:val="0008155E"/>
    <w:rsid w:val="000815C4"/>
    <w:rsid w:val="000815CE"/>
    <w:rsid w:val="00081733"/>
    <w:rsid w:val="00081780"/>
    <w:rsid w:val="0008188E"/>
    <w:rsid w:val="0008189B"/>
    <w:rsid w:val="000818DF"/>
    <w:rsid w:val="00081A86"/>
    <w:rsid w:val="00081AE6"/>
    <w:rsid w:val="00081B37"/>
    <w:rsid w:val="00081B3F"/>
    <w:rsid w:val="00081CA3"/>
    <w:rsid w:val="00081D35"/>
    <w:rsid w:val="00081E36"/>
    <w:rsid w:val="00081E9D"/>
    <w:rsid w:val="0008210A"/>
    <w:rsid w:val="00082161"/>
    <w:rsid w:val="00082201"/>
    <w:rsid w:val="00082260"/>
    <w:rsid w:val="0008227F"/>
    <w:rsid w:val="00082332"/>
    <w:rsid w:val="000823B5"/>
    <w:rsid w:val="0008246D"/>
    <w:rsid w:val="00082585"/>
    <w:rsid w:val="00082687"/>
    <w:rsid w:val="0008278D"/>
    <w:rsid w:val="00082804"/>
    <w:rsid w:val="00082881"/>
    <w:rsid w:val="000828EF"/>
    <w:rsid w:val="00082997"/>
    <w:rsid w:val="00082A15"/>
    <w:rsid w:val="00082B95"/>
    <w:rsid w:val="00082BE9"/>
    <w:rsid w:val="00082BEC"/>
    <w:rsid w:val="00082BF3"/>
    <w:rsid w:val="00082C11"/>
    <w:rsid w:val="00082EBC"/>
    <w:rsid w:val="00082F3A"/>
    <w:rsid w:val="00083074"/>
    <w:rsid w:val="00083085"/>
    <w:rsid w:val="000830CA"/>
    <w:rsid w:val="00083133"/>
    <w:rsid w:val="00083143"/>
    <w:rsid w:val="00083153"/>
    <w:rsid w:val="000831A2"/>
    <w:rsid w:val="00083210"/>
    <w:rsid w:val="00083301"/>
    <w:rsid w:val="000833D7"/>
    <w:rsid w:val="000833E1"/>
    <w:rsid w:val="0008345D"/>
    <w:rsid w:val="000835DD"/>
    <w:rsid w:val="0008362D"/>
    <w:rsid w:val="000837DD"/>
    <w:rsid w:val="000837F6"/>
    <w:rsid w:val="00083876"/>
    <w:rsid w:val="00083881"/>
    <w:rsid w:val="00083922"/>
    <w:rsid w:val="00083A9A"/>
    <w:rsid w:val="00083B2E"/>
    <w:rsid w:val="00083B40"/>
    <w:rsid w:val="00083C36"/>
    <w:rsid w:val="00083C53"/>
    <w:rsid w:val="00083D20"/>
    <w:rsid w:val="00083D28"/>
    <w:rsid w:val="00083D42"/>
    <w:rsid w:val="00083DD0"/>
    <w:rsid w:val="00083E39"/>
    <w:rsid w:val="00083E5E"/>
    <w:rsid w:val="00084093"/>
    <w:rsid w:val="000843EB"/>
    <w:rsid w:val="0008441B"/>
    <w:rsid w:val="0008447E"/>
    <w:rsid w:val="000844F0"/>
    <w:rsid w:val="000845F4"/>
    <w:rsid w:val="00084677"/>
    <w:rsid w:val="000846FA"/>
    <w:rsid w:val="0008473B"/>
    <w:rsid w:val="000847CE"/>
    <w:rsid w:val="00084A6D"/>
    <w:rsid w:val="00084B29"/>
    <w:rsid w:val="00084B58"/>
    <w:rsid w:val="00084B61"/>
    <w:rsid w:val="00084B71"/>
    <w:rsid w:val="00084BD7"/>
    <w:rsid w:val="00084BFB"/>
    <w:rsid w:val="00084C38"/>
    <w:rsid w:val="00084C4F"/>
    <w:rsid w:val="00084D1F"/>
    <w:rsid w:val="00084EB8"/>
    <w:rsid w:val="00084EBF"/>
    <w:rsid w:val="00084EC0"/>
    <w:rsid w:val="00084ED1"/>
    <w:rsid w:val="00084ED5"/>
    <w:rsid w:val="00084F56"/>
    <w:rsid w:val="00084F8E"/>
    <w:rsid w:val="00084FC2"/>
    <w:rsid w:val="00085014"/>
    <w:rsid w:val="00085015"/>
    <w:rsid w:val="00085059"/>
    <w:rsid w:val="00085077"/>
    <w:rsid w:val="0008507A"/>
    <w:rsid w:val="00085165"/>
    <w:rsid w:val="0008516F"/>
    <w:rsid w:val="000851BB"/>
    <w:rsid w:val="000855AF"/>
    <w:rsid w:val="00085626"/>
    <w:rsid w:val="00085723"/>
    <w:rsid w:val="0008574F"/>
    <w:rsid w:val="00085781"/>
    <w:rsid w:val="000857E1"/>
    <w:rsid w:val="000857E8"/>
    <w:rsid w:val="00085906"/>
    <w:rsid w:val="00085911"/>
    <w:rsid w:val="000859BD"/>
    <w:rsid w:val="00085A34"/>
    <w:rsid w:val="00085B20"/>
    <w:rsid w:val="00085C7C"/>
    <w:rsid w:val="00085C8D"/>
    <w:rsid w:val="00085CB6"/>
    <w:rsid w:val="00085CD5"/>
    <w:rsid w:val="00085D0B"/>
    <w:rsid w:val="00085D98"/>
    <w:rsid w:val="00085E01"/>
    <w:rsid w:val="00085E5E"/>
    <w:rsid w:val="00085EC3"/>
    <w:rsid w:val="00085F07"/>
    <w:rsid w:val="00085F15"/>
    <w:rsid w:val="00085F6D"/>
    <w:rsid w:val="00085FF5"/>
    <w:rsid w:val="0008607C"/>
    <w:rsid w:val="0008610E"/>
    <w:rsid w:val="0008629D"/>
    <w:rsid w:val="000862BB"/>
    <w:rsid w:val="000862DF"/>
    <w:rsid w:val="00086472"/>
    <w:rsid w:val="0008649F"/>
    <w:rsid w:val="000865D0"/>
    <w:rsid w:val="000865E7"/>
    <w:rsid w:val="0008664F"/>
    <w:rsid w:val="00086867"/>
    <w:rsid w:val="00086948"/>
    <w:rsid w:val="00086966"/>
    <w:rsid w:val="0008696F"/>
    <w:rsid w:val="000869CF"/>
    <w:rsid w:val="000869D7"/>
    <w:rsid w:val="00086A73"/>
    <w:rsid w:val="00086AD5"/>
    <w:rsid w:val="00086C1A"/>
    <w:rsid w:val="00086C25"/>
    <w:rsid w:val="00086D42"/>
    <w:rsid w:val="00086DAB"/>
    <w:rsid w:val="00086DC5"/>
    <w:rsid w:val="00086E09"/>
    <w:rsid w:val="00086F3C"/>
    <w:rsid w:val="00087017"/>
    <w:rsid w:val="0008705B"/>
    <w:rsid w:val="00087171"/>
    <w:rsid w:val="000871C3"/>
    <w:rsid w:val="000871F4"/>
    <w:rsid w:val="00087298"/>
    <w:rsid w:val="000873E6"/>
    <w:rsid w:val="00087427"/>
    <w:rsid w:val="00087439"/>
    <w:rsid w:val="0008775F"/>
    <w:rsid w:val="00087791"/>
    <w:rsid w:val="00087852"/>
    <w:rsid w:val="000879CD"/>
    <w:rsid w:val="00087AB0"/>
    <w:rsid w:val="00087B2E"/>
    <w:rsid w:val="00087BFD"/>
    <w:rsid w:val="00087D50"/>
    <w:rsid w:val="00087DBC"/>
    <w:rsid w:val="00087F67"/>
    <w:rsid w:val="00087FAF"/>
    <w:rsid w:val="00087FDC"/>
    <w:rsid w:val="00090135"/>
    <w:rsid w:val="000901AB"/>
    <w:rsid w:val="000901B6"/>
    <w:rsid w:val="0009022D"/>
    <w:rsid w:val="00090246"/>
    <w:rsid w:val="0009034F"/>
    <w:rsid w:val="00090407"/>
    <w:rsid w:val="00090479"/>
    <w:rsid w:val="0009050A"/>
    <w:rsid w:val="0009051D"/>
    <w:rsid w:val="000905CF"/>
    <w:rsid w:val="000905E6"/>
    <w:rsid w:val="000905FC"/>
    <w:rsid w:val="00090636"/>
    <w:rsid w:val="00090717"/>
    <w:rsid w:val="00090725"/>
    <w:rsid w:val="0009074E"/>
    <w:rsid w:val="00090874"/>
    <w:rsid w:val="00090882"/>
    <w:rsid w:val="000908FD"/>
    <w:rsid w:val="00090951"/>
    <w:rsid w:val="0009099E"/>
    <w:rsid w:val="000909DC"/>
    <w:rsid w:val="00090A3D"/>
    <w:rsid w:val="00090AB7"/>
    <w:rsid w:val="00090B68"/>
    <w:rsid w:val="00090BF8"/>
    <w:rsid w:val="00090CB8"/>
    <w:rsid w:val="00090CEE"/>
    <w:rsid w:val="00090DC3"/>
    <w:rsid w:val="00090E5B"/>
    <w:rsid w:val="00090EC2"/>
    <w:rsid w:val="00090FDB"/>
    <w:rsid w:val="0009106E"/>
    <w:rsid w:val="00091170"/>
    <w:rsid w:val="00091213"/>
    <w:rsid w:val="00091281"/>
    <w:rsid w:val="00091286"/>
    <w:rsid w:val="00091479"/>
    <w:rsid w:val="000914F5"/>
    <w:rsid w:val="00091598"/>
    <w:rsid w:val="00091665"/>
    <w:rsid w:val="000916B7"/>
    <w:rsid w:val="00091852"/>
    <w:rsid w:val="0009191B"/>
    <w:rsid w:val="0009198B"/>
    <w:rsid w:val="000919B7"/>
    <w:rsid w:val="000919BE"/>
    <w:rsid w:val="00091AD1"/>
    <w:rsid w:val="00091AE2"/>
    <w:rsid w:val="00091B27"/>
    <w:rsid w:val="00091B57"/>
    <w:rsid w:val="00091BA2"/>
    <w:rsid w:val="00091DA5"/>
    <w:rsid w:val="00091E6D"/>
    <w:rsid w:val="00091E6E"/>
    <w:rsid w:val="00091EA6"/>
    <w:rsid w:val="00091F0F"/>
    <w:rsid w:val="00091F9A"/>
    <w:rsid w:val="00092321"/>
    <w:rsid w:val="00092322"/>
    <w:rsid w:val="00092332"/>
    <w:rsid w:val="000923CA"/>
    <w:rsid w:val="000923D6"/>
    <w:rsid w:val="00092451"/>
    <w:rsid w:val="000925D4"/>
    <w:rsid w:val="00092621"/>
    <w:rsid w:val="00092660"/>
    <w:rsid w:val="000926E6"/>
    <w:rsid w:val="0009273B"/>
    <w:rsid w:val="0009276F"/>
    <w:rsid w:val="0009277C"/>
    <w:rsid w:val="000927E7"/>
    <w:rsid w:val="0009286A"/>
    <w:rsid w:val="00092949"/>
    <w:rsid w:val="000929AA"/>
    <w:rsid w:val="00092A3B"/>
    <w:rsid w:val="00092A4A"/>
    <w:rsid w:val="00092A68"/>
    <w:rsid w:val="00092A77"/>
    <w:rsid w:val="00092AE6"/>
    <w:rsid w:val="00092E28"/>
    <w:rsid w:val="00092F85"/>
    <w:rsid w:val="00092FFD"/>
    <w:rsid w:val="0009301E"/>
    <w:rsid w:val="00093058"/>
    <w:rsid w:val="000930CE"/>
    <w:rsid w:val="0009313A"/>
    <w:rsid w:val="0009322F"/>
    <w:rsid w:val="00093314"/>
    <w:rsid w:val="0009331E"/>
    <w:rsid w:val="000934B8"/>
    <w:rsid w:val="000934F6"/>
    <w:rsid w:val="00093586"/>
    <w:rsid w:val="000935B9"/>
    <w:rsid w:val="000935EF"/>
    <w:rsid w:val="000936CB"/>
    <w:rsid w:val="00093713"/>
    <w:rsid w:val="00093821"/>
    <w:rsid w:val="000938D9"/>
    <w:rsid w:val="000938FF"/>
    <w:rsid w:val="00093919"/>
    <w:rsid w:val="00093BDC"/>
    <w:rsid w:val="00093C3E"/>
    <w:rsid w:val="00093C71"/>
    <w:rsid w:val="00093CE9"/>
    <w:rsid w:val="00093D55"/>
    <w:rsid w:val="00093D96"/>
    <w:rsid w:val="00093DFD"/>
    <w:rsid w:val="00093E07"/>
    <w:rsid w:val="00093E35"/>
    <w:rsid w:val="00093F7E"/>
    <w:rsid w:val="00093FBF"/>
    <w:rsid w:val="0009402C"/>
    <w:rsid w:val="00094152"/>
    <w:rsid w:val="0009417F"/>
    <w:rsid w:val="000941C5"/>
    <w:rsid w:val="000942B4"/>
    <w:rsid w:val="000942F1"/>
    <w:rsid w:val="00094375"/>
    <w:rsid w:val="0009447B"/>
    <w:rsid w:val="000944C0"/>
    <w:rsid w:val="0009450D"/>
    <w:rsid w:val="00094694"/>
    <w:rsid w:val="00094796"/>
    <w:rsid w:val="00094946"/>
    <w:rsid w:val="00094A81"/>
    <w:rsid w:val="00094B40"/>
    <w:rsid w:val="00094E55"/>
    <w:rsid w:val="00094FDE"/>
    <w:rsid w:val="000950D4"/>
    <w:rsid w:val="00095128"/>
    <w:rsid w:val="0009512C"/>
    <w:rsid w:val="0009516A"/>
    <w:rsid w:val="00095421"/>
    <w:rsid w:val="00095494"/>
    <w:rsid w:val="000954EB"/>
    <w:rsid w:val="000955B6"/>
    <w:rsid w:val="0009565A"/>
    <w:rsid w:val="00095685"/>
    <w:rsid w:val="000956FC"/>
    <w:rsid w:val="00095766"/>
    <w:rsid w:val="000957C4"/>
    <w:rsid w:val="00095825"/>
    <w:rsid w:val="00095834"/>
    <w:rsid w:val="00095884"/>
    <w:rsid w:val="000958E0"/>
    <w:rsid w:val="00095931"/>
    <w:rsid w:val="000959F7"/>
    <w:rsid w:val="00095A03"/>
    <w:rsid w:val="00095A70"/>
    <w:rsid w:val="00095A9C"/>
    <w:rsid w:val="00095B16"/>
    <w:rsid w:val="00095BEB"/>
    <w:rsid w:val="00095BFD"/>
    <w:rsid w:val="00095C35"/>
    <w:rsid w:val="00095CCE"/>
    <w:rsid w:val="00095DC6"/>
    <w:rsid w:val="00095E3B"/>
    <w:rsid w:val="00095F00"/>
    <w:rsid w:val="00095F8C"/>
    <w:rsid w:val="00095F92"/>
    <w:rsid w:val="00096052"/>
    <w:rsid w:val="000960B8"/>
    <w:rsid w:val="000960E2"/>
    <w:rsid w:val="00096123"/>
    <w:rsid w:val="00096126"/>
    <w:rsid w:val="0009612A"/>
    <w:rsid w:val="000961E0"/>
    <w:rsid w:val="000961FD"/>
    <w:rsid w:val="00096225"/>
    <w:rsid w:val="0009636C"/>
    <w:rsid w:val="000963EE"/>
    <w:rsid w:val="00096500"/>
    <w:rsid w:val="00096638"/>
    <w:rsid w:val="0009679E"/>
    <w:rsid w:val="000967F6"/>
    <w:rsid w:val="000968CA"/>
    <w:rsid w:val="000968E0"/>
    <w:rsid w:val="000969AA"/>
    <w:rsid w:val="00096A0C"/>
    <w:rsid w:val="00096B40"/>
    <w:rsid w:val="00096B6B"/>
    <w:rsid w:val="00096B7E"/>
    <w:rsid w:val="00096D4F"/>
    <w:rsid w:val="00096D52"/>
    <w:rsid w:val="00096D89"/>
    <w:rsid w:val="00096E66"/>
    <w:rsid w:val="00096FB4"/>
    <w:rsid w:val="00097032"/>
    <w:rsid w:val="00097050"/>
    <w:rsid w:val="0009706F"/>
    <w:rsid w:val="000970B9"/>
    <w:rsid w:val="000970D5"/>
    <w:rsid w:val="00097159"/>
    <w:rsid w:val="0009719E"/>
    <w:rsid w:val="000972F2"/>
    <w:rsid w:val="00097329"/>
    <w:rsid w:val="00097342"/>
    <w:rsid w:val="000973E8"/>
    <w:rsid w:val="000973F5"/>
    <w:rsid w:val="00097446"/>
    <w:rsid w:val="000974BB"/>
    <w:rsid w:val="0009755C"/>
    <w:rsid w:val="0009771A"/>
    <w:rsid w:val="000978E0"/>
    <w:rsid w:val="00097976"/>
    <w:rsid w:val="000979CC"/>
    <w:rsid w:val="00097B44"/>
    <w:rsid w:val="00097BC9"/>
    <w:rsid w:val="00097C90"/>
    <w:rsid w:val="00097C9A"/>
    <w:rsid w:val="00097CD9"/>
    <w:rsid w:val="00097F07"/>
    <w:rsid w:val="00097F31"/>
    <w:rsid w:val="000A000F"/>
    <w:rsid w:val="000A01E5"/>
    <w:rsid w:val="000A01F4"/>
    <w:rsid w:val="000A02F7"/>
    <w:rsid w:val="000A0494"/>
    <w:rsid w:val="000A0748"/>
    <w:rsid w:val="000A0753"/>
    <w:rsid w:val="000A08C5"/>
    <w:rsid w:val="000A08CE"/>
    <w:rsid w:val="000A08E8"/>
    <w:rsid w:val="000A0914"/>
    <w:rsid w:val="000A0A94"/>
    <w:rsid w:val="000A0AA7"/>
    <w:rsid w:val="000A0B0B"/>
    <w:rsid w:val="000A0B8A"/>
    <w:rsid w:val="000A0B8F"/>
    <w:rsid w:val="000A0BDE"/>
    <w:rsid w:val="000A0BEE"/>
    <w:rsid w:val="000A0D55"/>
    <w:rsid w:val="000A0DE6"/>
    <w:rsid w:val="000A0DF4"/>
    <w:rsid w:val="000A0DFC"/>
    <w:rsid w:val="000A0E63"/>
    <w:rsid w:val="000A0EDA"/>
    <w:rsid w:val="000A0F8B"/>
    <w:rsid w:val="000A0FE2"/>
    <w:rsid w:val="000A1039"/>
    <w:rsid w:val="000A109D"/>
    <w:rsid w:val="000A11DF"/>
    <w:rsid w:val="000A11F8"/>
    <w:rsid w:val="000A1206"/>
    <w:rsid w:val="000A1266"/>
    <w:rsid w:val="000A1330"/>
    <w:rsid w:val="000A13B9"/>
    <w:rsid w:val="000A142C"/>
    <w:rsid w:val="000A1749"/>
    <w:rsid w:val="000A17EE"/>
    <w:rsid w:val="000A1829"/>
    <w:rsid w:val="000A1917"/>
    <w:rsid w:val="000A191D"/>
    <w:rsid w:val="000A1AD7"/>
    <w:rsid w:val="000A1BFD"/>
    <w:rsid w:val="000A1D4F"/>
    <w:rsid w:val="000A1E89"/>
    <w:rsid w:val="000A1E8E"/>
    <w:rsid w:val="000A1ED5"/>
    <w:rsid w:val="000A1EE2"/>
    <w:rsid w:val="000A1F4B"/>
    <w:rsid w:val="000A1FDB"/>
    <w:rsid w:val="000A200B"/>
    <w:rsid w:val="000A202C"/>
    <w:rsid w:val="000A2030"/>
    <w:rsid w:val="000A2079"/>
    <w:rsid w:val="000A2137"/>
    <w:rsid w:val="000A2150"/>
    <w:rsid w:val="000A2255"/>
    <w:rsid w:val="000A22BC"/>
    <w:rsid w:val="000A2348"/>
    <w:rsid w:val="000A2385"/>
    <w:rsid w:val="000A23C2"/>
    <w:rsid w:val="000A2400"/>
    <w:rsid w:val="000A2449"/>
    <w:rsid w:val="000A248E"/>
    <w:rsid w:val="000A259F"/>
    <w:rsid w:val="000A25AF"/>
    <w:rsid w:val="000A25E9"/>
    <w:rsid w:val="000A26A7"/>
    <w:rsid w:val="000A273C"/>
    <w:rsid w:val="000A2831"/>
    <w:rsid w:val="000A2835"/>
    <w:rsid w:val="000A29F3"/>
    <w:rsid w:val="000A2AFA"/>
    <w:rsid w:val="000A2B7E"/>
    <w:rsid w:val="000A2BB5"/>
    <w:rsid w:val="000A2BD0"/>
    <w:rsid w:val="000A2C8E"/>
    <w:rsid w:val="000A2D28"/>
    <w:rsid w:val="000A2D44"/>
    <w:rsid w:val="000A2E10"/>
    <w:rsid w:val="000A2E55"/>
    <w:rsid w:val="000A2EA1"/>
    <w:rsid w:val="000A2FC0"/>
    <w:rsid w:val="000A30ED"/>
    <w:rsid w:val="000A3137"/>
    <w:rsid w:val="000A3143"/>
    <w:rsid w:val="000A316E"/>
    <w:rsid w:val="000A3194"/>
    <w:rsid w:val="000A3250"/>
    <w:rsid w:val="000A327C"/>
    <w:rsid w:val="000A32F2"/>
    <w:rsid w:val="000A33FC"/>
    <w:rsid w:val="000A3529"/>
    <w:rsid w:val="000A35DB"/>
    <w:rsid w:val="000A35E5"/>
    <w:rsid w:val="000A3654"/>
    <w:rsid w:val="000A36AA"/>
    <w:rsid w:val="000A379C"/>
    <w:rsid w:val="000A3821"/>
    <w:rsid w:val="000A39D6"/>
    <w:rsid w:val="000A3A2D"/>
    <w:rsid w:val="000A3A6B"/>
    <w:rsid w:val="000A3A76"/>
    <w:rsid w:val="000A3B17"/>
    <w:rsid w:val="000A3B92"/>
    <w:rsid w:val="000A3BDE"/>
    <w:rsid w:val="000A3BF4"/>
    <w:rsid w:val="000A3C27"/>
    <w:rsid w:val="000A3C61"/>
    <w:rsid w:val="000A3D39"/>
    <w:rsid w:val="000A3D4C"/>
    <w:rsid w:val="000A3D89"/>
    <w:rsid w:val="000A3D90"/>
    <w:rsid w:val="000A3D94"/>
    <w:rsid w:val="000A3D96"/>
    <w:rsid w:val="000A3E65"/>
    <w:rsid w:val="000A3E85"/>
    <w:rsid w:val="000A3FDE"/>
    <w:rsid w:val="000A40F6"/>
    <w:rsid w:val="000A416B"/>
    <w:rsid w:val="000A4184"/>
    <w:rsid w:val="000A41B0"/>
    <w:rsid w:val="000A4223"/>
    <w:rsid w:val="000A4229"/>
    <w:rsid w:val="000A423B"/>
    <w:rsid w:val="000A42D6"/>
    <w:rsid w:val="000A4338"/>
    <w:rsid w:val="000A450C"/>
    <w:rsid w:val="000A4565"/>
    <w:rsid w:val="000A4588"/>
    <w:rsid w:val="000A45C4"/>
    <w:rsid w:val="000A45CB"/>
    <w:rsid w:val="000A460E"/>
    <w:rsid w:val="000A462C"/>
    <w:rsid w:val="000A467A"/>
    <w:rsid w:val="000A4764"/>
    <w:rsid w:val="000A4799"/>
    <w:rsid w:val="000A4853"/>
    <w:rsid w:val="000A4877"/>
    <w:rsid w:val="000A48D0"/>
    <w:rsid w:val="000A494F"/>
    <w:rsid w:val="000A4A43"/>
    <w:rsid w:val="000A4AE3"/>
    <w:rsid w:val="000A4B8A"/>
    <w:rsid w:val="000A4BE2"/>
    <w:rsid w:val="000A4BEC"/>
    <w:rsid w:val="000A4CE4"/>
    <w:rsid w:val="000A4CEE"/>
    <w:rsid w:val="000A4D3C"/>
    <w:rsid w:val="000A502A"/>
    <w:rsid w:val="000A505A"/>
    <w:rsid w:val="000A5260"/>
    <w:rsid w:val="000A52B3"/>
    <w:rsid w:val="000A5360"/>
    <w:rsid w:val="000A5443"/>
    <w:rsid w:val="000A5475"/>
    <w:rsid w:val="000A54ED"/>
    <w:rsid w:val="000A551F"/>
    <w:rsid w:val="000A55CF"/>
    <w:rsid w:val="000A5675"/>
    <w:rsid w:val="000A5706"/>
    <w:rsid w:val="000A5729"/>
    <w:rsid w:val="000A5862"/>
    <w:rsid w:val="000A586A"/>
    <w:rsid w:val="000A59BB"/>
    <w:rsid w:val="000A5C1C"/>
    <w:rsid w:val="000A5C74"/>
    <w:rsid w:val="000A5D1D"/>
    <w:rsid w:val="000A5EEF"/>
    <w:rsid w:val="000A5FCD"/>
    <w:rsid w:val="000A5FFD"/>
    <w:rsid w:val="000A6008"/>
    <w:rsid w:val="000A60B8"/>
    <w:rsid w:val="000A60F8"/>
    <w:rsid w:val="000A613D"/>
    <w:rsid w:val="000A627E"/>
    <w:rsid w:val="000A6295"/>
    <w:rsid w:val="000A6298"/>
    <w:rsid w:val="000A62F4"/>
    <w:rsid w:val="000A6355"/>
    <w:rsid w:val="000A63FF"/>
    <w:rsid w:val="000A64B4"/>
    <w:rsid w:val="000A64E9"/>
    <w:rsid w:val="000A6532"/>
    <w:rsid w:val="000A6715"/>
    <w:rsid w:val="000A67CB"/>
    <w:rsid w:val="000A691E"/>
    <w:rsid w:val="000A6A19"/>
    <w:rsid w:val="000A6A28"/>
    <w:rsid w:val="000A6B27"/>
    <w:rsid w:val="000A6C0F"/>
    <w:rsid w:val="000A6C66"/>
    <w:rsid w:val="000A6D6D"/>
    <w:rsid w:val="000A6E4C"/>
    <w:rsid w:val="000A6E68"/>
    <w:rsid w:val="000A6E82"/>
    <w:rsid w:val="000A6F5B"/>
    <w:rsid w:val="000A6FCA"/>
    <w:rsid w:val="000A70B1"/>
    <w:rsid w:val="000A70EF"/>
    <w:rsid w:val="000A7110"/>
    <w:rsid w:val="000A712C"/>
    <w:rsid w:val="000A7275"/>
    <w:rsid w:val="000A72CA"/>
    <w:rsid w:val="000A72D6"/>
    <w:rsid w:val="000A736C"/>
    <w:rsid w:val="000A73B9"/>
    <w:rsid w:val="000A741F"/>
    <w:rsid w:val="000A747E"/>
    <w:rsid w:val="000A7591"/>
    <w:rsid w:val="000A75C5"/>
    <w:rsid w:val="000A7999"/>
    <w:rsid w:val="000A79AB"/>
    <w:rsid w:val="000A7B22"/>
    <w:rsid w:val="000A7B32"/>
    <w:rsid w:val="000A7B6E"/>
    <w:rsid w:val="000A7B98"/>
    <w:rsid w:val="000A7BDA"/>
    <w:rsid w:val="000A7C86"/>
    <w:rsid w:val="000A7EEF"/>
    <w:rsid w:val="000B00F6"/>
    <w:rsid w:val="000B0180"/>
    <w:rsid w:val="000B027D"/>
    <w:rsid w:val="000B02D6"/>
    <w:rsid w:val="000B0343"/>
    <w:rsid w:val="000B0361"/>
    <w:rsid w:val="000B0421"/>
    <w:rsid w:val="000B0527"/>
    <w:rsid w:val="000B0595"/>
    <w:rsid w:val="000B05CC"/>
    <w:rsid w:val="000B0787"/>
    <w:rsid w:val="000B07F3"/>
    <w:rsid w:val="000B0911"/>
    <w:rsid w:val="000B092C"/>
    <w:rsid w:val="000B0981"/>
    <w:rsid w:val="000B0A50"/>
    <w:rsid w:val="000B0B98"/>
    <w:rsid w:val="000B0BAC"/>
    <w:rsid w:val="000B0CD6"/>
    <w:rsid w:val="000B0DB3"/>
    <w:rsid w:val="000B0DE4"/>
    <w:rsid w:val="000B0EE7"/>
    <w:rsid w:val="000B0EFE"/>
    <w:rsid w:val="000B0F49"/>
    <w:rsid w:val="000B0FF0"/>
    <w:rsid w:val="000B1097"/>
    <w:rsid w:val="000B11B3"/>
    <w:rsid w:val="000B1201"/>
    <w:rsid w:val="000B1206"/>
    <w:rsid w:val="000B1240"/>
    <w:rsid w:val="000B12B8"/>
    <w:rsid w:val="000B12FD"/>
    <w:rsid w:val="000B13A1"/>
    <w:rsid w:val="000B13AF"/>
    <w:rsid w:val="000B141B"/>
    <w:rsid w:val="000B143A"/>
    <w:rsid w:val="000B16BA"/>
    <w:rsid w:val="000B16FC"/>
    <w:rsid w:val="000B175E"/>
    <w:rsid w:val="000B187F"/>
    <w:rsid w:val="000B18B7"/>
    <w:rsid w:val="000B18BC"/>
    <w:rsid w:val="000B1985"/>
    <w:rsid w:val="000B1995"/>
    <w:rsid w:val="000B1A20"/>
    <w:rsid w:val="000B1A6C"/>
    <w:rsid w:val="000B1A6F"/>
    <w:rsid w:val="000B1AF3"/>
    <w:rsid w:val="000B1B25"/>
    <w:rsid w:val="000B1B59"/>
    <w:rsid w:val="000B1B60"/>
    <w:rsid w:val="000B1C5C"/>
    <w:rsid w:val="000B1DF8"/>
    <w:rsid w:val="000B1E29"/>
    <w:rsid w:val="000B1E2D"/>
    <w:rsid w:val="000B1E3F"/>
    <w:rsid w:val="000B1E6E"/>
    <w:rsid w:val="000B1E78"/>
    <w:rsid w:val="000B1E9E"/>
    <w:rsid w:val="000B1FC7"/>
    <w:rsid w:val="000B20A5"/>
    <w:rsid w:val="000B2177"/>
    <w:rsid w:val="000B2272"/>
    <w:rsid w:val="000B22C7"/>
    <w:rsid w:val="000B23CC"/>
    <w:rsid w:val="000B23E5"/>
    <w:rsid w:val="000B248B"/>
    <w:rsid w:val="000B2606"/>
    <w:rsid w:val="000B26C4"/>
    <w:rsid w:val="000B26E3"/>
    <w:rsid w:val="000B271D"/>
    <w:rsid w:val="000B27C6"/>
    <w:rsid w:val="000B2858"/>
    <w:rsid w:val="000B287E"/>
    <w:rsid w:val="000B2956"/>
    <w:rsid w:val="000B2AF1"/>
    <w:rsid w:val="000B2C09"/>
    <w:rsid w:val="000B2C22"/>
    <w:rsid w:val="000B2C9E"/>
    <w:rsid w:val="000B2CAB"/>
    <w:rsid w:val="000B2D65"/>
    <w:rsid w:val="000B2D92"/>
    <w:rsid w:val="000B2DDE"/>
    <w:rsid w:val="000B2DE7"/>
    <w:rsid w:val="000B2F06"/>
    <w:rsid w:val="000B2FB2"/>
    <w:rsid w:val="000B2FBE"/>
    <w:rsid w:val="000B2FF1"/>
    <w:rsid w:val="000B301B"/>
    <w:rsid w:val="000B3132"/>
    <w:rsid w:val="000B3151"/>
    <w:rsid w:val="000B317B"/>
    <w:rsid w:val="000B32B5"/>
    <w:rsid w:val="000B34D4"/>
    <w:rsid w:val="000B34EE"/>
    <w:rsid w:val="000B36BF"/>
    <w:rsid w:val="000B36D5"/>
    <w:rsid w:val="000B3741"/>
    <w:rsid w:val="000B380E"/>
    <w:rsid w:val="000B38AB"/>
    <w:rsid w:val="000B39B5"/>
    <w:rsid w:val="000B3B3B"/>
    <w:rsid w:val="000B3B4C"/>
    <w:rsid w:val="000B3B9F"/>
    <w:rsid w:val="000B3C65"/>
    <w:rsid w:val="000B3C8F"/>
    <w:rsid w:val="000B3D07"/>
    <w:rsid w:val="000B3D0F"/>
    <w:rsid w:val="000B3E39"/>
    <w:rsid w:val="000B3E66"/>
    <w:rsid w:val="000B3F36"/>
    <w:rsid w:val="000B3F46"/>
    <w:rsid w:val="000B3FB4"/>
    <w:rsid w:val="000B3FBA"/>
    <w:rsid w:val="000B4042"/>
    <w:rsid w:val="000B40D9"/>
    <w:rsid w:val="000B40FB"/>
    <w:rsid w:val="000B4161"/>
    <w:rsid w:val="000B41A9"/>
    <w:rsid w:val="000B42A0"/>
    <w:rsid w:val="000B437E"/>
    <w:rsid w:val="000B443D"/>
    <w:rsid w:val="000B4484"/>
    <w:rsid w:val="000B449C"/>
    <w:rsid w:val="000B44B5"/>
    <w:rsid w:val="000B44C5"/>
    <w:rsid w:val="000B44F5"/>
    <w:rsid w:val="000B4584"/>
    <w:rsid w:val="000B4595"/>
    <w:rsid w:val="000B459B"/>
    <w:rsid w:val="000B4665"/>
    <w:rsid w:val="000B4750"/>
    <w:rsid w:val="000B47FE"/>
    <w:rsid w:val="000B490C"/>
    <w:rsid w:val="000B4929"/>
    <w:rsid w:val="000B4AE0"/>
    <w:rsid w:val="000B4BE4"/>
    <w:rsid w:val="000B4BFE"/>
    <w:rsid w:val="000B4CA0"/>
    <w:rsid w:val="000B4CFB"/>
    <w:rsid w:val="000B4DB4"/>
    <w:rsid w:val="000B4E07"/>
    <w:rsid w:val="000B4F24"/>
    <w:rsid w:val="000B4F9A"/>
    <w:rsid w:val="000B4FA9"/>
    <w:rsid w:val="000B4FE2"/>
    <w:rsid w:val="000B5005"/>
    <w:rsid w:val="000B5085"/>
    <w:rsid w:val="000B50E7"/>
    <w:rsid w:val="000B50EE"/>
    <w:rsid w:val="000B5217"/>
    <w:rsid w:val="000B521B"/>
    <w:rsid w:val="000B52B2"/>
    <w:rsid w:val="000B52BF"/>
    <w:rsid w:val="000B53EB"/>
    <w:rsid w:val="000B543C"/>
    <w:rsid w:val="000B55F6"/>
    <w:rsid w:val="000B5802"/>
    <w:rsid w:val="000B5821"/>
    <w:rsid w:val="000B58D3"/>
    <w:rsid w:val="000B5952"/>
    <w:rsid w:val="000B59B0"/>
    <w:rsid w:val="000B59D4"/>
    <w:rsid w:val="000B5C34"/>
    <w:rsid w:val="000B5C7A"/>
    <w:rsid w:val="000B5CBD"/>
    <w:rsid w:val="000B5CE2"/>
    <w:rsid w:val="000B5DC8"/>
    <w:rsid w:val="000B5E9F"/>
    <w:rsid w:val="000B60AA"/>
    <w:rsid w:val="000B60F6"/>
    <w:rsid w:val="000B631F"/>
    <w:rsid w:val="000B6363"/>
    <w:rsid w:val="000B6390"/>
    <w:rsid w:val="000B644F"/>
    <w:rsid w:val="000B6504"/>
    <w:rsid w:val="000B651A"/>
    <w:rsid w:val="000B65EB"/>
    <w:rsid w:val="000B68A8"/>
    <w:rsid w:val="000B6921"/>
    <w:rsid w:val="000B6A45"/>
    <w:rsid w:val="000B6AFC"/>
    <w:rsid w:val="000B6B46"/>
    <w:rsid w:val="000B6BA0"/>
    <w:rsid w:val="000B6BCB"/>
    <w:rsid w:val="000B6BF1"/>
    <w:rsid w:val="000B6CF7"/>
    <w:rsid w:val="000B6D58"/>
    <w:rsid w:val="000B6DEE"/>
    <w:rsid w:val="000B6E32"/>
    <w:rsid w:val="000B6FDD"/>
    <w:rsid w:val="000B70FB"/>
    <w:rsid w:val="000B717C"/>
    <w:rsid w:val="000B75B4"/>
    <w:rsid w:val="000B76B3"/>
    <w:rsid w:val="000B770A"/>
    <w:rsid w:val="000B7765"/>
    <w:rsid w:val="000B7B1E"/>
    <w:rsid w:val="000B7BC7"/>
    <w:rsid w:val="000B7C9F"/>
    <w:rsid w:val="000B7CB8"/>
    <w:rsid w:val="000B7CD5"/>
    <w:rsid w:val="000B7D67"/>
    <w:rsid w:val="000B7D79"/>
    <w:rsid w:val="000B7EDE"/>
    <w:rsid w:val="000B7EDF"/>
    <w:rsid w:val="000B7F13"/>
    <w:rsid w:val="000B7F2C"/>
    <w:rsid w:val="000B7F45"/>
    <w:rsid w:val="000C009E"/>
    <w:rsid w:val="000C0167"/>
    <w:rsid w:val="000C01B3"/>
    <w:rsid w:val="000C02DA"/>
    <w:rsid w:val="000C0309"/>
    <w:rsid w:val="000C030D"/>
    <w:rsid w:val="000C0331"/>
    <w:rsid w:val="000C03D9"/>
    <w:rsid w:val="000C03F7"/>
    <w:rsid w:val="000C047A"/>
    <w:rsid w:val="000C04C0"/>
    <w:rsid w:val="000C04DA"/>
    <w:rsid w:val="000C0549"/>
    <w:rsid w:val="000C06AA"/>
    <w:rsid w:val="000C06FB"/>
    <w:rsid w:val="000C07DF"/>
    <w:rsid w:val="000C0946"/>
    <w:rsid w:val="000C0A16"/>
    <w:rsid w:val="000C0A23"/>
    <w:rsid w:val="000C0A27"/>
    <w:rsid w:val="000C0A62"/>
    <w:rsid w:val="000C0A8F"/>
    <w:rsid w:val="000C0B31"/>
    <w:rsid w:val="000C0B51"/>
    <w:rsid w:val="000C0B62"/>
    <w:rsid w:val="000C0C1B"/>
    <w:rsid w:val="000C0C53"/>
    <w:rsid w:val="000C0C90"/>
    <w:rsid w:val="000C0C94"/>
    <w:rsid w:val="000C0CAD"/>
    <w:rsid w:val="000C0CBC"/>
    <w:rsid w:val="000C0D62"/>
    <w:rsid w:val="000C0E2F"/>
    <w:rsid w:val="000C0FB9"/>
    <w:rsid w:val="000C1027"/>
    <w:rsid w:val="000C1118"/>
    <w:rsid w:val="000C111A"/>
    <w:rsid w:val="000C1162"/>
    <w:rsid w:val="000C118A"/>
    <w:rsid w:val="000C11FD"/>
    <w:rsid w:val="000C15A5"/>
    <w:rsid w:val="000C1647"/>
    <w:rsid w:val="000C17A5"/>
    <w:rsid w:val="000C17A6"/>
    <w:rsid w:val="000C17E1"/>
    <w:rsid w:val="000C1804"/>
    <w:rsid w:val="000C180D"/>
    <w:rsid w:val="000C183B"/>
    <w:rsid w:val="000C18B4"/>
    <w:rsid w:val="000C199B"/>
    <w:rsid w:val="000C1AE6"/>
    <w:rsid w:val="000C1B92"/>
    <w:rsid w:val="000C1C5E"/>
    <w:rsid w:val="000C1DE1"/>
    <w:rsid w:val="000C1EAE"/>
    <w:rsid w:val="000C1FCA"/>
    <w:rsid w:val="000C201E"/>
    <w:rsid w:val="000C20A4"/>
    <w:rsid w:val="000C21C8"/>
    <w:rsid w:val="000C21D5"/>
    <w:rsid w:val="000C22DE"/>
    <w:rsid w:val="000C2441"/>
    <w:rsid w:val="000C2489"/>
    <w:rsid w:val="000C255F"/>
    <w:rsid w:val="000C2672"/>
    <w:rsid w:val="000C26B0"/>
    <w:rsid w:val="000C26DF"/>
    <w:rsid w:val="000C2740"/>
    <w:rsid w:val="000C2797"/>
    <w:rsid w:val="000C27C5"/>
    <w:rsid w:val="000C2886"/>
    <w:rsid w:val="000C28A2"/>
    <w:rsid w:val="000C28B2"/>
    <w:rsid w:val="000C28C9"/>
    <w:rsid w:val="000C29AC"/>
    <w:rsid w:val="000C29ED"/>
    <w:rsid w:val="000C2A25"/>
    <w:rsid w:val="000C2B52"/>
    <w:rsid w:val="000C2B90"/>
    <w:rsid w:val="000C2B9A"/>
    <w:rsid w:val="000C2C88"/>
    <w:rsid w:val="000C2C92"/>
    <w:rsid w:val="000C2CC4"/>
    <w:rsid w:val="000C2CEA"/>
    <w:rsid w:val="000C2D61"/>
    <w:rsid w:val="000C2DA3"/>
    <w:rsid w:val="000C2DCE"/>
    <w:rsid w:val="000C2EA5"/>
    <w:rsid w:val="000C2EFC"/>
    <w:rsid w:val="000C3052"/>
    <w:rsid w:val="000C305E"/>
    <w:rsid w:val="000C311F"/>
    <w:rsid w:val="000C313A"/>
    <w:rsid w:val="000C321F"/>
    <w:rsid w:val="000C324E"/>
    <w:rsid w:val="000C3314"/>
    <w:rsid w:val="000C33B7"/>
    <w:rsid w:val="000C342F"/>
    <w:rsid w:val="000C3459"/>
    <w:rsid w:val="000C348E"/>
    <w:rsid w:val="000C358A"/>
    <w:rsid w:val="000C364F"/>
    <w:rsid w:val="000C36D8"/>
    <w:rsid w:val="000C3748"/>
    <w:rsid w:val="000C37BB"/>
    <w:rsid w:val="000C37DC"/>
    <w:rsid w:val="000C381A"/>
    <w:rsid w:val="000C3877"/>
    <w:rsid w:val="000C3898"/>
    <w:rsid w:val="000C392D"/>
    <w:rsid w:val="000C3934"/>
    <w:rsid w:val="000C3979"/>
    <w:rsid w:val="000C39FC"/>
    <w:rsid w:val="000C3A11"/>
    <w:rsid w:val="000C3AD5"/>
    <w:rsid w:val="000C3BE7"/>
    <w:rsid w:val="000C3C0D"/>
    <w:rsid w:val="000C3C1E"/>
    <w:rsid w:val="000C3C31"/>
    <w:rsid w:val="000C3D75"/>
    <w:rsid w:val="000C3DB7"/>
    <w:rsid w:val="000C3ECA"/>
    <w:rsid w:val="000C3FA9"/>
    <w:rsid w:val="000C4028"/>
    <w:rsid w:val="000C40AA"/>
    <w:rsid w:val="000C419F"/>
    <w:rsid w:val="000C41D9"/>
    <w:rsid w:val="000C4220"/>
    <w:rsid w:val="000C426C"/>
    <w:rsid w:val="000C42D2"/>
    <w:rsid w:val="000C4494"/>
    <w:rsid w:val="000C4503"/>
    <w:rsid w:val="000C4507"/>
    <w:rsid w:val="000C4555"/>
    <w:rsid w:val="000C458A"/>
    <w:rsid w:val="000C45A4"/>
    <w:rsid w:val="000C46D2"/>
    <w:rsid w:val="000C4755"/>
    <w:rsid w:val="000C4778"/>
    <w:rsid w:val="000C4791"/>
    <w:rsid w:val="000C4881"/>
    <w:rsid w:val="000C48F7"/>
    <w:rsid w:val="000C4A44"/>
    <w:rsid w:val="000C4A87"/>
    <w:rsid w:val="000C4C19"/>
    <w:rsid w:val="000C4C36"/>
    <w:rsid w:val="000C4CA4"/>
    <w:rsid w:val="000C4D05"/>
    <w:rsid w:val="000C4D9D"/>
    <w:rsid w:val="000C4DAC"/>
    <w:rsid w:val="000C4EBB"/>
    <w:rsid w:val="000C5075"/>
    <w:rsid w:val="000C50AB"/>
    <w:rsid w:val="000C50D2"/>
    <w:rsid w:val="000C50EA"/>
    <w:rsid w:val="000C52D1"/>
    <w:rsid w:val="000C52D3"/>
    <w:rsid w:val="000C5335"/>
    <w:rsid w:val="000C535B"/>
    <w:rsid w:val="000C53CA"/>
    <w:rsid w:val="000C5464"/>
    <w:rsid w:val="000C54B5"/>
    <w:rsid w:val="000C5529"/>
    <w:rsid w:val="000C5590"/>
    <w:rsid w:val="000C55D2"/>
    <w:rsid w:val="000C561A"/>
    <w:rsid w:val="000C5705"/>
    <w:rsid w:val="000C571D"/>
    <w:rsid w:val="000C596D"/>
    <w:rsid w:val="000C598F"/>
    <w:rsid w:val="000C5A00"/>
    <w:rsid w:val="000C5B91"/>
    <w:rsid w:val="000C5BD7"/>
    <w:rsid w:val="000C5C2A"/>
    <w:rsid w:val="000C5C68"/>
    <w:rsid w:val="000C5D3B"/>
    <w:rsid w:val="000C5D7A"/>
    <w:rsid w:val="000C5E6A"/>
    <w:rsid w:val="000C5E9E"/>
    <w:rsid w:val="000C5F40"/>
    <w:rsid w:val="000C5FE5"/>
    <w:rsid w:val="000C603E"/>
    <w:rsid w:val="000C611D"/>
    <w:rsid w:val="000C617E"/>
    <w:rsid w:val="000C61E2"/>
    <w:rsid w:val="000C61FD"/>
    <w:rsid w:val="000C6231"/>
    <w:rsid w:val="000C62E1"/>
    <w:rsid w:val="000C62FF"/>
    <w:rsid w:val="000C6394"/>
    <w:rsid w:val="000C6401"/>
    <w:rsid w:val="000C640C"/>
    <w:rsid w:val="000C6412"/>
    <w:rsid w:val="000C64B0"/>
    <w:rsid w:val="000C6515"/>
    <w:rsid w:val="000C65E3"/>
    <w:rsid w:val="000C65ED"/>
    <w:rsid w:val="000C671B"/>
    <w:rsid w:val="000C67C0"/>
    <w:rsid w:val="000C6817"/>
    <w:rsid w:val="000C6855"/>
    <w:rsid w:val="000C6859"/>
    <w:rsid w:val="000C691B"/>
    <w:rsid w:val="000C693A"/>
    <w:rsid w:val="000C6A96"/>
    <w:rsid w:val="000C6B6B"/>
    <w:rsid w:val="000C6B7D"/>
    <w:rsid w:val="000C6BD1"/>
    <w:rsid w:val="000C6C6D"/>
    <w:rsid w:val="000C6CE2"/>
    <w:rsid w:val="000C6D69"/>
    <w:rsid w:val="000C6E02"/>
    <w:rsid w:val="000C6F40"/>
    <w:rsid w:val="000C7391"/>
    <w:rsid w:val="000C7399"/>
    <w:rsid w:val="000C7468"/>
    <w:rsid w:val="000C74B4"/>
    <w:rsid w:val="000C74CE"/>
    <w:rsid w:val="000C7529"/>
    <w:rsid w:val="000C7533"/>
    <w:rsid w:val="000C756D"/>
    <w:rsid w:val="000C7577"/>
    <w:rsid w:val="000C7579"/>
    <w:rsid w:val="000C758A"/>
    <w:rsid w:val="000C75A7"/>
    <w:rsid w:val="000C75B5"/>
    <w:rsid w:val="000C75E4"/>
    <w:rsid w:val="000C763C"/>
    <w:rsid w:val="000C76AC"/>
    <w:rsid w:val="000C76FB"/>
    <w:rsid w:val="000C76FD"/>
    <w:rsid w:val="000C77F3"/>
    <w:rsid w:val="000C780C"/>
    <w:rsid w:val="000C78F6"/>
    <w:rsid w:val="000C7A3A"/>
    <w:rsid w:val="000C7BF8"/>
    <w:rsid w:val="000C7D3C"/>
    <w:rsid w:val="000C7D85"/>
    <w:rsid w:val="000C7D8A"/>
    <w:rsid w:val="000C7DCB"/>
    <w:rsid w:val="000C7E39"/>
    <w:rsid w:val="000C7EB2"/>
    <w:rsid w:val="000C7F37"/>
    <w:rsid w:val="000C7F3D"/>
    <w:rsid w:val="000D0024"/>
    <w:rsid w:val="000D00C3"/>
    <w:rsid w:val="000D0187"/>
    <w:rsid w:val="000D0204"/>
    <w:rsid w:val="000D0240"/>
    <w:rsid w:val="000D028B"/>
    <w:rsid w:val="000D02A4"/>
    <w:rsid w:val="000D0338"/>
    <w:rsid w:val="000D03B4"/>
    <w:rsid w:val="000D068F"/>
    <w:rsid w:val="000D0708"/>
    <w:rsid w:val="000D071A"/>
    <w:rsid w:val="000D0725"/>
    <w:rsid w:val="000D0761"/>
    <w:rsid w:val="000D07C2"/>
    <w:rsid w:val="000D08FB"/>
    <w:rsid w:val="000D0929"/>
    <w:rsid w:val="000D09C7"/>
    <w:rsid w:val="000D0A37"/>
    <w:rsid w:val="000D0BCD"/>
    <w:rsid w:val="000D0C17"/>
    <w:rsid w:val="000D0C46"/>
    <w:rsid w:val="000D0CAC"/>
    <w:rsid w:val="000D0CE1"/>
    <w:rsid w:val="000D0DE0"/>
    <w:rsid w:val="000D0DE7"/>
    <w:rsid w:val="000D0E6F"/>
    <w:rsid w:val="000D0EE0"/>
    <w:rsid w:val="000D0EEC"/>
    <w:rsid w:val="000D0FAD"/>
    <w:rsid w:val="000D1181"/>
    <w:rsid w:val="000D119A"/>
    <w:rsid w:val="000D1246"/>
    <w:rsid w:val="000D127D"/>
    <w:rsid w:val="000D12CE"/>
    <w:rsid w:val="000D12EA"/>
    <w:rsid w:val="000D138F"/>
    <w:rsid w:val="000D142A"/>
    <w:rsid w:val="000D1556"/>
    <w:rsid w:val="000D17EC"/>
    <w:rsid w:val="000D18A6"/>
    <w:rsid w:val="000D1982"/>
    <w:rsid w:val="000D19C5"/>
    <w:rsid w:val="000D1A79"/>
    <w:rsid w:val="000D1AB5"/>
    <w:rsid w:val="000D1C6F"/>
    <w:rsid w:val="000D1C9B"/>
    <w:rsid w:val="000D1CBA"/>
    <w:rsid w:val="000D1D53"/>
    <w:rsid w:val="000D1D7E"/>
    <w:rsid w:val="000D1E10"/>
    <w:rsid w:val="000D1E3C"/>
    <w:rsid w:val="000D1E4D"/>
    <w:rsid w:val="000D1EF9"/>
    <w:rsid w:val="000D1FC2"/>
    <w:rsid w:val="000D21FB"/>
    <w:rsid w:val="000D23E3"/>
    <w:rsid w:val="000D240A"/>
    <w:rsid w:val="000D240E"/>
    <w:rsid w:val="000D256D"/>
    <w:rsid w:val="000D25BF"/>
    <w:rsid w:val="000D2696"/>
    <w:rsid w:val="000D2759"/>
    <w:rsid w:val="000D277A"/>
    <w:rsid w:val="000D27A7"/>
    <w:rsid w:val="000D28A3"/>
    <w:rsid w:val="000D28AF"/>
    <w:rsid w:val="000D28BA"/>
    <w:rsid w:val="000D28F3"/>
    <w:rsid w:val="000D2908"/>
    <w:rsid w:val="000D2936"/>
    <w:rsid w:val="000D2BCC"/>
    <w:rsid w:val="000D2C67"/>
    <w:rsid w:val="000D2C82"/>
    <w:rsid w:val="000D2CF2"/>
    <w:rsid w:val="000D2D98"/>
    <w:rsid w:val="000D2EF6"/>
    <w:rsid w:val="000D2FA1"/>
    <w:rsid w:val="000D2FB2"/>
    <w:rsid w:val="000D2FC8"/>
    <w:rsid w:val="000D2FED"/>
    <w:rsid w:val="000D3000"/>
    <w:rsid w:val="000D300B"/>
    <w:rsid w:val="000D30A3"/>
    <w:rsid w:val="000D30D6"/>
    <w:rsid w:val="000D30D9"/>
    <w:rsid w:val="000D31A5"/>
    <w:rsid w:val="000D32CF"/>
    <w:rsid w:val="000D32F6"/>
    <w:rsid w:val="000D3309"/>
    <w:rsid w:val="000D34A6"/>
    <w:rsid w:val="000D353E"/>
    <w:rsid w:val="000D35A0"/>
    <w:rsid w:val="000D35DB"/>
    <w:rsid w:val="000D369B"/>
    <w:rsid w:val="000D36CA"/>
    <w:rsid w:val="000D3783"/>
    <w:rsid w:val="000D37F6"/>
    <w:rsid w:val="000D384D"/>
    <w:rsid w:val="000D3877"/>
    <w:rsid w:val="000D3889"/>
    <w:rsid w:val="000D393A"/>
    <w:rsid w:val="000D39E0"/>
    <w:rsid w:val="000D39FD"/>
    <w:rsid w:val="000D3A2E"/>
    <w:rsid w:val="000D3BE6"/>
    <w:rsid w:val="000D3C2D"/>
    <w:rsid w:val="000D3C5E"/>
    <w:rsid w:val="000D3CFF"/>
    <w:rsid w:val="000D3D07"/>
    <w:rsid w:val="000D3D4A"/>
    <w:rsid w:val="000D3E74"/>
    <w:rsid w:val="000D3F42"/>
    <w:rsid w:val="000D3F83"/>
    <w:rsid w:val="000D3FB7"/>
    <w:rsid w:val="000D40DA"/>
    <w:rsid w:val="000D4134"/>
    <w:rsid w:val="000D41DF"/>
    <w:rsid w:val="000D41FA"/>
    <w:rsid w:val="000D4285"/>
    <w:rsid w:val="000D433E"/>
    <w:rsid w:val="000D4369"/>
    <w:rsid w:val="000D4380"/>
    <w:rsid w:val="000D4477"/>
    <w:rsid w:val="000D4570"/>
    <w:rsid w:val="000D45D7"/>
    <w:rsid w:val="000D4636"/>
    <w:rsid w:val="000D4669"/>
    <w:rsid w:val="000D4794"/>
    <w:rsid w:val="000D4954"/>
    <w:rsid w:val="000D4B09"/>
    <w:rsid w:val="000D4BA5"/>
    <w:rsid w:val="000D4C2C"/>
    <w:rsid w:val="000D4CED"/>
    <w:rsid w:val="000D4DAF"/>
    <w:rsid w:val="000D4DE6"/>
    <w:rsid w:val="000D4EBC"/>
    <w:rsid w:val="000D4F38"/>
    <w:rsid w:val="000D4FAA"/>
    <w:rsid w:val="000D4FD5"/>
    <w:rsid w:val="000D50D0"/>
    <w:rsid w:val="000D53E1"/>
    <w:rsid w:val="000D5437"/>
    <w:rsid w:val="000D55CD"/>
    <w:rsid w:val="000D55D6"/>
    <w:rsid w:val="000D561C"/>
    <w:rsid w:val="000D56FB"/>
    <w:rsid w:val="000D57C0"/>
    <w:rsid w:val="000D57FB"/>
    <w:rsid w:val="000D589B"/>
    <w:rsid w:val="000D5AA7"/>
    <w:rsid w:val="000D5BC8"/>
    <w:rsid w:val="000D5DDA"/>
    <w:rsid w:val="000D5E83"/>
    <w:rsid w:val="000D5EE4"/>
    <w:rsid w:val="000D5F59"/>
    <w:rsid w:val="000D5F8B"/>
    <w:rsid w:val="000D5F9C"/>
    <w:rsid w:val="000D6011"/>
    <w:rsid w:val="000D603A"/>
    <w:rsid w:val="000D6075"/>
    <w:rsid w:val="000D6180"/>
    <w:rsid w:val="000D61FD"/>
    <w:rsid w:val="000D6209"/>
    <w:rsid w:val="000D624E"/>
    <w:rsid w:val="000D62A2"/>
    <w:rsid w:val="000D6322"/>
    <w:rsid w:val="000D634F"/>
    <w:rsid w:val="000D638D"/>
    <w:rsid w:val="000D63BF"/>
    <w:rsid w:val="000D63F9"/>
    <w:rsid w:val="000D6451"/>
    <w:rsid w:val="000D6471"/>
    <w:rsid w:val="000D6533"/>
    <w:rsid w:val="000D67A5"/>
    <w:rsid w:val="000D67AA"/>
    <w:rsid w:val="000D67AB"/>
    <w:rsid w:val="000D67D0"/>
    <w:rsid w:val="000D68FA"/>
    <w:rsid w:val="000D6930"/>
    <w:rsid w:val="000D693E"/>
    <w:rsid w:val="000D698A"/>
    <w:rsid w:val="000D699A"/>
    <w:rsid w:val="000D69DC"/>
    <w:rsid w:val="000D6A28"/>
    <w:rsid w:val="000D6BF7"/>
    <w:rsid w:val="000D6C36"/>
    <w:rsid w:val="000D6D4E"/>
    <w:rsid w:val="000D6D74"/>
    <w:rsid w:val="000D6D77"/>
    <w:rsid w:val="000D6E5A"/>
    <w:rsid w:val="000D6F03"/>
    <w:rsid w:val="000D70EA"/>
    <w:rsid w:val="000D7136"/>
    <w:rsid w:val="000D716D"/>
    <w:rsid w:val="000D72C8"/>
    <w:rsid w:val="000D73CE"/>
    <w:rsid w:val="000D73F7"/>
    <w:rsid w:val="000D7484"/>
    <w:rsid w:val="000D74A9"/>
    <w:rsid w:val="000D74C5"/>
    <w:rsid w:val="000D7546"/>
    <w:rsid w:val="000D765A"/>
    <w:rsid w:val="000D76A4"/>
    <w:rsid w:val="000D76B9"/>
    <w:rsid w:val="000D76E1"/>
    <w:rsid w:val="000D7706"/>
    <w:rsid w:val="000D7788"/>
    <w:rsid w:val="000D7798"/>
    <w:rsid w:val="000D77A1"/>
    <w:rsid w:val="000D77A7"/>
    <w:rsid w:val="000D783F"/>
    <w:rsid w:val="000D786F"/>
    <w:rsid w:val="000D78E9"/>
    <w:rsid w:val="000D78F5"/>
    <w:rsid w:val="000D79C9"/>
    <w:rsid w:val="000D7A4D"/>
    <w:rsid w:val="000D7B25"/>
    <w:rsid w:val="000D7BC3"/>
    <w:rsid w:val="000D7C2F"/>
    <w:rsid w:val="000D7C48"/>
    <w:rsid w:val="000D7C85"/>
    <w:rsid w:val="000D7C88"/>
    <w:rsid w:val="000D7CEC"/>
    <w:rsid w:val="000D7CFB"/>
    <w:rsid w:val="000D7D67"/>
    <w:rsid w:val="000D7D7B"/>
    <w:rsid w:val="000D7D7E"/>
    <w:rsid w:val="000D7E42"/>
    <w:rsid w:val="000D7FF8"/>
    <w:rsid w:val="000E0017"/>
    <w:rsid w:val="000E0167"/>
    <w:rsid w:val="000E0175"/>
    <w:rsid w:val="000E0206"/>
    <w:rsid w:val="000E0314"/>
    <w:rsid w:val="000E032C"/>
    <w:rsid w:val="000E0384"/>
    <w:rsid w:val="000E0503"/>
    <w:rsid w:val="000E0515"/>
    <w:rsid w:val="000E05B6"/>
    <w:rsid w:val="000E076E"/>
    <w:rsid w:val="000E080A"/>
    <w:rsid w:val="000E08ED"/>
    <w:rsid w:val="000E0952"/>
    <w:rsid w:val="000E0A46"/>
    <w:rsid w:val="000E0A90"/>
    <w:rsid w:val="000E0ACC"/>
    <w:rsid w:val="000E0B74"/>
    <w:rsid w:val="000E0BA2"/>
    <w:rsid w:val="000E0BB2"/>
    <w:rsid w:val="000E0CF6"/>
    <w:rsid w:val="000E0D30"/>
    <w:rsid w:val="000E0E75"/>
    <w:rsid w:val="000E0EC4"/>
    <w:rsid w:val="000E0EEC"/>
    <w:rsid w:val="000E0EF1"/>
    <w:rsid w:val="000E0FF8"/>
    <w:rsid w:val="000E1001"/>
    <w:rsid w:val="000E1002"/>
    <w:rsid w:val="000E10ED"/>
    <w:rsid w:val="000E1166"/>
    <w:rsid w:val="000E1199"/>
    <w:rsid w:val="000E11D6"/>
    <w:rsid w:val="000E13F8"/>
    <w:rsid w:val="000E1429"/>
    <w:rsid w:val="000E144B"/>
    <w:rsid w:val="000E14A2"/>
    <w:rsid w:val="000E152C"/>
    <w:rsid w:val="000E160A"/>
    <w:rsid w:val="000E16DC"/>
    <w:rsid w:val="000E16F6"/>
    <w:rsid w:val="000E1756"/>
    <w:rsid w:val="000E1807"/>
    <w:rsid w:val="000E1888"/>
    <w:rsid w:val="000E1993"/>
    <w:rsid w:val="000E1A95"/>
    <w:rsid w:val="000E1AA0"/>
    <w:rsid w:val="000E1B7A"/>
    <w:rsid w:val="000E1CC4"/>
    <w:rsid w:val="000E1D1A"/>
    <w:rsid w:val="000E1D40"/>
    <w:rsid w:val="000E1D52"/>
    <w:rsid w:val="000E1DA8"/>
    <w:rsid w:val="000E1DBE"/>
    <w:rsid w:val="000E1DE3"/>
    <w:rsid w:val="000E1EBA"/>
    <w:rsid w:val="000E200C"/>
    <w:rsid w:val="000E2046"/>
    <w:rsid w:val="000E206E"/>
    <w:rsid w:val="000E2171"/>
    <w:rsid w:val="000E220B"/>
    <w:rsid w:val="000E2251"/>
    <w:rsid w:val="000E2413"/>
    <w:rsid w:val="000E243E"/>
    <w:rsid w:val="000E24B2"/>
    <w:rsid w:val="000E25D9"/>
    <w:rsid w:val="000E2614"/>
    <w:rsid w:val="000E26C0"/>
    <w:rsid w:val="000E2711"/>
    <w:rsid w:val="000E27C1"/>
    <w:rsid w:val="000E2955"/>
    <w:rsid w:val="000E29EC"/>
    <w:rsid w:val="000E2A35"/>
    <w:rsid w:val="000E2A4E"/>
    <w:rsid w:val="000E2BD5"/>
    <w:rsid w:val="000E2BFC"/>
    <w:rsid w:val="000E2C09"/>
    <w:rsid w:val="000E2D98"/>
    <w:rsid w:val="000E2EFD"/>
    <w:rsid w:val="000E2F05"/>
    <w:rsid w:val="000E3047"/>
    <w:rsid w:val="000E315F"/>
    <w:rsid w:val="000E329B"/>
    <w:rsid w:val="000E32DF"/>
    <w:rsid w:val="000E3347"/>
    <w:rsid w:val="000E33A8"/>
    <w:rsid w:val="000E33B5"/>
    <w:rsid w:val="000E348D"/>
    <w:rsid w:val="000E35E6"/>
    <w:rsid w:val="000E363F"/>
    <w:rsid w:val="000E365E"/>
    <w:rsid w:val="000E36C3"/>
    <w:rsid w:val="000E3740"/>
    <w:rsid w:val="000E37D0"/>
    <w:rsid w:val="000E3808"/>
    <w:rsid w:val="000E3872"/>
    <w:rsid w:val="000E38EF"/>
    <w:rsid w:val="000E3920"/>
    <w:rsid w:val="000E3A60"/>
    <w:rsid w:val="000E3AE0"/>
    <w:rsid w:val="000E3B06"/>
    <w:rsid w:val="000E3C9F"/>
    <w:rsid w:val="000E3E1A"/>
    <w:rsid w:val="000E3E26"/>
    <w:rsid w:val="000E3EBE"/>
    <w:rsid w:val="000E3ECB"/>
    <w:rsid w:val="000E3F4C"/>
    <w:rsid w:val="000E4004"/>
    <w:rsid w:val="000E4005"/>
    <w:rsid w:val="000E4040"/>
    <w:rsid w:val="000E4051"/>
    <w:rsid w:val="000E4066"/>
    <w:rsid w:val="000E40EB"/>
    <w:rsid w:val="000E410D"/>
    <w:rsid w:val="000E4179"/>
    <w:rsid w:val="000E419B"/>
    <w:rsid w:val="000E41A8"/>
    <w:rsid w:val="000E41E9"/>
    <w:rsid w:val="000E41F3"/>
    <w:rsid w:val="000E42F0"/>
    <w:rsid w:val="000E4395"/>
    <w:rsid w:val="000E44E2"/>
    <w:rsid w:val="000E4552"/>
    <w:rsid w:val="000E475E"/>
    <w:rsid w:val="000E4834"/>
    <w:rsid w:val="000E48CC"/>
    <w:rsid w:val="000E491D"/>
    <w:rsid w:val="000E493E"/>
    <w:rsid w:val="000E497E"/>
    <w:rsid w:val="000E49E9"/>
    <w:rsid w:val="000E49FC"/>
    <w:rsid w:val="000E4A69"/>
    <w:rsid w:val="000E4AE0"/>
    <w:rsid w:val="000E4B1A"/>
    <w:rsid w:val="000E4BF1"/>
    <w:rsid w:val="000E4C52"/>
    <w:rsid w:val="000E4C97"/>
    <w:rsid w:val="000E4CC4"/>
    <w:rsid w:val="000E4DBF"/>
    <w:rsid w:val="000E4DC2"/>
    <w:rsid w:val="000E4E1E"/>
    <w:rsid w:val="000E4F03"/>
    <w:rsid w:val="000E4FA1"/>
    <w:rsid w:val="000E5074"/>
    <w:rsid w:val="000E50AB"/>
    <w:rsid w:val="000E5110"/>
    <w:rsid w:val="000E522C"/>
    <w:rsid w:val="000E5281"/>
    <w:rsid w:val="000E52E6"/>
    <w:rsid w:val="000E52FC"/>
    <w:rsid w:val="000E5373"/>
    <w:rsid w:val="000E53FD"/>
    <w:rsid w:val="000E541B"/>
    <w:rsid w:val="000E5437"/>
    <w:rsid w:val="000E5463"/>
    <w:rsid w:val="000E5484"/>
    <w:rsid w:val="000E54E2"/>
    <w:rsid w:val="000E54EA"/>
    <w:rsid w:val="000E5508"/>
    <w:rsid w:val="000E5560"/>
    <w:rsid w:val="000E55C3"/>
    <w:rsid w:val="000E562B"/>
    <w:rsid w:val="000E56D4"/>
    <w:rsid w:val="000E57BD"/>
    <w:rsid w:val="000E5867"/>
    <w:rsid w:val="000E5869"/>
    <w:rsid w:val="000E58AD"/>
    <w:rsid w:val="000E58C2"/>
    <w:rsid w:val="000E5903"/>
    <w:rsid w:val="000E599A"/>
    <w:rsid w:val="000E59CA"/>
    <w:rsid w:val="000E5A08"/>
    <w:rsid w:val="000E5A21"/>
    <w:rsid w:val="000E5BF3"/>
    <w:rsid w:val="000E5C71"/>
    <w:rsid w:val="000E5C76"/>
    <w:rsid w:val="000E5F18"/>
    <w:rsid w:val="000E5F22"/>
    <w:rsid w:val="000E5F42"/>
    <w:rsid w:val="000E5F55"/>
    <w:rsid w:val="000E5FAF"/>
    <w:rsid w:val="000E5FB8"/>
    <w:rsid w:val="000E604E"/>
    <w:rsid w:val="000E6074"/>
    <w:rsid w:val="000E60F5"/>
    <w:rsid w:val="000E610F"/>
    <w:rsid w:val="000E612E"/>
    <w:rsid w:val="000E6154"/>
    <w:rsid w:val="000E62C4"/>
    <w:rsid w:val="000E62D6"/>
    <w:rsid w:val="000E631F"/>
    <w:rsid w:val="000E632C"/>
    <w:rsid w:val="000E6369"/>
    <w:rsid w:val="000E63C0"/>
    <w:rsid w:val="000E64FE"/>
    <w:rsid w:val="000E6519"/>
    <w:rsid w:val="000E667E"/>
    <w:rsid w:val="000E66FE"/>
    <w:rsid w:val="000E673B"/>
    <w:rsid w:val="000E679D"/>
    <w:rsid w:val="000E68D3"/>
    <w:rsid w:val="000E6AA9"/>
    <w:rsid w:val="000E6BD4"/>
    <w:rsid w:val="000E6C06"/>
    <w:rsid w:val="000E6C58"/>
    <w:rsid w:val="000E6C81"/>
    <w:rsid w:val="000E6C89"/>
    <w:rsid w:val="000E6D47"/>
    <w:rsid w:val="000E6E8E"/>
    <w:rsid w:val="000E6EA7"/>
    <w:rsid w:val="000E6EBD"/>
    <w:rsid w:val="000E6EDE"/>
    <w:rsid w:val="000E7083"/>
    <w:rsid w:val="000E70BD"/>
    <w:rsid w:val="000E70C8"/>
    <w:rsid w:val="000E70F1"/>
    <w:rsid w:val="000E7113"/>
    <w:rsid w:val="000E713C"/>
    <w:rsid w:val="000E7230"/>
    <w:rsid w:val="000E7295"/>
    <w:rsid w:val="000E72AB"/>
    <w:rsid w:val="000E7317"/>
    <w:rsid w:val="000E731F"/>
    <w:rsid w:val="000E7458"/>
    <w:rsid w:val="000E7491"/>
    <w:rsid w:val="000E75EE"/>
    <w:rsid w:val="000E7700"/>
    <w:rsid w:val="000E771C"/>
    <w:rsid w:val="000E7828"/>
    <w:rsid w:val="000E7901"/>
    <w:rsid w:val="000E7907"/>
    <w:rsid w:val="000E7958"/>
    <w:rsid w:val="000E7A51"/>
    <w:rsid w:val="000E7A57"/>
    <w:rsid w:val="000E7A78"/>
    <w:rsid w:val="000E7ADE"/>
    <w:rsid w:val="000E7AF7"/>
    <w:rsid w:val="000E7B41"/>
    <w:rsid w:val="000E7C66"/>
    <w:rsid w:val="000E7CCE"/>
    <w:rsid w:val="000E7D82"/>
    <w:rsid w:val="000E7DCF"/>
    <w:rsid w:val="000E7E65"/>
    <w:rsid w:val="000E7F17"/>
    <w:rsid w:val="000E7F3A"/>
    <w:rsid w:val="000E7F78"/>
    <w:rsid w:val="000F0053"/>
    <w:rsid w:val="000F006F"/>
    <w:rsid w:val="000F00A7"/>
    <w:rsid w:val="000F00B0"/>
    <w:rsid w:val="000F018B"/>
    <w:rsid w:val="000F03A9"/>
    <w:rsid w:val="000F0546"/>
    <w:rsid w:val="000F05CE"/>
    <w:rsid w:val="000F06B3"/>
    <w:rsid w:val="000F06F6"/>
    <w:rsid w:val="000F0706"/>
    <w:rsid w:val="000F075B"/>
    <w:rsid w:val="000F079A"/>
    <w:rsid w:val="000F087A"/>
    <w:rsid w:val="000F08F8"/>
    <w:rsid w:val="000F0983"/>
    <w:rsid w:val="000F09F0"/>
    <w:rsid w:val="000F0AA2"/>
    <w:rsid w:val="000F0AF3"/>
    <w:rsid w:val="000F0B21"/>
    <w:rsid w:val="000F0C8F"/>
    <w:rsid w:val="000F0CD2"/>
    <w:rsid w:val="000F0CEC"/>
    <w:rsid w:val="000F0D0C"/>
    <w:rsid w:val="000F0D36"/>
    <w:rsid w:val="000F0D78"/>
    <w:rsid w:val="000F0E52"/>
    <w:rsid w:val="000F0EFA"/>
    <w:rsid w:val="000F0F12"/>
    <w:rsid w:val="000F0F39"/>
    <w:rsid w:val="000F0F62"/>
    <w:rsid w:val="000F0FFC"/>
    <w:rsid w:val="000F1010"/>
    <w:rsid w:val="000F108E"/>
    <w:rsid w:val="000F1095"/>
    <w:rsid w:val="000F1137"/>
    <w:rsid w:val="000F12C5"/>
    <w:rsid w:val="000F1301"/>
    <w:rsid w:val="000F13D2"/>
    <w:rsid w:val="000F1436"/>
    <w:rsid w:val="000F145E"/>
    <w:rsid w:val="000F1491"/>
    <w:rsid w:val="000F154C"/>
    <w:rsid w:val="000F15B0"/>
    <w:rsid w:val="000F15C1"/>
    <w:rsid w:val="000F1634"/>
    <w:rsid w:val="000F16AF"/>
    <w:rsid w:val="000F16D7"/>
    <w:rsid w:val="000F1919"/>
    <w:rsid w:val="000F1928"/>
    <w:rsid w:val="000F1A52"/>
    <w:rsid w:val="000F1AA9"/>
    <w:rsid w:val="000F1B22"/>
    <w:rsid w:val="000F1B76"/>
    <w:rsid w:val="000F1B7C"/>
    <w:rsid w:val="000F1C78"/>
    <w:rsid w:val="000F1C84"/>
    <w:rsid w:val="000F1C98"/>
    <w:rsid w:val="000F1D39"/>
    <w:rsid w:val="000F1D51"/>
    <w:rsid w:val="000F1D8A"/>
    <w:rsid w:val="000F1E33"/>
    <w:rsid w:val="000F1E7C"/>
    <w:rsid w:val="000F1E92"/>
    <w:rsid w:val="000F1F26"/>
    <w:rsid w:val="000F21CB"/>
    <w:rsid w:val="000F21F6"/>
    <w:rsid w:val="000F22AC"/>
    <w:rsid w:val="000F230F"/>
    <w:rsid w:val="000F2347"/>
    <w:rsid w:val="000F2464"/>
    <w:rsid w:val="000F2572"/>
    <w:rsid w:val="000F2596"/>
    <w:rsid w:val="000F25CC"/>
    <w:rsid w:val="000F265B"/>
    <w:rsid w:val="000F2694"/>
    <w:rsid w:val="000F274C"/>
    <w:rsid w:val="000F2757"/>
    <w:rsid w:val="000F2787"/>
    <w:rsid w:val="000F2837"/>
    <w:rsid w:val="000F287F"/>
    <w:rsid w:val="000F28E8"/>
    <w:rsid w:val="000F297F"/>
    <w:rsid w:val="000F2A38"/>
    <w:rsid w:val="000F2ABE"/>
    <w:rsid w:val="000F2B41"/>
    <w:rsid w:val="000F2C97"/>
    <w:rsid w:val="000F2CC8"/>
    <w:rsid w:val="000F2D7C"/>
    <w:rsid w:val="000F2E08"/>
    <w:rsid w:val="000F2E12"/>
    <w:rsid w:val="000F2E84"/>
    <w:rsid w:val="000F2EC1"/>
    <w:rsid w:val="000F2F33"/>
    <w:rsid w:val="000F3001"/>
    <w:rsid w:val="000F303D"/>
    <w:rsid w:val="000F3141"/>
    <w:rsid w:val="000F32AB"/>
    <w:rsid w:val="000F32D5"/>
    <w:rsid w:val="000F331D"/>
    <w:rsid w:val="000F337C"/>
    <w:rsid w:val="000F33B6"/>
    <w:rsid w:val="000F33CD"/>
    <w:rsid w:val="000F34B9"/>
    <w:rsid w:val="000F35A1"/>
    <w:rsid w:val="000F35CD"/>
    <w:rsid w:val="000F369E"/>
    <w:rsid w:val="000F383F"/>
    <w:rsid w:val="000F3850"/>
    <w:rsid w:val="000F3898"/>
    <w:rsid w:val="000F38A2"/>
    <w:rsid w:val="000F38BB"/>
    <w:rsid w:val="000F38CA"/>
    <w:rsid w:val="000F390A"/>
    <w:rsid w:val="000F394A"/>
    <w:rsid w:val="000F395F"/>
    <w:rsid w:val="000F3987"/>
    <w:rsid w:val="000F39EE"/>
    <w:rsid w:val="000F3A55"/>
    <w:rsid w:val="000F3A5A"/>
    <w:rsid w:val="000F3B8B"/>
    <w:rsid w:val="000F3C12"/>
    <w:rsid w:val="000F3C82"/>
    <w:rsid w:val="000F3D01"/>
    <w:rsid w:val="000F3D2A"/>
    <w:rsid w:val="000F3D3B"/>
    <w:rsid w:val="000F3D5C"/>
    <w:rsid w:val="000F3DD1"/>
    <w:rsid w:val="000F3E95"/>
    <w:rsid w:val="000F3EF4"/>
    <w:rsid w:val="000F3FC3"/>
    <w:rsid w:val="000F4002"/>
    <w:rsid w:val="000F4151"/>
    <w:rsid w:val="000F4246"/>
    <w:rsid w:val="000F42B9"/>
    <w:rsid w:val="000F42DD"/>
    <w:rsid w:val="000F4333"/>
    <w:rsid w:val="000F438E"/>
    <w:rsid w:val="000F44F3"/>
    <w:rsid w:val="000F4576"/>
    <w:rsid w:val="000F4578"/>
    <w:rsid w:val="000F45E6"/>
    <w:rsid w:val="000F4691"/>
    <w:rsid w:val="000F469F"/>
    <w:rsid w:val="000F478E"/>
    <w:rsid w:val="000F47CC"/>
    <w:rsid w:val="000F4A89"/>
    <w:rsid w:val="000F4AA2"/>
    <w:rsid w:val="000F4AA7"/>
    <w:rsid w:val="000F4C20"/>
    <w:rsid w:val="000F4CBA"/>
    <w:rsid w:val="000F4CE3"/>
    <w:rsid w:val="000F4D34"/>
    <w:rsid w:val="000F4F14"/>
    <w:rsid w:val="000F4F48"/>
    <w:rsid w:val="000F4F83"/>
    <w:rsid w:val="000F4FB7"/>
    <w:rsid w:val="000F5005"/>
    <w:rsid w:val="000F5008"/>
    <w:rsid w:val="000F5040"/>
    <w:rsid w:val="000F5129"/>
    <w:rsid w:val="000F515B"/>
    <w:rsid w:val="000F5166"/>
    <w:rsid w:val="000F51D4"/>
    <w:rsid w:val="000F535F"/>
    <w:rsid w:val="000F53F0"/>
    <w:rsid w:val="000F54ED"/>
    <w:rsid w:val="000F55BA"/>
    <w:rsid w:val="000F5622"/>
    <w:rsid w:val="000F562F"/>
    <w:rsid w:val="000F5672"/>
    <w:rsid w:val="000F5673"/>
    <w:rsid w:val="000F581F"/>
    <w:rsid w:val="000F5904"/>
    <w:rsid w:val="000F5A2E"/>
    <w:rsid w:val="000F5A45"/>
    <w:rsid w:val="000F5A97"/>
    <w:rsid w:val="000F5AA5"/>
    <w:rsid w:val="000F5B9D"/>
    <w:rsid w:val="000F5C3D"/>
    <w:rsid w:val="000F5C99"/>
    <w:rsid w:val="000F5D28"/>
    <w:rsid w:val="000F5D46"/>
    <w:rsid w:val="000F6012"/>
    <w:rsid w:val="000F603F"/>
    <w:rsid w:val="000F60CA"/>
    <w:rsid w:val="000F6131"/>
    <w:rsid w:val="000F6226"/>
    <w:rsid w:val="000F63ED"/>
    <w:rsid w:val="000F6459"/>
    <w:rsid w:val="000F64A8"/>
    <w:rsid w:val="000F64F4"/>
    <w:rsid w:val="000F663B"/>
    <w:rsid w:val="000F67BF"/>
    <w:rsid w:val="000F68C7"/>
    <w:rsid w:val="000F69E7"/>
    <w:rsid w:val="000F6A36"/>
    <w:rsid w:val="000F6A74"/>
    <w:rsid w:val="000F6AD2"/>
    <w:rsid w:val="000F6B97"/>
    <w:rsid w:val="000F6BED"/>
    <w:rsid w:val="000F6C25"/>
    <w:rsid w:val="000F6C63"/>
    <w:rsid w:val="000F6CD8"/>
    <w:rsid w:val="000F6CF0"/>
    <w:rsid w:val="000F6E1A"/>
    <w:rsid w:val="000F6F17"/>
    <w:rsid w:val="000F7088"/>
    <w:rsid w:val="000F7093"/>
    <w:rsid w:val="000F70B9"/>
    <w:rsid w:val="000F712B"/>
    <w:rsid w:val="000F7147"/>
    <w:rsid w:val="000F72A2"/>
    <w:rsid w:val="000F7303"/>
    <w:rsid w:val="000F738B"/>
    <w:rsid w:val="000F7392"/>
    <w:rsid w:val="000F741B"/>
    <w:rsid w:val="000F7432"/>
    <w:rsid w:val="000F74E3"/>
    <w:rsid w:val="000F750D"/>
    <w:rsid w:val="000F7563"/>
    <w:rsid w:val="000F764F"/>
    <w:rsid w:val="000F765C"/>
    <w:rsid w:val="000F7676"/>
    <w:rsid w:val="000F7678"/>
    <w:rsid w:val="000F7759"/>
    <w:rsid w:val="000F7773"/>
    <w:rsid w:val="000F77AC"/>
    <w:rsid w:val="000F7808"/>
    <w:rsid w:val="000F7A81"/>
    <w:rsid w:val="000F7B8E"/>
    <w:rsid w:val="000F7BD6"/>
    <w:rsid w:val="000F7CCF"/>
    <w:rsid w:val="000F7D41"/>
    <w:rsid w:val="000F7D9C"/>
    <w:rsid w:val="000F7F10"/>
    <w:rsid w:val="00100163"/>
    <w:rsid w:val="0010016D"/>
    <w:rsid w:val="001001E1"/>
    <w:rsid w:val="00100311"/>
    <w:rsid w:val="0010033A"/>
    <w:rsid w:val="00100445"/>
    <w:rsid w:val="001005AA"/>
    <w:rsid w:val="001007B0"/>
    <w:rsid w:val="001008DA"/>
    <w:rsid w:val="001009A0"/>
    <w:rsid w:val="00100B67"/>
    <w:rsid w:val="00100B85"/>
    <w:rsid w:val="00100B9D"/>
    <w:rsid w:val="00100BFB"/>
    <w:rsid w:val="00100DA0"/>
    <w:rsid w:val="00100E4E"/>
    <w:rsid w:val="00100F60"/>
    <w:rsid w:val="00101116"/>
    <w:rsid w:val="001011B4"/>
    <w:rsid w:val="00101224"/>
    <w:rsid w:val="00101271"/>
    <w:rsid w:val="00101285"/>
    <w:rsid w:val="001012C4"/>
    <w:rsid w:val="00101382"/>
    <w:rsid w:val="001014AE"/>
    <w:rsid w:val="001014E1"/>
    <w:rsid w:val="001015C7"/>
    <w:rsid w:val="0010171B"/>
    <w:rsid w:val="00101739"/>
    <w:rsid w:val="00101806"/>
    <w:rsid w:val="001018D8"/>
    <w:rsid w:val="001018EB"/>
    <w:rsid w:val="001018EE"/>
    <w:rsid w:val="001019C3"/>
    <w:rsid w:val="00101A67"/>
    <w:rsid w:val="00101D5E"/>
    <w:rsid w:val="00101DB0"/>
    <w:rsid w:val="00101E89"/>
    <w:rsid w:val="00101EFC"/>
    <w:rsid w:val="00101F1B"/>
    <w:rsid w:val="00101FBF"/>
    <w:rsid w:val="0010200B"/>
    <w:rsid w:val="00102087"/>
    <w:rsid w:val="00102145"/>
    <w:rsid w:val="001021C8"/>
    <w:rsid w:val="001022A4"/>
    <w:rsid w:val="00102323"/>
    <w:rsid w:val="00102343"/>
    <w:rsid w:val="0010234E"/>
    <w:rsid w:val="001023E6"/>
    <w:rsid w:val="00102439"/>
    <w:rsid w:val="00102622"/>
    <w:rsid w:val="00102626"/>
    <w:rsid w:val="001026E2"/>
    <w:rsid w:val="001026F2"/>
    <w:rsid w:val="001027AB"/>
    <w:rsid w:val="001027D6"/>
    <w:rsid w:val="001027D9"/>
    <w:rsid w:val="0010299A"/>
    <w:rsid w:val="00102A26"/>
    <w:rsid w:val="00102A56"/>
    <w:rsid w:val="00102A69"/>
    <w:rsid w:val="00102BCC"/>
    <w:rsid w:val="00102C40"/>
    <w:rsid w:val="00102C47"/>
    <w:rsid w:val="00102C90"/>
    <w:rsid w:val="00102CC0"/>
    <w:rsid w:val="00102CDA"/>
    <w:rsid w:val="00102CE8"/>
    <w:rsid w:val="00102D99"/>
    <w:rsid w:val="00102E50"/>
    <w:rsid w:val="00102F5F"/>
    <w:rsid w:val="0010300E"/>
    <w:rsid w:val="00103025"/>
    <w:rsid w:val="0010306B"/>
    <w:rsid w:val="00103078"/>
    <w:rsid w:val="00103108"/>
    <w:rsid w:val="00103158"/>
    <w:rsid w:val="00103224"/>
    <w:rsid w:val="001033BF"/>
    <w:rsid w:val="001033D7"/>
    <w:rsid w:val="0010347C"/>
    <w:rsid w:val="001036B2"/>
    <w:rsid w:val="00103724"/>
    <w:rsid w:val="001037EE"/>
    <w:rsid w:val="001039A5"/>
    <w:rsid w:val="00103AB6"/>
    <w:rsid w:val="00103AC6"/>
    <w:rsid w:val="00103AFE"/>
    <w:rsid w:val="00103B05"/>
    <w:rsid w:val="00103B6F"/>
    <w:rsid w:val="00103C11"/>
    <w:rsid w:val="00103C1B"/>
    <w:rsid w:val="00103C46"/>
    <w:rsid w:val="00103C82"/>
    <w:rsid w:val="00103C94"/>
    <w:rsid w:val="00103C97"/>
    <w:rsid w:val="00103CB2"/>
    <w:rsid w:val="00103D76"/>
    <w:rsid w:val="00103D9F"/>
    <w:rsid w:val="00103DE9"/>
    <w:rsid w:val="00103E68"/>
    <w:rsid w:val="00103E99"/>
    <w:rsid w:val="00103FAB"/>
    <w:rsid w:val="00103FDF"/>
    <w:rsid w:val="00104030"/>
    <w:rsid w:val="00104096"/>
    <w:rsid w:val="00104190"/>
    <w:rsid w:val="00104221"/>
    <w:rsid w:val="001042D5"/>
    <w:rsid w:val="00104361"/>
    <w:rsid w:val="001044D6"/>
    <w:rsid w:val="0010454E"/>
    <w:rsid w:val="0010456D"/>
    <w:rsid w:val="001045D3"/>
    <w:rsid w:val="00104638"/>
    <w:rsid w:val="0010465E"/>
    <w:rsid w:val="0010467F"/>
    <w:rsid w:val="001047D7"/>
    <w:rsid w:val="00104895"/>
    <w:rsid w:val="00104991"/>
    <w:rsid w:val="001049FE"/>
    <w:rsid w:val="00104A12"/>
    <w:rsid w:val="00104A30"/>
    <w:rsid w:val="00104A32"/>
    <w:rsid w:val="00104A5E"/>
    <w:rsid w:val="00104AD7"/>
    <w:rsid w:val="00104B28"/>
    <w:rsid w:val="00104B9D"/>
    <w:rsid w:val="00104C2D"/>
    <w:rsid w:val="00104C98"/>
    <w:rsid w:val="00104CD5"/>
    <w:rsid w:val="00104D45"/>
    <w:rsid w:val="00104D57"/>
    <w:rsid w:val="00104D89"/>
    <w:rsid w:val="00104DD0"/>
    <w:rsid w:val="00104E01"/>
    <w:rsid w:val="00104E08"/>
    <w:rsid w:val="00104E8B"/>
    <w:rsid w:val="00104F01"/>
    <w:rsid w:val="00104F16"/>
    <w:rsid w:val="0010516A"/>
    <w:rsid w:val="00105213"/>
    <w:rsid w:val="001052CF"/>
    <w:rsid w:val="001052EE"/>
    <w:rsid w:val="001052FB"/>
    <w:rsid w:val="00105397"/>
    <w:rsid w:val="001054CD"/>
    <w:rsid w:val="0010553E"/>
    <w:rsid w:val="00105554"/>
    <w:rsid w:val="001055BA"/>
    <w:rsid w:val="00105676"/>
    <w:rsid w:val="001057C2"/>
    <w:rsid w:val="00105839"/>
    <w:rsid w:val="00105841"/>
    <w:rsid w:val="001058E8"/>
    <w:rsid w:val="001058FD"/>
    <w:rsid w:val="00105916"/>
    <w:rsid w:val="00105932"/>
    <w:rsid w:val="00105962"/>
    <w:rsid w:val="00105988"/>
    <w:rsid w:val="00105AB0"/>
    <w:rsid w:val="00105B13"/>
    <w:rsid w:val="00105B36"/>
    <w:rsid w:val="00105C70"/>
    <w:rsid w:val="00105C9E"/>
    <w:rsid w:val="00105D56"/>
    <w:rsid w:val="00105E83"/>
    <w:rsid w:val="00105F3A"/>
    <w:rsid w:val="00105FD1"/>
    <w:rsid w:val="0010617B"/>
    <w:rsid w:val="0010618A"/>
    <w:rsid w:val="001061DC"/>
    <w:rsid w:val="00106484"/>
    <w:rsid w:val="00106486"/>
    <w:rsid w:val="001064C2"/>
    <w:rsid w:val="001064D7"/>
    <w:rsid w:val="00106593"/>
    <w:rsid w:val="00106A1E"/>
    <w:rsid w:val="00106A84"/>
    <w:rsid w:val="00106B54"/>
    <w:rsid w:val="00106B66"/>
    <w:rsid w:val="00106B92"/>
    <w:rsid w:val="00106BB1"/>
    <w:rsid w:val="00106BC0"/>
    <w:rsid w:val="00106C3E"/>
    <w:rsid w:val="00106C5A"/>
    <w:rsid w:val="00106E23"/>
    <w:rsid w:val="00106E46"/>
    <w:rsid w:val="00106E94"/>
    <w:rsid w:val="00106F48"/>
    <w:rsid w:val="00107020"/>
    <w:rsid w:val="0010707A"/>
    <w:rsid w:val="001070DA"/>
    <w:rsid w:val="0010712E"/>
    <w:rsid w:val="0010721D"/>
    <w:rsid w:val="0010723E"/>
    <w:rsid w:val="00107303"/>
    <w:rsid w:val="00107393"/>
    <w:rsid w:val="001074CF"/>
    <w:rsid w:val="001074EB"/>
    <w:rsid w:val="00107836"/>
    <w:rsid w:val="001078F1"/>
    <w:rsid w:val="0010790D"/>
    <w:rsid w:val="00107A92"/>
    <w:rsid w:val="00107AC2"/>
    <w:rsid w:val="00107CAC"/>
    <w:rsid w:val="00107DB9"/>
    <w:rsid w:val="00107E88"/>
    <w:rsid w:val="00107E95"/>
    <w:rsid w:val="00107F62"/>
    <w:rsid w:val="00107FC7"/>
    <w:rsid w:val="00110057"/>
    <w:rsid w:val="00110089"/>
    <w:rsid w:val="001100C1"/>
    <w:rsid w:val="001100F1"/>
    <w:rsid w:val="0011015C"/>
    <w:rsid w:val="00110162"/>
    <w:rsid w:val="0011022F"/>
    <w:rsid w:val="001102C8"/>
    <w:rsid w:val="0011043B"/>
    <w:rsid w:val="00110476"/>
    <w:rsid w:val="0011047D"/>
    <w:rsid w:val="0011049D"/>
    <w:rsid w:val="0011064E"/>
    <w:rsid w:val="0011065C"/>
    <w:rsid w:val="001106E2"/>
    <w:rsid w:val="00110911"/>
    <w:rsid w:val="00110997"/>
    <w:rsid w:val="00110A8D"/>
    <w:rsid w:val="00110B87"/>
    <w:rsid w:val="00110C42"/>
    <w:rsid w:val="00110D33"/>
    <w:rsid w:val="00110D71"/>
    <w:rsid w:val="00110EB0"/>
    <w:rsid w:val="00110FE5"/>
    <w:rsid w:val="001112A0"/>
    <w:rsid w:val="001112F7"/>
    <w:rsid w:val="00111322"/>
    <w:rsid w:val="00111368"/>
    <w:rsid w:val="0011138B"/>
    <w:rsid w:val="0011140D"/>
    <w:rsid w:val="00111418"/>
    <w:rsid w:val="001114B6"/>
    <w:rsid w:val="001114DB"/>
    <w:rsid w:val="00111683"/>
    <w:rsid w:val="00111784"/>
    <w:rsid w:val="0011179E"/>
    <w:rsid w:val="001118EC"/>
    <w:rsid w:val="001118FE"/>
    <w:rsid w:val="001119BF"/>
    <w:rsid w:val="00111A53"/>
    <w:rsid w:val="00111A94"/>
    <w:rsid w:val="00111AE8"/>
    <w:rsid w:val="00111CD8"/>
    <w:rsid w:val="00111CF1"/>
    <w:rsid w:val="00111E06"/>
    <w:rsid w:val="00111E2E"/>
    <w:rsid w:val="00111E51"/>
    <w:rsid w:val="00111E5F"/>
    <w:rsid w:val="00111E63"/>
    <w:rsid w:val="00111F99"/>
    <w:rsid w:val="0011201B"/>
    <w:rsid w:val="0011202B"/>
    <w:rsid w:val="0011204C"/>
    <w:rsid w:val="001120D3"/>
    <w:rsid w:val="00112173"/>
    <w:rsid w:val="001122CB"/>
    <w:rsid w:val="001122FB"/>
    <w:rsid w:val="00112376"/>
    <w:rsid w:val="0011237F"/>
    <w:rsid w:val="001123B3"/>
    <w:rsid w:val="001123B7"/>
    <w:rsid w:val="00112433"/>
    <w:rsid w:val="00112523"/>
    <w:rsid w:val="00112704"/>
    <w:rsid w:val="00112761"/>
    <w:rsid w:val="001127B3"/>
    <w:rsid w:val="001127F2"/>
    <w:rsid w:val="00112813"/>
    <w:rsid w:val="00112855"/>
    <w:rsid w:val="00112879"/>
    <w:rsid w:val="00112991"/>
    <w:rsid w:val="00112A93"/>
    <w:rsid w:val="00112A9F"/>
    <w:rsid w:val="00112BAE"/>
    <w:rsid w:val="00112C6D"/>
    <w:rsid w:val="00112CAB"/>
    <w:rsid w:val="00112D38"/>
    <w:rsid w:val="00112D9C"/>
    <w:rsid w:val="00112E6C"/>
    <w:rsid w:val="00112E7B"/>
    <w:rsid w:val="00112F5B"/>
    <w:rsid w:val="00112FC9"/>
    <w:rsid w:val="00112FEB"/>
    <w:rsid w:val="0011303B"/>
    <w:rsid w:val="00113185"/>
    <w:rsid w:val="00113422"/>
    <w:rsid w:val="0011345B"/>
    <w:rsid w:val="0011359B"/>
    <w:rsid w:val="001135B3"/>
    <w:rsid w:val="00113690"/>
    <w:rsid w:val="00113729"/>
    <w:rsid w:val="00113789"/>
    <w:rsid w:val="001138ED"/>
    <w:rsid w:val="00113A2A"/>
    <w:rsid w:val="00113AEC"/>
    <w:rsid w:val="00113B63"/>
    <w:rsid w:val="00113B8D"/>
    <w:rsid w:val="00113CAE"/>
    <w:rsid w:val="00113CAF"/>
    <w:rsid w:val="00113E37"/>
    <w:rsid w:val="00113FC7"/>
    <w:rsid w:val="00114054"/>
    <w:rsid w:val="00114108"/>
    <w:rsid w:val="001142D2"/>
    <w:rsid w:val="0011441C"/>
    <w:rsid w:val="001144ED"/>
    <w:rsid w:val="0011452B"/>
    <w:rsid w:val="001145F0"/>
    <w:rsid w:val="001145F6"/>
    <w:rsid w:val="0011462D"/>
    <w:rsid w:val="0011465C"/>
    <w:rsid w:val="0011468F"/>
    <w:rsid w:val="001146D4"/>
    <w:rsid w:val="001147A0"/>
    <w:rsid w:val="0011487A"/>
    <w:rsid w:val="0011494D"/>
    <w:rsid w:val="001149E0"/>
    <w:rsid w:val="00114A3F"/>
    <w:rsid w:val="00114AC1"/>
    <w:rsid w:val="00114AF2"/>
    <w:rsid w:val="00114BBF"/>
    <w:rsid w:val="00114D72"/>
    <w:rsid w:val="00114DB0"/>
    <w:rsid w:val="00114E5F"/>
    <w:rsid w:val="0011504F"/>
    <w:rsid w:val="00115059"/>
    <w:rsid w:val="00115093"/>
    <w:rsid w:val="001150C4"/>
    <w:rsid w:val="00115163"/>
    <w:rsid w:val="0011516A"/>
    <w:rsid w:val="001151A6"/>
    <w:rsid w:val="00115260"/>
    <w:rsid w:val="001152BC"/>
    <w:rsid w:val="0011532D"/>
    <w:rsid w:val="0011535F"/>
    <w:rsid w:val="00115440"/>
    <w:rsid w:val="001154F6"/>
    <w:rsid w:val="00115508"/>
    <w:rsid w:val="001155B9"/>
    <w:rsid w:val="001155C8"/>
    <w:rsid w:val="00115622"/>
    <w:rsid w:val="0011571A"/>
    <w:rsid w:val="00115724"/>
    <w:rsid w:val="00115748"/>
    <w:rsid w:val="0011575B"/>
    <w:rsid w:val="0011578D"/>
    <w:rsid w:val="001157B1"/>
    <w:rsid w:val="001158CC"/>
    <w:rsid w:val="001158CF"/>
    <w:rsid w:val="0011594A"/>
    <w:rsid w:val="001159B7"/>
    <w:rsid w:val="001159C1"/>
    <w:rsid w:val="00115A9B"/>
    <w:rsid w:val="00115AB7"/>
    <w:rsid w:val="00115AD1"/>
    <w:rsid w:val="00115B1E"/>
    <w:rsid w:val="00115C02"/>
    <w:rsid w:val="00115C30"/>
    <w:rsid w:val="00115C72"/>
    <w:rsid w:val="00115CE4"/>
    <w:rsid w:val="00115CF2"/>
    <w:rsid w:val="00115D38"/>
    <w:rsid w:val="00115D39"/>
    <w:rsid w:val="00115D89"/>
    <w:rsid w:val="00115F4E"/>
    <w:rsid w:val="00116079"/>
    <w:rsid w:val="00116146"/>
    <w:rsid w:val="00116172"/>
    <w:rsid w:val="0011624F"/>
    <w:rsid w:val="00116278"/>
    <w:rsid w:val="001162B1"/>
    <w:rsid w:val="00116495"/>
    <w:rsid w:val="001164ED"/>
    <w:rsid w:val="0011656E"/>
    <w:rsid w:val="001165F6"/>
    <w:rsid w:val="0011668F"/>
    <w:rsid w:val="001166A4"/>
    <w:rsid w:val="001166B3"/>
    <w:rsid w:val="0011681F"/>
    <w:rsid w:val="00116995"/>
    <w:rsid w:val="001169A5"/>
    <w:rsid w:val="001169F5"/>
    <w:rsid w:val="00116A07"/>
    <w:rsid w:val="00116A97"/>
    <w:rsid w:val="00116C53"/>
    <w:rsid w:val="00116CDC"/>
    <w:rsid w:val="00116DC5"/>
    <w:rsid w:val="00116E4E"/>
    <w:rsid w:val="00116E5E"/>
    <w:rsid w:val="00116E7E"/>
    <w:rsid w:val="00116E82"/>
    <w:rsid w:val="00116EEA"/>
    <w:rsid w:val="00116F3B"/>
    <w:rsid w:val="00116F90"/>
    <w:rsid w:val="00116F9D"/>
    <w:rsid w:val="00116FAE"/>
    <w:rsid w:val="0011700B"/>
    <w:rsid w:val="001171CE"/>
    <w:rsid w:val="001171E3"/>
    <w:rsid w:val="001171E8"/>
    <w:rsid w:val="00117307"/>
    <w:rsid w:val="00117444"/>
    <w:rsid w:val="001174CF"/>
    <w:rsid w:val="001174FF"/>
    <w:rsid w:val="001176E1"/>
    <w:rsid w:val="001177B9"/>
    <w:rsid w:val="001177DC"/>
    <w:rsid w:val="0011788A"/>
    <w:rsid w:val="001178CD"/>
    <w:rsid w:val="00117994"/>
    <w:rsid w:val="00117A00"/>
    <w:rsid w:val="00117A7C"/>
    <w:rsid w:val="00117B49"/>
    <w:rsid w:val="00117B55"/>
    <w:rsid w:val="00117D52"/>
    <w:rsid w:val="00117FB3"/>
    <w:rsid w:val="001201F7"/>
    <w:rsid w:val="00120244"/>
    <w:rsid w:val="0012036F"/>
    <w:rsid w:val="0012040B"/>
    <w:rsid w:val="0012040F"/>
    <w:rsid w:val="00120449"/>
    <w:rsid w:val="001204C5"/>
    <w:rsid w:val="001205D0"/>
    <w:rsid w:val="001205E3"/>
    <w:rsid w:val="00120601"/>
    <w:rsid w:val="00120648"/>
    <w:rsid w:val="00120681"/>
    <w:rsid w:val="00120747"/>
    <w:rsid w:val="00120759"/>
    <w:rsid w:val="001207C0"/>
    <w:rsid w:val="00120A9E"/>
    <w:rsid w:val="00120C88"/>
    <w:rsid w:val="00120CDA"/>
    <w:rsid w:val="00120D9B"/>
    <w:rsid w:val="00120EE6"/>
    <w:rsid w:val="00120EF4"/>
    <w:rsid w:val="00120EFE"/>
    <w:rsid w:val="00121007"/>
    <w:rsid w:val="00121020"/>
    <w:rsid w:val="00121085"/>
    <w:rsid w:val="001210D2"/>
    <w:rsid w:val="00121167"/>
    <w:rsid w:val="00121172"/>
    <w:rsid w:val="001211A7"/>
    <w:rsid w:val="001212B6"/>
    <w:rsid w:val="0012138F"/>
    <w:rsid w:val="001213BC"/>
    <w:rsid w:val="001213D4"/>
    <w:rsid w:val="00121497"/>
    <w:rsid w:val="0012158B"/>
    <w:rsid w:val="001215F7"/>
    <w:rsid w:val="00121769"/>
    <w:rsid w:val="001217C4"/>
    <w:rsid w:val="0012188D"/>
    <w:rsid w:val="001218DE"/>
    <w:rsid w:val="001219C7"/>
    <w:rsid w:val="001219CB"/>
    <w:rsid w:val="00121A8F"/>
    <w:rsid w:val="00121AD5"/>
    <w:rsid w:val="00121B0C"/>
    <w:rsid w:val="00121B9B"/>
    <w:rsid w:val="00121D27"/>
    <w:rsid w:val="00121D4D"/>
    <w:rsid w:val="00121DAC"/>
    <w:rsid w:val="00121E9A"/>
    <w:rsid w:val="00121FDA"/>
    <w:rsid w:val="00122140"/>
    <w:rsid w:val="00122159"/>
    <w:rsid w:val="00122167"/>
    <w:rsid w:val="001221C4"/>
    <w:rsid w:val="00122295"/>
    <w:rsid w:val="001222B9"/>
    <w:rsid w:val="00122360"/>
    <w:rsid w:val="001223C8"/>
    <w:rsid w:val="0012241C"/>
    <w:rsid w:val="00122436"/>
    <w:rsid w:val="0012252C"/>
    <w:rsid w:val="00122537"/>
    <w:rsid w:val="00122547"/>
    <w:rsid w:val="0012255D"/>
    <w:rsid w:val="00122569"/>
    <w:rsid w:val="00122604"/>
    <w:rsid w:val="001226DF"/>
    <w:rsid w:val="00122750"/>
    <w:rsid w:val="00122841"/>
    <w:rsid w:val="00122B0D"/>
    <w:rsid w:val="00122B4F"/>
    <w:rsid w:val="00122C7B"/>
    <w:rsid w:val="00122D5F"/>
    <w:rsid w:val="00122DCD"/>
    <w:rsid w:val="00122E88"/>
    <w:rsid w:val="00122EF6"/>
    <w:rsid w:val="00122F10"/>
    <w:rsid w:val="00122F37"/>
    <w:rsid w:val="00122F57"/>
    <w:rsid w:val="00122F9A"/>
    <w:rsid w:val="00123072"/>
    <w:rsid w:val="001230CD"/>
    <w:rsid w:val="001230DC"/>
    <w:rsid w:val="0012310C"/>
    <w:rsid w:val="00123144"/>
    <w:rsid w:val="001231D5"/>
    <w:rsid w:val="0012339C"/>
    <w:rsid w:val="001234E7"/>
    <w:rsid w:val="00123534"/>
    <w:rsid w:val="00123561"/>
    <w:rsid w:val="001236E6"/>
    <w:rsid w:val="001237C9"/>
    <w:rsid w:val="00123835"/>
    <w:rsid w:val="001238C0"/>
    <w:rsid w:val="001238F8"/>
    <w:rsid w:val="0012391E"/>
    <w:rsid w:val="001239D9"/>
    <w:rsid w:val="00123A23"/>
    <w:rsid w:val="00123A5D"/>
    <w:rsid w:val="00123A67"/>
    <w:rsid w:val="00123A78"/>
    <w:rsid w:val="00123B8C"/>
    <w:rsid w:val="00123BE3"/>
    <w:rsid w:val="00123C17"/>
    <w:rsid w:val="00123C82"/>
    <w:rsid w:val="00123D03"/>
    <w:rsid w:val="00123D47"/>
    <w:rsid w:val="00123D8F"/>
    <w:rsid w:val="00123EEC"/>
    <w:rsid w:val="001241B8"/>
    <w:rsid w:val="00124216"/>
    <w:rsid w:val="00124269"/>
    <w:rsid w:val="00124282"/>
    <w:rsid w:val="00124490"/>
    <w:rsid w:val="00124524"/>
    <w:rsid w:val="001246DB"/>
    <w:rsid w:val="001246E3"/>
    <w:rsid w:val="0012481A"/>
    <w:rsid w:val="0012491A"/>
    <w:rsid w:val="001249A4"/>
    <w:rsid w:val="001249F8"/>
    <w:rsid w:val="00124B3E"/>
    <w:rsid w:val="00124BAF"/>
    <w:rsid w:val="00124C42"/>
    <w:rsid w:val="00124C99"/>
    <w:rsid w:val="00124CB3"/>
    <w:rsid w:val="00124CF2"/>
    <w:rsid w:val="00125008"/>
    <w:rsid w:val="001250E4"/>
    <w:rsid w:val="0012517D"/>
    <w:rsid w:val="001251CA"/>
    <w:rsid w:val="001251D7"/>
    <w:rsid w:val="00125221"/>
    <w:rsid w:val="00125248"/>
    <w:rsid w:val="001252AC"/>
    <w:rsid w:val="00125337"/>
    <w:rsid w:val="0012533C"/>
    <w:rsid w:val="00125387"/>
    <w:rsid w:val="001254CE"/>
    <w:rsid w:val="001255A9"/>
    <w:rsid w:val="001255F1"/>
    <w:rsid w:val="001255FB"/>
    <w:rsid w:val="00125654"/>
    <w:rsid w:val="00125667"/>
    <w:rsid w:val="001256F7"/>
    <w:rsid w:val="001256F9"/>
    <w:rsid w:val="00125717"/>
    <w:rsid w:val="00125724"/>
    <w:rsid w:val="001257D7"/>
    <w:rsid w:val="00125820"/>
    <w:rsid w:val="00125A1B"/>
    <w:rsid w:val="00125A6B"/>
    <w:rsid w:val="00125BB2"/>
    <w:rsid w:val="00125BF2"/>
    <w:rsid w:val="00125C3F"/>
    <w:rsid w:val="00125C4E"/>
    <w:rsid w:val="00125ECC"/>
    <w:rsid w:val="00126098"/>
    <w:rsid w:val="0012618B"/>
    <w:rsid w:val="001261FC"/>
    <w:rsid w:val="0012625F"/>
    <w:rsid w:val="00126554"/>
    <w:rsid w:val="001265A4"/>
    <w:rsid w:val="0012662D"/>
    <w:rsid w:val="001266A6"/>
    <w:rsid w:val="00126740"/>
    <w:rsid w:val="001267D7"/>
    <w:rsid w:val="0012680A"/>
    <w:rsid w:val="00126876"/>
    <w:rsid w:val="00126968"/>
    <w:rsid w:val="001269C0"/>
    <w:rsid w:val="00126A8B"/>
    <w:rsid w:val="00126B39"/>
    <w:rsid w:val="00126CCC"/>
    <w:rsid w:val="00126CF6"/>
    <w:rsid w:val="00126F17"/>
    <w:rsid w:val="00126F53"/>
    <w:rsid w:val="00126FB1"/>
    <w:rsid w:val="00127001"/>
    <w:rsid w:val="0012709B"/>
    <w:rsid w:val="001270CD"/>
    <w:rsid w:val="00127246"/>
    <w:rsid w:val="001272A5"/>
    <w:rsid w:val="00127374"/>
    <w:rsid w:val="00127408"/>
    <w:rsid w:val="0012749C"/>
    <w:rsid w:val="00127604"/>
    <w:rsid w:val="0012761B"/>
    <w:rsid w:val="00127677"/>
    <w:rsid w:val="001276A3"/>
    <w:rsid w:val="0012776A"/>
    <w:rsid w:val="001277AA"/>
    <w:rsid w:val="001277CB"/>
    <w:rsid w:val="001278DC"/>
    <w:rsid w:val="001278EC"/>
    <w:rsid w:val="001279A8"/>
    <w:rsid w:val="00127A08"/>
    <w:rsid w:val="00127B0C"/>
    <w:rsid w:val="00127BB4"/>
    <w:rsid w:val="00127BE3"/>
    <w:rsid w:val="00127C0E"/>
    <w:rsid w:val="00127C3D"/>
    <w:rsid w:val="00127DA7"/>
    <w:rsid w:val="00127DBB"/>
    <w:rsid w:val="00127F24"/>
    <w:rsid w:val="00127F67"/>
    <w:rsid w:val="00127FC8"/>
    <w:rsid w:val="001300F9"/>
    <w:rsid w:val="00130138"/>
    <w:rsid w:val="0013031B"/>
    <w:rsid w:val="00130420"/>
    <w:rsid w:val="0013048A"/>
    <w:rsid w:val="0013052F"/>
    <w:rsid w:val="00130553"/>
    <w:rsid w:val="00130595"/>
    <w:rsid w:val="001305CD"/>
    <w:rsid w:val="00130715"/>
    <w:rsid w:val="00130756"/>
    <w:rsid w:val="00130769"/>
    <w:rsid w:val="00130784"/>
    <w:rsid w:val="00130846"/>
    <w:rsid w:val="0013095D"/>
    <w:rsid w:val="0013099D"/>
    <w:rsid w:val="00130A5A"/>
    <w:rsid w:val="00130B01"/>
    <w:rsid w:val="00130BC8"/>
    <w:rsid w:val="00130C6E"/>
    <w:rsid w:val="00130C79"/>
    <w:rsid w:val="00130C7E"/>
    <w:rsid w:val="00130CC0"/>
    <w:rsid w:val="00130CDC"/>
    <w:rsid w:val="00130E3C"/>
    <w:rsid w:val="00130E3D"/>
    <w:rsid w:val="00130E88"/>
    <w:rsid w:val="00130F0A"/>
    <w:rsid w:val="00130FDB"/>
    <w:rsid w:val="0013103E"/>
    <w:rsid w:val="0013103F"/>
    <w:rsid w:val="00131064"/>
    <w:rsid w:val="00131068"/>
    <w:rsid w:val="0013106C"/>
    <w:rsid w:val="001310E9"/>
    <w:rsid w:val="0013126F"/>
    <w:rsid w:val="00131276"/>
    <w:rsid w:val="0013129E"/>
    <w:rsid w:val="00131312"/>
    <w:rsid w:val="001313CB"/>
    <w:rsid w:val="00131478"/>
    <w:rsid w:val="00131486"/>
    <w:rsid w:val="00131512"/>
    <w:rsid w:val="00131540"/>
    <w:rsid w:val="00131588"/>
    <w:rsid w:val="001316CE"/>
    <w:rsid w:val="0013173B"/>
    <w:rsid w:val="0013183B"/>
    <w:rsid w:val="001318C8"/>
    <w:rsid w:val="0013190D"/>
    <w:rsid w:val="00131A20"/>
    <w:rsid w:val="00131AA0"/>
    <w:rsid w:val="00131AE2"/>
    <w:rsid w:val="00131BFB"/>
    <w:rsid w:val="00131C22"/>
    <w:rsid w:val="00131C62"/>
    <w:rsid w:val="00131C8A"/>
    <w:rsid w:val="00131D21"/>
    <w:rsid w:val="00131D80"/>
    <w:rsid w:val="00131DC3"/>
    <w:rsid w:val="00131DCF"/>
    <w:rsid w:val="00131DFE"/>
    <w:rsid w:val="00131E83"/>
    <w:rsid w:val="00131EC6"/>
    <w:rsid w:val="00131F00"/>
    <w:rsid w:val="00131F07"/>
    <w:rsid w:val="00132331"/>
    <w:rsid w:val="00132341"/>
    <w:rsid w:val="001324E6"/>
    <w:rsid w:val="00132506"/>
    <w:rsid w:val="001326E1"/>
    <w:rsid w:val="00132700"/>
    <w:rsid w:val="00132704"/>
    <w:rsid w:val="00132743"/>
    <w:rsid w:val="0013276C"/>
    <w:rsid w:val="001327E0"/>
    <w:rsid w:val="00132834"/>
    <w:rsid w:val="001328AC"/>
    <w:rsid w:val="001328FD"/>
    <w:rsid w:val="00132A69"/>
    <w:rsid w:val="00132B35"/>
    <w:rsid w:val="00132B5F"/>
    <w:rsid w:val="00132B95"/>
    <w:rsid w:val="00132BFE"/>
    <w:rsid w:val="00132CE2"/>
    <w:rsid w:val="00132D36"/>
    <w:rsid w:val="00132E22"/>
    <w:rsid w:val="00132E70"/>
    <w:rsid w:val="00132ED6"/>
    <w:rsid w:val="00132F3C"/>
    <w:rsid w:val="00132FEC"/>
    <w:rsid w:val="00133142"/>
    <w:rsid w:val="001331E6"/>
    <w:rsid w:val="00133220"/>
    <w:rsid w:val="0013327E"/>
    <w:rsid w:val="00133362"/>
    <w:rsid w:val="001333BB"/>
    <w:rsid w:val="00133444"/>
    <w:rsid w:val="0013349E"/>
    <w:rsid w:val="00133565"/>
    <w:rsid w:val="00133668"/>
    <w:rsid w:val="001336BA"/>
    <w:rsid w:val="0013386A"/>
    <w:rsid w:val="0013389C"/>
    <w:rsid w:val="001338B2"/>
    <w:rsid w:val="001338B9"/>
    <w:rsid w:val="00133901"/>
    <w:rsid w:val="00133989"/>
    <w:rsid w:val="0013399E"/>
    <w:rsid w:val="00133A01"/>
    <w:rsid w:val="00133B1B"/>
    <w:rsid w:val="00133C2F"/>
    <w:rsid w:val="00133CA1"/>
    <w:rsid w:val="00133CBB"/>
    <w:rsid w:val="00133CF2"/>
    <w:rsid w:val="00133DFC"/>
    <w:rsid w:val="00133E96"/>
    <w:rsid w:val="00133F74"/>
    <w:rsid w:val="00133FA1"/>
    <w:rsid w:val="0013400A"/>
    <w:rsid w:val="0013400F"/>
    <w:rsid w:val="00134055"/>
    <w:rsid w:val="0013407B"/>
    <w:rsid w:val="00134138"/>
    <w:rsid w:val="001341CF"/>
    <w:rsid w:val="00134291"/>
    <w:rsid w:val="001342E0"/>
    <w:rsid w:val="001343A9"/>
    <w:rsid w:val="001343C1"/>
    <w:rsid w:val="00134452"/>
    <w:rsid w:val="001344A9"/>
    <w:rsid w:val="001344DB"/>
    <w:rsid w:val="00134516"/>
    <w:rsid w:val="0013458A"/>
    <w:rsid w:val="001346BA"/>
    <w:rsid w:val="001347B2"/>
    <w:rsid w:val="001348A8"/>
    <w:rsid w:val="001348FD"/>
    <w:rsid w:val="001349AE"/>
    <w:rsid w:val="00134A12"/>
    <w:rsid w:val="00134A63"/>
    <w:rsid w:val="00134BEB"/>
    <w:rsid w:val="00134BEE"/>
    <w:rsid w:val="00134C18"/>
    <w:rsid w:val="00134C2A"/>
    <w:rsid w:val="00134D4B"/>
    <w:rsid w:val="00134D60"/>
    <w:rsid w:val="00134E37"/>
    <w:rsid w:val="00134E50"/>
    <w:rsid w:val="00134E5B"/>
    <w:rsid w:val="00134E6D"/>
    <w:rsid w:val="00134EA9"/>
    <w:rsid w:val="00134F42"/>
    <w:rsid w:val="00134F9E"/>
    <w:rsid w:val="00135038"/>
    <w:rsid w:val="0013506C"/>
    <w:rsid w:val="001350CF"/>
    <w:rsid w:val="0013510B"/>
    <w:rsid w:val="0013515D"/>
    <w:rsid w:val="00135190"/>
    <w:rsid w:val="001351FB"/>
    <w:rsid w:val="001352A4"/>
    <w:rsid w:val="001352BD"/>
    <w:rsid w:val="001352CB"/>
    <w:rsid w:val="001353F0"/>
    <w:rsid w:val="0013558D"/>
    <w:rsid w:val="001357EE"/>
    <w:rsid w:val="0013586C"/>
    <w:rsid w:val="00135871"/>
    <w:rsid w:val="001358BE"/>
    <w:rsid w:val="001358CC"/>
    <w:rsid w:val="001358FA"/>
    <w:rsid w:val="00135951"/>
    <w:rsid w:val="00135B30"/>
    <w:rsid w:val="00135B66"/>
    <w:rsid w:val="00135B8F"/>
    <w:rsid w:val="00135BC4"/>
    <w:rsid w:val="00135E17"/>
    <w:rsid w:val="00135E48"/>
    <w:rsid w:val="00135E4C"/>
    <w:rsid w:val="00135F3A"/>
    <w:rsid w:val="00135F3E"/>
    <w:rsid w:val="00135F41"/>
    <w:rsid w:val="00135F66"/>
    <w:rsid w:val="00136056"/>
    <w:rsid w:val="00136069"/>
    <w:rsid w:val="0013607D"/>
    <w:rsid w:val="0013610E"/>
    <w:rsid w:val="001361AB"/>
    <w:rsid w:val="001361E7"/>
    <w:rsid w:val="00136276"/>
    <w:rsid w:val="0013627C"/>
    <w:rsid w:val="00136339"/>
    <w:rsid w:val="00136378"/>
    <w:rsid w:val="00136400"/>
    <w:rsid w:val="001364CB"/>
    <w:rsid w:val="001365DE"/>
    <w:rsid w:val="00136666"/>
    <w:rsid w:val="001368D1"/>
    <w:rsid w:val="00136925"/>
    <w:rsid w:val="0013693B"/>
    <w:rsid w:val="00136B1D"/>
    <w:rsid w:val="00136C99"/>
    <w:rsid w:val="00136CB5"/>
    <w:rsid w:val="00136CC2"/>
    <w:rsid w:val="00136DAE"/>
    <w:rsid w:val="00136DC3"/>
    <w:rsid w:val="00136E1E"/>
    <w:rsid w:val="00136E21"/>
    <w:rsid w:val="00136EA8"/>
    <w:rsid w:val="00136EA9"/>
    <w:rsid w:val="00136F07"/>
    <w:rsid w:val="00136F3E"/>
    <w:rsid w:val="00136F60"/>
    <w:rsid w:val="00136FBE"/>
    <w:rsid w:val="00136FE1"/>
    <w:rsid w:val="00137097"/>
    <w:rsid w:val="001372B0"/>
    <w:rsid w:val="001373F5"/>
    <w:rsid w:val="00137453"/>
    <w:rsid w:val="00137462"/>
    <w:rsid w:val="001374CF"/>
    <w:rsid w:val="00137535"/>
    <w:rsid w:val="001375AC"/>
    <w:rsid w:val="001375BB"/>
    <w:rsid w:val="001376AA"/>
    <w:rsid w:val="001376ED"/>
    <w:rsid w:val="00137793"/>
    <w:rsid w:val="001378F0"/>
    <w:rsid w:val="00137953"/>
    <w:rsid w:val="001379AF"/>
    <w:rsid w:val="00137B56"/>
    <w:rsid w:val="00137B6E"/>
    <w:rsid w:val="00137B76"/>
    <w:rsid w:val="00137C03"/>
    <w:rsid w:val="00137F48"/>
    <w:rsid w:val="00137FF5"/>
    <w:rsid w:val="001401A1"/>
    <w:rsid w:val="00140242"/>
    <w:rsid w:val="00140246"/>
    <w:rsid w:val="00140291"/>
    <w:rsid w:val="001404A2"/>
    <w:rsid w:val="001404A3"/>
    <w:rsid w:val="00140593"/>
    <w:rsid w:val="001405A6"/>
    <w:rsid w:val="00140618"/>
    <w:rsid w:val="0014063D"/>
    <w:rsid w:val="0014069A"/>
    <w:rsid w:val="00140799"/>
    <w:rsid w:val="001407A9"/>
    <w:rsid w:val="001407FB"/>
    <w:rsid w:val="00140806"/>
    <w:rsid w:val="0014084C"/>
    <w:rsid w:val="00140859"/>
    <w:rsid w:val="00140900"/>
    <w:rsid w:val="00140938"/>
    <w:rsid w:val="00140A2F"/>
    <w:rsid w:val="00140B80"/>
    <w:rsid w:val="00140C66"/>
    <w:rsid w:val="00140C98"/>
    <w:rsid w:val="00140CAF"/>
    <w:rsid w:val="00140CF7"/>
    <w:rsid w:val="00140D13"/>
    <w:rsid w:val="00140D52"/>
    <w:rsid w:val="00140DF9"/>
    <w:rsid w:val="00140E24"/>
    <w:rsid w:val="00140F91"/>
    <w:rsid w:val="00141013"/>
    <w:rsid w:val="00141129"/>
    <w:rsid w:val="00141189"/>
    <w:rsid w:val="001411B2"/>
    <w:rsid w:val="001411D0"/>
    <w:rsid w:val="001412D1"/>
    <w:rsid w:val="00141312"/>
    <w:rsid w:val="00141327"/>
    <w:rsid w:val="001413BD"/>
    <w:rsid w:val="00141409"/>
    <w:rsid w:val="0014153D"/>
    <w:rsid w:val="0014156B"/>
    <w:rsid w:val="00141590"/>
    <w:rsid w:val="001415BE"/>
    <w:rsid w:val="00141676"/>
    <w:rsid w:val="0014169A"/>
    <w:rsid w:val="001416E6"/>
    <w:rsid w:val="0014172B"/>
    <w:rsid w:val="0014176A"/>
    <w:rsid w:val="0014197A"/>
    <w:rsid w:val="001419FD"/>
    <w:rsid w:val="00141A12"/>
    <w:rsid w:val="00141A3D"/>
    <w:rsid w:val="00141A4A"/>
    <w:rsid w:val="00141A67"/>
    <w:rsid w:val="00141AA5"/>
    <w:rsid w:val="00141BA3"/>
    <w:rsid w:val="00141BB2"/>
    <w:rsid w:val="00141BC1"/>
    <w:rsid w:val="00141C75"/>
    <w:rsid w:val="00141DA5"/>
    <w:rsid w:val="00141DD6"/>
    <w:rsid w:val="00141DEF"/>
    <w:rsid w:val="00141E56"/>
    <w:rsid w:val="00141EA8"/>
    <w:rsid w:val="00141EE4"/>
    <w:rsid w:val="00141FF2"/>
    <w:rsid w:val="001420B0"/>
    <w:rsid w:val="00142228"/>
    <w:rsid w:val="00142246"/>
    <w:rsid w:val="0014233A"/>
    <w:rsid w:val="001424F5"/>
    <w:rsid w:val="00142550"/>
    <w:rsid w:val="0014262E"/>
    <w:rsid w:val="0014263F"/>
    <w:rsid w:val="0014265C"/>
    <w:rsid w:val="001427BA"/>
    <w:rsid w:val="001427BD"/>
    <w:rsid w:val="0014286F"/>
    <w:rsid w:val="00142875"/>
    <w:rsid w:val="00142880"/>
    <w:rsid w:val="001428BB"/>
    <w:rsid w:val="001428D3"/>
    <w:rsid w:val="001429AC"/>
    <w:rsid w:val="001429E8"/>
    <w:rsid w:val="00142A8E"/>
    <w:rsid w:val="00142AA1"/>
    <w:rsid w:val="00142B76"/>
    <w:rsid w:val="00142B9A"/>
    <w:rsid w:val="00142BF6"/>
    <w:rsid w:val="00142C89"/>
    <w:rsid w:val="00142D58"/>
    <w:rsid w:val="00142EB5"/>
    <w:rsid w:val="00142FC3"/>
    <w:rsid w:val="0014301D"/>
    <w:rsid w:val="0014303C"/>
    <w:rsid w:val="0014328E"/>
    <w:rsid w:val="001432C7"/>
    <w:rsid w:val="00143352"/>
    <w:rsid w:val="0014336B"/>
    <w:rsid w:val="0014337E"/>
    <w:rsid w:val="00143616"/>
    <w:rsid w:val="0014368C"/>
    <w:rsid w:val="00143730"/>
    <w:rsid w:val="001438BB"/>
    <w:rsid w:val="00143995"/>
    <w:rsid w:val="001439C0"/>
    <w:rsid w:val="001439F6"/>
    <w:rsid w:val="00143AC5"/>
    <w:rsid w:val="00143BA4"/>
    <w:rsid w:val="00143C69"/>
    <w:rsid w:val="00143CB5"/>
    <w:rsid w:val="00143D09"/>
    <w:rsid w:val="00143DAC"/>
    <w:rsid w:val="00143DEE"/>
    <w:rsid w:val="00143E4A"/>
    <w:rsid w:val="00143FAD"/>
    <w:rsid w:val="00143FFA"/>
    <w:rsid w:val="0014403A"/>
    <w:rsid w:val="001440BE"/>
    <w:rsid w:val="001440F2"/>
    <w:rsid w:val="0014412E"/>
    <w:rsid w:val="001441B6"/>
    <w:rsid w:val="00144266"/>
    <w:rsid w:val="00144297"/>
    <w:rsid w:val="001442B4"/>
    <w:rsid w:val="0014451D"/>
    <w:rsid w:val="00144815"/>
    <w:rsid w:val="00144828"/>
    <w:rsid w:val="00144879"/>
    <w:rsid w:val="001448A5"/>
    <w:rsid w:val="00144ADC"/>
    <w:rsid w:val="00144C31"/>
    <w:rsid w:val="00144C78"/>
    <w:rsid w:val="00144E45"/>
    <w:rsid w:val="00144E5A"/>
    <w:rsid w:val="00144EAF"/>
    <w:rsid w:val="00144F05"/>
    <w:rsid w:val="00144F23"/>
    <w:rsid w:val="00144F4B"/>
    <w:rsid w:val="00144FB8"/>
    <w:rsid w:val="00144FCC"/>
    <w:rsid w:val="00145010"/>
    <w:rsid w:val="001450B4"/>
    <w:rsid w:val="001451BA"/>
    <w:rsid w:val="001451DB"/>
    <w:rsid w:val="00145272"/>
    <w:rsid w:val="001452C3"/>
    <w:rsid w:val="00145404"/>
    <w:rsid w:val="00145411"/>
    <w:rsid w:val="00145471"/>
    <w:rsid w:val="001455E6"/>
    <w:rsid w:val="001455FC"/>
    <w:rsid w:val="0014564F"/>
    <w:rsid w:val="001457B1"/>
    <w:rsid w:val="001459D9"/>
    <w:rsid w:val="00145A3C"/>
    <w:rsid w:val="00145A7E"/>
    <w:rsid w:val="00145D03"/>
    <w:rsid w:val="00145E8B"/>
    <w:rsid w:val="00146027"/>
    <w:rsid w:val="00146034"/>
    <w:rsid w:val="001462B9"/>
    <w:rsid w:val="00146314"/>
    <w:rsid w:val="0014634E"/>
    <w:rsid w:val="0014638D"/>
    <w:rsid w:val="001463AD"/>
    <w:rsid w:val="001463F4"/>
    <w:rsid w:val="00146407"/>
    <w:rsid w:val="0014647F"/>
    <w:rsid w:val="001464C1"/>
    <w:rsid w:val="001464E5"/>
    <w:rsid w:val="00146513"/>
    <w:rsid w:val="0014655F"/>
    <w:rsid w:val="001465A8"/>
    <w:rsid w:val="001465DB"/>
    <w:rsid w:val="0014661B"/>
    <w:rsid w:val="00146655"/>
    <w:rsid w:val="0014679A"/>
    <w:rsid w:val="001467B4"/>
    <w:rsid w:val="00146821"/>
    <w:rsid w:val="0014683D"/>
    <w:rsid w:val="0014685D"/>
    <w:rsid w:val="001468AA"/>
    <w:rsid w:val="001468DC"/>
    <w:rsid w:val="0014693E"/>
    <w:rsid w:val="001469E5"/>
    <w:rsid w:val="00146AFC"/>
    <w:rsid w:val="00146C4D"/>
    <w:rsid w:val="00146D9F"/>
    <w:rsid w:val="00146DB1"/>
    <w:rsid w:val="00146E46"/>
    <w:rsid w:val="00146F9D"/>
    <w:rsid w:val="00147007"/>
    <w:rsid w:val="001470C3"/>
    <w:rsid w:val="001470CD"/>
    <w:rsid w:val="0014724A"/>
    <w:rsid w:val="0014725E"/>
    <w:rsid w:val="001472BC"/>
    <w:rsid w:val="001472DA"/>
    <w:rsid w:val="0014734B"/>
    <w:rsid w:val="0014735E"/>
    <w:rsid w:val="00147361"/>
    <w:rsid w:val="001473D4"/>
    <w:rsid w:val="001473D7"/>
    <w:rsid w:val="00147422"/>
    <w:rsid w:val="00147491"/>
    <w:rsid w:val="00147634"/>
    <w:rsid w:val="00147771"/>
    <w:rsid w:val="0014777B"/>
    <w:rsid w:val="00147792"/>
    <w:rsid w:val="001477D7"/>
    <w:rsid w:val="00147815"/>
    <w:rsid w:val="0014783B"/>
    <w:rsid w:val="001478D8"/>
    <w:rsid w:val="00147920"/>
    <w:rsid w:val="00147929"/>
    <w:rsid w:val="00147A2E"/>
    <w:rsid w:val="00147B88"/>
    <w:rsid w:val="00147BE6"/>
    <w:rsid w:val="00147C61"/>
    <w:rsid w:val="00147CA5"/>
    <w:rsid w:val="00147CE1"/>
    <w:rsid w:val="00147DC3"/>
    <w:rsid w:val="00147E21"/>
    <w:rsid w:val="00147E46"/>
    <w:rsid w:val="00147F97"/>
    <w:rsid w:val="00147FF7"/>
    <w:rsid w:val="001500B7"/>
    <w:rsid w:val="00150228"/>
    <w:rsid w:val="00150297"/>
    <w:rsid w:val="001502D8"/>
    <w:rsid w:val="0015033A"/>
    <w:rsid w:val="0015033C"/>
    <w:rsid w:val="00150416"/>
    <w:rsid w:val="00150440"/>
    <w:rsid w:val="001504C0"/>
    <w:rsid w:val="00150518"/>
    <w:rsid w:val="0015058B"/>
    <w:rsid w:val="00150625"/>
    <w:rsid w:val="00150689"/>
    <w:rsid w:val="0015075E"/>
    <w:rsid w:val="001507B0"/>
    <w:rsid w:val="001507DF"/>
    <w:rsid w:val="001507EF"/>
    <w:rsid w:val="00150884"/>
    <w:rsid w:val="00150900"/>
    <w:rsid w:val="001509C0"/>
    <w:rsid w:val="00150BA9"/>
    <w:rsid w:val="00150C78"/>
    <w:rsid w:val="00150D6A"/>
    <w:rsid w:val="00150DA3"/>
    <w:rsid w:val="00150E34"/>
    <w:rsid w:val="00150E47"/>
    <w:rsid w:val="00150EA5"/>
    <w:rsid w:val="00150EB9"/>
    <w:rsid w:val="00150FA6"/>
    <w:rsid w:val="00151062"/>
    <w:rsid w:val="001510CC"/>
    <w:rsid w:val="0015110F"/>
    <w:rsid w:val="00151111"/>
    <w:rsid w:val="00151244"/>
    <w:rsid w:val="001512F2"/>
    <w:rsid w:val="00151312"/>
    <w:rsid w:val="00151359"/>
    <w:rsid w:val="0015135E"/>
    <w:rsid w:val="00151361"/>
    <w:rsid w:val="00151391"/>
    <w:rsid w:val="001513B3"/>
    <w:rsid w:val="00151415"/>
    <w:rsid w:val="0015153F"/>
    <w:rsid w:val="0015156A"/>
    <w:rsid w:val="00151625"/>
    <w:rsid w:val="00151692"/>
    <w:rsid w:val="001516B5"/>
    <w:rsid w:val="001516F4"/>
    <w:rsid w:val="001517AC"/>
    <w:rsid w:val="001517DE"/>
    <w:rsid w:val="001517E8"/>
    <w:rsid w:val="00151804"/>
    <w:rsid w:val="00151832"/>
    <w:rsid w:val="00151841"/>
    <w:rsid w:val="0015187E"/>
    <w:rsid w:val="00151937"/>
    <w:rsid w:val="00151A21"/>
    <w:rsid w:val="00151A40"/>
    <w:rsid w:val="00151A5C"/>
    <w:rsid w:val="00151CCB"/>
    <w:rsid w:val="00151D9C"/>
    <w:rsid w:val="00151E4C"/>
    <w:rsid w:val="00152142"/>
    <w:rsid w:val="001522BA"/>
    <w:rsid w:val="00152334"/>
    <w:rsid w:val="00152375"/>
    <w:rsid w:val="001523E9"/>
    <w:rsid w:val="0015241C"/>
    <w:rsid w:val="00152427"/>
    <w:rsid w:val="001524C2"/>
    <w:rsid w:val="00152518"/>
    <w:rsid w:val="00152562"/>
    <w:rsid w:val="00152582"/>
    <w:rsid w:val="0015258E"/>
    <w:rsid w:val="00152593"/>
    <w:rsid w:val="001525B0"/>
    <w:rsid w:val="001526FC"/>
    <w:rsid w:val="00152815"/>
    <w:rsid w:val="001529E4"/>
    <w:rsid w:val="00152A29"/>
    <w:rsid w:val="00152A2F"/>
    <w:rsid w:val="00152A69"/>
    <w:rsid w:val="00152B49"/>
    <w:rsid w:val="00152B63"/>
    <w:rsid w:val="00152C93"/>
    <w:rsid w:val="00152D46"/>
    <w:rsid w:val="00152D50"/>
    <w:rsid w:val="00152DC0"/>
    <w:rsid w:val="00152E53"/>
    <w:rsid w:val="00152ED3"/>
    <w:rsid w:val="00152EF1"/>
    <w:rsid w:val="00152FB4"/>
    <w:rsid w:val="0015304C"/>
    <w:rsid w:val="00153191"/>
    <w:rsid w:val="001531A4"/>
    <w:rsid w:val="001531CB"/>
    <w:rsid w:val="001531DA"/>
    <w:rsid w:val="001531F3"/>
    <w:rsid w:val="0015324E"/>
    <w:rsid w:val="0015334D"/>
    <w:rsid w:val="00153377"/>
    <w:rsid w:val="0015352C"/>
    <w:rsid w:val="001536C2"/>
    <w:rsid w:val="00153708"/>
    <w:rsid w:val="00153717"/>
    <w:rsid w:val="0015394C"/>
    <w:rsid w:val="00153A6D"/>
    <w:rsid w:val="00153B41"/>
    <w:rsid w:val="00153C13"/>
    <w:rsid w:val="00153C6A"/>
    <w:rsid w:val="00153DFC"/>
    <w:rsid w:val="00153E6F"/>
    <w:rsid w:val="00153E9B"/>
    <w:rsid w:val="00153EA4"/>
    <w:rsid w:val="0015400A"/>
    <w:rsid w:val="00154020"/>
    <w:rsid w:val="00154117"/>
    <w:rsid w:val="0015417A"/>
    <w:rsid w:val="001541C3"/>
    <w:rsid w:val="00154226"/>
    <w:rsid w:val="00154228"/>
    <w:rsid w:val="001543BE"/>
    <w:rsid w:val="00154441"/>
    <w:rsid w:val="001544D9"/>
    <w:rsid w:val="00154509"/>
    <w:rsid w:val="001545A0"/>
    <w:rsid w:val="0015461C"/>
    <w:rsid w:val="001546AD"/>
    <w:rsid w:val="00154830"/>
    <w:rsid w:val="0015486A"/>
    <w:rsid w:val="00154875"/>
    <w:rsid w:val="00154876"/>
    <w:rsid w:val="001548D3"/>
    <w:rsid w:val="001548DD"/>
    <w:rsid w:val="00154A08"/>
    <w:rsid w:val="00154A43"/>
    <w:rsid w:val="00154AE0"/>
    <w:rsid w:val="00154B2D"/>
    <w:rsid w:val="00154B55"/>
    <w:rsid w:val="00154BE2"/>
    <w:rsid w:val="00154C95"/>
    <w:rsid w:val="00154CC6"/>
    <w:rsid w:val="00154CF4"/>
    <w:rsid w:val="00154D5E"/>
    <w:rsid w:val="00154E69"/>
    <w:rsid w:val="00154E8E"/>
    <w:rsid w:val="00154F22"/>
    <w:rsid w:val="00154FB2"/>
    <w:rsid w:val="00154FE6"/>
    <w:rsid w:val="001550A1"/>
    <w:rsid w:val="00155190"/>
    <w:rsid w:val="00155197"/>
    <w:rsid w:val="0015522D"/>
    <w:rsid w:val="00155363"/>
    <w:rsid w:val="0015539B"/>
    <w:rsid w:val="001553B0"/>
    <w:rsid w:val="001553F9"/>
    <w:rsid w:val="0015545A"/>
    <w:rsid w:val="00155511"/>
    <w:rsid w:val="0015557F"/>
    <w:rsid w:val="00155631"/>
    <w:rsid w:val="0015573D"/>
    <w:rsid w:val="001559B1"/>
    <w:rsid w:val="00155A00"/>
    <w:rsid w:val="00155AEE"/>
    <w:rsid w:val="00155C63"/>
    <w:rsid w:val="00155CE6"/>
    <w:rsid w:val="00155D43"/>
    <w:rsid w:val="00155E19"/>
    <w:rsid w:val="00155E5C"/>
    <w:rsid w:val="00155F5B"/>
    <w:rsid w:val="00155FD8"/>
    <w:rsid w:val="0015602A"/>
    <w:rsid w:val="00156183"/>
    <w:rsid w:val="0015624F"/>
    <w:rsid w:val="001562D0"/>
    <w:rsid w:val="001562D6"/>
    <w:rsid w:val="001562F3"/>
    <w:rsid w:val="00156351"/>
    <w:rsid w:val="00156492"/>
    <w:rsid w:val="0015654D"/>
    <w:rsid w:val="0015666D"/>
    <w:rsid w:val="001566D6"/>
    <w:rsid w:val="001567A5"/>
    <w:rsid w:val="00156939"/>
    <w:rsid w:val="00156957"/>
    <w:rsid w:val="001569C5"/>
    <w:rsid w:val="001569F1"/>
    <w:rsid w:val="001569F7"/>
    <w:rsid w:val="00156AA8"/>
    <w:rsid w:val="00156AD5"/>
    <w:rsid w:val="00156AE5"/>
    <w:rsid w:val="00156B11"/>
    <w:rsid w:val="00156B88"/>
    <w:rsid w:val="00156CDC"/>
    <w:rsid w:val="00156D4C"/>
    <w:rsid w:val="00156DA0"/>
    <w:rsid w:val="00156DF3"/>
    <w:rsid w:val="00156E15"/>
    <w:rsid w:val="00156E42"/>
    <w:rsid w:val="00156E85"/>
    <w:rsid w:val="00156F15"/>
    <w:rsid w:val="00156FED"/>
    <w:rsid w:val="00157048"/>
    <w:rsid w:val="001570CF"/>
    <w:rsid w:val="0015729A"/>
    <w:rsid w:val="00157340"/>
    <w:rsid w:val="001573EB"/>
    <w:rsid w:val="00157423"/>
    <w:rsid w:val="0015744F"/>
    <w:rsid w:val="00157458"/>
    <w:rsid w:val="001574C0"/>
    <w:rsid w:val="001574DB"/>
    <w:rsid w:val="00157551"/>
    <w:rsid w:val="0015759F"/>
    <w:rsid w:val="0015761C"/>
    <w:rsid w:val="00157724"/>
    <w:rsid w:val="0015796C"/>
    <w:rsid w:val="001579E5"/>
    <w:rsid w:val="00157A98"/>
    <w:rsid w:val="00157AFE"/>
    <w:rsid w:val="00157B61"/>
    <w:rsid w:val="00157BBF"/>
    <w:rsid w:val="00157BD4"/>
    <w:rsid w:val="00157CD4"/>
    <w:rsid w:val="00157D1F"/>
    <w:rsid w:val="00157FEC"/>
    <w:rsid w:val="001600A9"/>
    <w:rsid w:val="001600FF"/>
    <w:rsid w:val="001602B5"/>
    <w:rsid w:val="001603E9"/>
    <w:rsid w:val="00160499"/>
    <w:rsid w:val="00160522"/>
    <w:rsid w:val="00160614"/>
    <w:rsid w:val="00160663"/>
    <w:rsid w:val="001606CF"/>
    <w:rsid w:val="001607B4"/>
    <w:rsid w:val="00160888"/>
    <w:rsid w:val="0016093F"/>
    <w:rsid w:val="001609A8"/>
    <w:rsid w:val="001609B5"/>
    <w:rsid w:val="001609DF"/>
    <w:rsid w:val="00160B5A"/>
    <w:rsid w:val="00160B8E"/>
    <w:rsid w:val="00160BF1"/>
    <w:rsid w:val="00160C6A"/>
    <w:rsid w:val="00160CD3"/>
    <w:rsid w:val="00160E9A"/>
    <w:rsid w:val="00161000"/>
    <w:rsid w:val="0016113C"/>
    <w:rsid w:val="001611D1"/>
    <w:rsid w:val="0016128D"/>
    <w:rsid w:val="001612AB"/>
    <w:rsid w:val="0016133B"/>
    <w:rsid w:val="00161397"/>
    <w:rsid w:val="001614E3"/>
    <w:rsid w:val="00161571"/>
    <w:rsid w:val="0016157C"/>
    <w:rsid w:val="001615C5"/>
    <w:rsid w:val="001615D1"/>
    <w:rsid w:val="001615EA"/>
    <w:rsid w:val="001615ED"/>
    <w:rsid w:val="001617C9"/>
    <w:rsid w:val="00161816"/>
    <w:rsid w:val="0016185D"/>
    <w:rsid w:val="00161890"/>
    <w:rsid w:val="00161951"/>
    <w:rsid w:val="001619A0"/>
    <w:rsid w:val="001619C3"/>
    <w:rsid w:val="00161A84"/>
    <w:rsid w:val="00161B03"/>
    <w:rsid w:val="00161B7E"/>
    <w:rsid w:val="00161BA4"/>
    <w:rsid w:val="00161CE0"/>
    <w:rsid w:val="00161D0E"/>
    <w:rsid w:val="00161D4B"/>
    <w:rsid w:val="00161D89"/>
    <w:rsid w:val="00161DC4"/>
    <w:rsid w:val="00161DE7"/>
    <w:rsid w:val="00161DED"/>
    <w:rsid w:val="00161E7E"/>
    <w:rsid w:val="0016201F"/>
    <w:rsid w:val="00162077"/>
    <w:rsid w:val="001620E0"/>
    <w:rsid w:val="00162349"/>
    <w:rsid w:val="001624F8"/>
    <w:rsid w:val="001625FF"/>
    <w:rsid w:val="0016266F"/>
    <w:rsid w:val="00162944"/>
    <w:rsid w:val="001629D5"/>
    <w:rsid w:val="00162A3F"/>
    <w:rsid w:val="00162B56"/>
    <w:rsid w:val="00162C81"/>
    <w:rsid w:val="00162C96"/>
    <w:rsid w:val="00162CA6"/>
    <w:rsid w:val="00162D7A"/>
    <w:rsid w:val="00162D9B"/>
    <w:rsid w:val="00162E69"/>
    <w:rsid w:val="00162F3F"/>
    <w:rsid w:val="00162F44"/>
    <w:rsid w:val="00163071"/>
    <w:rsid w:val="001630B9"/>
    <w:rsid w:val="001630E5"/>
    <w:rsid w:val="001631B5"/>
    <w:rsid w:val="00163264"/>
    <w:rsid w:val="0016328E"/>
    <w:rsid w:val="00163291"/>
    <w:rsid w:val="0016338F"/>
    <w:rsid w:val="001633BF"/>
    <w:rsid w:val="00163463"/>
    <w:rsid w:val="0016350A"/>
    <w:rsid w:val="001635ED"/>
    <w:rsid w:val="0016364D"/>
    <w:rsid w:val="00163653"/>
    <w:rsid w:val="00163677"/>
    <w:rsid w:val="001636D8"/>
    <w:rsid w:val="00163714"/>
    <w:rsid w:val="00163752"/>
    <w:rsid w:val="001637F4"/>
    <w:rsid w:val="0016382B"/>
    <w:rsid w:val="00163878"/>
    <w:rsid w:val="00163896"/>
    <w:rsid w:val="00163935"/>
    <w:rsid w:val="00163968"/>
    <w:rsid w:val="0016397C"/>
    <w:rsid w:val="001639D6"/>
    <w:rsid w:val="00163AE9"/>
    <w:rsid w:val="00163B0F"/>
    <w:rsid w:val="00163BEF"/>
    <w:rsid w:val="00163C32"/>
    <w:rsid w:val="00163DA7"/>
    <w:rsid w:val="00163DD6"/>
    <w:rsid w:val="00163DF0"/>
    <w:rsid w:val="00163E19"/>
    <w:rsid w:val="00163F2D"/>
    <w:rsid w:val="00163F51"/>
    <w:rsid w:val="00163FA6"/>
    <w:rsid w:val="0016403D"/>
    <w:rsid w:val="00164293"/>
    <w:rsid w:val="001642E4"/>
    <w:rsid w:val="0016430A"/>
    <w:rsid w:val="0016434F"/>
    <w:rsid w:val="00164370"/>
    <w:rsid w:val="0016438B"/>
    <w:rsid w:val="0016442F"/>
    <w:rsid w:val="00164607"/>
    <w:rsid w:val="001646CB"/>
    <w:rsid w:val="0016470B"/>
    <w:rsid w:val="00164737"/>
    <w:rsid w:val="001647A2"/>
    <w:rsid w:val="001647CC"/>
    <w:rsid w:val="001647D2"/>
    <w:rsid w:val="001648A5"/>
    <w:rsid w:val="001648C9"/>
    <w:rsid w:val="001649FD"/>
    <w:rsid w:val="00164A04"/>
    <w:rsid w:val="00164A6C"/>
    <w:rsid w:val="00164BA1"/>
    <w:rsid w:val="00164BB4"/>
    <w:rsid w:val="00164C93"/>
    <w:rsid w:val="00164D29"/>
    <w:rsid w:val="00164D59"/>
    <w:rsid w:val="00164D84"/>
    <w:rsid w:val="00164D92"/>
    <w:rsid w:val="00164DF6"/>
    <w:rsid w:val="00164EF4"/>
    <w:rsid w:val="00164F69"/>
    <w:rsid w:val="00164F82"/>
    <w:rsid w:val="0016509B"/>
    <w:rsid w:val="001650B4"/>
    <w:rsid w:val="00165211"/>
    <w:rsid w:val="0016525A"/>
    <w:rsid w:val="0016526A"/>
    <w:rsid w:val="00165286"/>
    <w:rsid w:val="00165346"/>
    <w:rsid w:val="0016540C"/>
    <w:rsid w:val="00165452"/>
    <w:rsid w:val="00165648"/>
    <w:rsid w:val="001656B9"/>
    <w:rsid w:val="001656CB"/>
    <w:rsid w:val="001656DD"/>
    <w:rsid w:val="00165758"/>
    <w:rsid w:val="0016586F"/>
    <w:rsid w:val="00165960"/>
    <w:rsid w:val="00165985"/>
    <w:rsid w:val="0016598B"/>
    <w:rsid w:val="00165A0B"/>
    <w:rsid w:val="00165A28"/>
    <w:rsid w:val="00165A3A"/>
    <w:rsid w:val="00165AAA"/>
    <w:rsid w:val="00165AC3"/>
    <w:rsid w:val="00165B08"/>
    <w:rsid w:val="00165BA6"/>
    <w:rsid w:val="00165C3E"/>
    <w:rsid w:val="00165CD2"/>
    <w:rsid w:val="00165CE1"/>
    <w:rsid w:val="00165D05"/>
    <w:rsid w:val="00165D16"/>
    <w:rsid w:val="00165D18"/>
    <w:rsid w:val="00165DB8"/>
    <w:rsid w:val="00165E8C"/>
    <w:rsid w:val="00165E9B"/>
    <w:rsid w:val="00165EBF"/>
    <w:rsid w:val="00166096"/>
    <w:rsid w:val="001660FD"/>
    <w:rsid w:val="00166190"/>
    <w:rsid w:val="00166259"/>
    <w:rsid w:val="001662F2"/>
    <w:rsid w:val="00166326"/>
    <w:rsid w:val="0016651A"/>
    <w:rsid w:val="00166576"/>
    <w:rsid w:val="00166621"/>
    <w:rsid w:val="00166778"/>
    <w:rsid w:val="00166876"/>
    <w:rsid w:val="0016687C"/>
    <w:rsid w:val="001668B6"/>
    <w:rsid w:val="001668CC"/>
    <w:rsid w:val="0016694E"/>
    <w:rsid w:val="00166C65"/>
    <w:rsid w:val="00166C70"/>
    <w:rsid w:val="00166C89"/>
    <w:rsid w:val="00166D24"/>
    <w:rsid w:val="00166D5F"/>
    <w:rsid w:val="00166D97"/>
    <w:rsid w:val="00166E25"/>
    <w:rsid w:val="00166E27"/>
    <w:rsid w:val="00166F9F"/>
    <w:rsid w:val="001671E1"/>
    <w:rsid w:val="0016722B"/>
    <w:rsid w:val="001672DA"/>
    <w:rsid w:val="001673A5"/>
    <w:rsid w:val="00167415"/>
    <w:rsid w:val="001674CD"/>
    <w:rsid w:val="001676A3"/>
    <w:rsid w:val="001676C7"/>
    <w:rsid w:val="00167742"/>
    <w:rsid w:val="00167747"/>
    <w:rsid w:val="0016788F"/>
    <w:rsid w:val="001678DF"/>
    <w:rsid w:val="0016795F"/>
    <w:rsid w:val="001679D8"/>
    <w:rsid w:val="00167A2E"/>
    <w:rsid w:val="00167ABA"/>
    <w:rsid w:val="00167B48"/>
    <w:rsid w:val="00167C33"/>
    <w:rsid w:val="00167C39"/>
    <w:rsid w:val="00167D4D"/>
    <w:rsid w:val="00167F3B"/>
    <w:rsid w:val="00170003"/>
    <w:rsid w:val="0017001B"/>
    <w:rsid w:val="001700D0"/>
    <w:rsid w:val="001700F4"/>
    <w:rsid w:val="00170107"/>
    <w:rsid w:val="00170124"/>
    <w:rsid w:val="0017025A"/>
    <w:rsid w:val="00170268"/>
    <w:rsid w:val="00170297"/>
    <w:rsid w:val="001702A6"/>
    <w:rsid w:val="001702F6"/>
    <w:rsid w:val="00170308"/>
    <w:rsid w:val="0017047F"/>
    <w:rsid w:val="001704C9"/>
    <w:rsid w:val="00170502"/>
    <w:rsid w:val="00170516"/>
    <w:rsid w:val="0017052A"/>
    <w:rsid w:val="001705DE"/>
    <w:rsid w:val="001707AC"/>
    <w:rsid w:val="001707E3"/>
    <w:rsid w:val="0017089D"/>
    <w:rsid w:val="001708E0"/>
    <w:rsid w:val="00170B1A"/>
    <w:rsid w:val="00170B79"/>
    <w:rsid w:val="00170C6C"/>
    <w:rsid w:val="00170CA1"/>
    <w:rsid w:val="00170DCB"/>
    <w:rsid w:val="00170E51"/>
    <w:rsid w:val="00170F19"/>
    <w:rsid w:val="00170F65"/>
    <w:rsid w:val="00170FD4"/>
    <w:rsid w:val="001710F6"/>
    <w:rsid w:val="00171113"/>
    <w:rsid w:val="00171212"/>
    <w:rsid w:val="0017121B"/>
    <w:rsid w:val="00171249"/>
    <w:rsid w:val="001712D1"/>
    <w:rsid w:val="00171322"/>
    <w:rsid w:val="00171345"/>
    <w:rsid w:val="0017172A"/>
    <w:rsid w:val="0017186B"/>
    <w:rsid w:val="001719AA"/>
    <w:rsid w:val="001719C7"/>
    <w:rsid w:val="00171A3D"/>
    <w:rsid w:val="00171A98"/>
    <w:rsid w:val="00171C7C"/>
    <w:rsid w:val="00171CAC"/>
    <w:rsid w:val="00171D83"/>
    <w:rsid w:val="00172110"/>
    <w:rsid w:val="001721C4"/>
    <w:rsid w:val="0017220F"/>
    <w:rsid w:val="00172432"/>
    <w:rsid w:val="0017243C"/>
    <w:rsid w:val="00172480"/>
    <w:rsid w:val="0017251E"/>
    <w:rsid w:val="00172711"/>
    <w:rsid w:val="001727CE"/>
    <w:rsid w:val="0017280A"/>
    <w:rsid w:val="001728D4"/>
    <w:rsid w:val="00172B04"/>
    <w:rsid w:val="00172B90"/>
    <w:rsid w:val="00172D64"/>
    <w:rsid w:val="00172D85"/>
    <w:rsid w:val="00172D8F"/>
    <w:rsid w:val="00172E4B"/>
    <w:rsid w:val="00172EA5"/>
    <w:rsid w:val="00172F41"/>
    <w:rsid w:val="00172F88"/>
    <w:rsid w:val="00172F9E"/>
    <w:rsid w:val="00172FD8"/>
    <w:rsid w:val="00172FE4"/>
    <w:rsid w:val="001730D0"/>
    <w:rsid w:val="001731F1"/>
    <w:rsid w:val="00173237"/>
    <w:rsid w:val="00173253"/>
    <w:rsid w:val="0017339B"/>
    <w:rsid w:val="001733A4"/>
    <w:rsid w:val="001733FE"/>
    <w:rsid w:val="00173409"/>
    <w:rsid w:val="0017340C"/>
    <w:rsid w:val="0017343A"/>
    <w:rsid w:val="00173465"/>
    <w:rsid w:val="001734BE"/>
    <w:rsid w:val="00173561"/>
    <w:rsid w:val="001736B1"/>
    <w:rsid w:val="001737C6"/>
    <w:rsid w:val="001739E1"/>
    <w:rsid w:val="00173A10"/>
    <w:rsid w:val="00173BFC"/>
    <w:rsid w:val="00173C7E"/>
    <w:rsid w:val="00173CA2"/>
    <w:rsid w:val="00173D35"/>
    <w:rsid w:val="00173D9E"/>
    <w:rsid w:val="00173DB0"/>
    <w:rsid w:val="00173EB1"/>
    <w:rsid w:val="00173EDA"/>
    <w:rsid w:val="00173F3C"/>
    <w:rsid w:val="001740C3"/>
    <w:rsid w:val="001741F7"/>
    <w:rsid w:val="001741F9"/>
    <w:rsid w:val="00174394"/>
    <w:rsid w:val="001743B3"/>
    <w:rsid w:val="00174486"/>
    <w:rsid w:val="00174552"/>
    <w:rsid w:val="0017465C"/>
    <w:rsid w:val="001746CB"/>
    <w:rsid w:val="001747ED"/>
    <w:rsid w:val="001747F1"/>
    <w:rsid w:val="00174805"/>
    <w:rsid w:val="00174909"/>
    <w:rsid w:val="00174A33"/>
    <w:rsid w:val="00174A98"/>
    <w:rsid w:val="00174AFE"/>
    <w:rsid w:val="00174C66"/>
    <w:rsid w:val="00174CD4"/>
    <w:rsid w:val="00174D62"/>
    <w:rsid w:val="00174DAE"/>
    <w:rsid w:val="00174DD2"/>
    <w:rsid w:val="00174EFE"/>
    <w:rsid w:val="00174FB1"/>
    <w:rsid w:val="00174FBC"/>
    <w:rsid w:val="0017501A"/>
    <w:rsid w:val="001750E9"/>
    <w:rsid w:val="001751AE"/>
    <w:rsid w:val="00175216"/>
    <w:rsid w:val="001752A7"/>
    <w:rsid w:val="001753FC"/>
    <w:rsid w:val="001754B1"/>
    <w:rsid w:val="001754DC"/>
    <w:rsid w:val="001755E4"/>
    <w:rsid w:val="001755EB"/>
    <w:rsid w:val="001756A0"/>
    <w:rsid w:val="00175794"/>
    <w:rsid w:val="0017585D"/>
    <w:rsid w:val="00175995"/>
    <w:rsid w:val="001759C6"/>
    <w:rsid w:val="00175B1A"/>
    <w:rsid w:val="00175B48"/>
    <w:rsid w:val="00175C42"/>
    <w:rsid w:val="00175CB9"/>
    <w:rsid w:val="00175DAD"/>
    <w:rsid w:val="00175E3B"/>
    <w:rsid w:val="00175EDE"/>
    <w:rsid w:val="00175F24"/>
    <w:rsid w:val="00175F3F"/>
    <w:rsid w:val="00175FF7"/>
    <w:rsid w:val="00176009"/>
    <w:rsid w:val="00176042"/>
    <w:rsid w:val="0017610F"/>
    <w:rsid w:val="00176135"/>
    <w:rsid w:val="00176184"/>
    <w:rsid w:val="0017625D"/>
    <w:rsid w:val="00176335"/>
    <w:rsid w:val="00176458"/>
    <w:rsid w:val="00176463"/>
    <w:rsid w:val="00176501"/>
    <w:rsid w:val="00176537"/>
    <w:rsid w:val="00176578"/>
    <w:rsid w:val="0017665C"/>
    <w:rsid w:val="001766BA"/>
    <w:rsid w:val="0017674D"/>
    <w:rsid w:val="0017678A"/>
    <w:rsid w:val="0017678D"/>
    <w:rsid w:val="00176882"/>
    <w:rsid w:val="001768B6"/>
    <w:rsid w:val="00176966"/>
    <w:rsid w:val="00176A5C"/>
    <w:rsid w:val="00176CB4"/>
    <w:rsid w:val="00176EC0"/>
    <w:rsid w:val="00176FA6"/>
    <w:rsid w:val="00177022"/>
    <w:rsid w:val="00177031"/>
    <w:rsid w:val="001770BB"/>
    <w:rsid w:val="001773D7"/>
    <w:rsid w:val="001774DC"/>
    <w:rsid w:val="00177500"/>
    <w:rsid w:val="001775B6"/>
    <w:rsid w:val="00177620"/>
    <w:rsid w:val="0017767E"/>
    <w:rsid w:val="0017773A"/>
    <w:rsid w:val="0017774F"/>
    <w:rsid w:val="00177754"/>
    <w:rsid w:val="0017787B"/>
    <w:rsid w:val="001778A0"/>
    <w:rsid w:val="00177901"/>
    <w:rsid w:val="001779D2"/>
    <w:rsid w:val="00177A00"/>
    <w:rsid w:val="00177CC7"/>
    <w:rsid w:val="00177EF3"/>
    <w:rsid w:val="00177EFC"/>
    <w:rsid w:val="00177F8A"/>
    <w:rsid w:val="00177F8C"/>
    <w:rsid w:val="00177FE0"/>
    <w:rsid w:val="00180007"/>
    <w:rsid w:val="00180119"/>
    <w:rsid w:val="0018023B"/>
    <w:rsid w:val="0018024A"/>
    <w:rsid w:val="00180293"/>
    <w:rsid w:val="00180298"/>
    <w:rsid w:val="001802D0"/>
    <w:rsid w:val="001803A8"/>
    <w:rsid w:val="001803AD"/>
    <w:rsid w:val="00180420"/>
    <w:rsid w:val="0018048F"/>
    <w:rsid w:val="00180539"/>
    <w:rsid w:val="001805A1"/>
    <w:rsid w:val="0018066B"/>
    <w:rsid w:val="0018068B"/>
    <w:rsid w:val="00180696"/>
    <w:rsid w:val="001807FD"/>
    <w:rsid w:val="00180803"/>
    <w:rsid w:val="0018082D"/>
    <w:rsid w:val="0018084B"/>
    <w:rsid w:val="001808AE"/>
    <w:rsid w:val="00180963"/>
    <w:rsid w:val="001809E8"/>
    <w:rsid w:val="00180B94"/>
    <w:rsid w:val="00180B98"/>
    <w:rsid w:val="00180BA2"/>
    <w:rsid w:val="00180C89"/>
    <w:rsid w:val="00180CE3"/>
    <w:rsid w:val="00180D05"/>
    <w:rsid w:val="00180E04"/>
    <w:rsid w:val="00180E0E"/>
    <w:rsid w:val="001810E5"/>
    <w:rsid w:val="001810E8"/>
    <w:rsid w:val="00181122"/>
    <w:rsid w:val="001811EA"/>
    <w:rsid w:val="00181263"/>
    <w:rsid w:val="00181274"/>
    <w:rsid w:val="001812FA"/>
    <w:rsid w:val="00181322"/>
    <w:rsid w:val="001813A9"/>
    <w:rsid w:val="0018142A"/>
    <w:rsid w:val="00181491"/>
    <w:rsid w:val="0018157C"/>
    <w:rsid w:val="00181769"/>
    <w:rsid w:val="001817D8"/>
    <w:rsid w:val="00181878"/>
    <w:rsid w:val="0018188B"/>
    <w:rsid w:val="00181A85"/>
    <w:rsid w:val="00181AAF"/>
    <w:rsid w:val="00181C2F"/>
    <w:rsid w:val="00181C36"/>
    <w:rsid w:val="00181C7F"/>
    <w:rsid w:val="00181CBD"/>
    <w:rsid w:val="00181D13"/>
    <w:rsid w:val="00181D2B"/>
    <w:rsid w:val="00181EA1"/>
    <w:rsid w:val="00181F21"/>
    <w:rsid w:val="00182115"/>
    <w:rsid w:val="0018214F"/>
    <w:rsid w:val="00182170"/>
    <w:rsid w:val="00182213"/>
    <w:rsid w:val="0018232F"/>
    <w:rsid w:val="00182412"/>
    <w:rsid w:val="00182450"/>
    <w:rsid w:val="0018257B"/>
    <w:rsid w:val="00182628"/>
    <w:rsid w:val="0018263F"/>
    <w:rsid w:val="001826B9"/>
    <w:rsid w:val="001827A2"/>
    <w:rsid w:val="0018280C"/>
    <w:rsid w:val="00182823"/>
    <w:rsid w:val="00182886"/>
    <w:rsid w:val="001828B0"/>
    <w:rsid w:val="001828D5"/>
    <w:rsid w:val="0018290D"/>
    <w:rsid w:val="0018296D"/>
    <w:rsid w:val="00182977"/>
    <w:rsid w:val="001829CD"/>
    <w:rsid w:val="00182A08"/>
    <w:rsid w:val="00182A0A"/>
    <w:rsid w:val="00182A26"/>
    <w:rsid w:val="00182A43"/>
    <w:rsid w:val="00182ADD"/>
    <w:rsid w:val="00182B13"/>
    <w:rsid w:val="00182C01"/>
    <w:rsid w:val="00182D3E"/>
    <w:rsid w:val="00182E3D"/>
    <w:rsid w:val="00182E3E"/>
    <w:rsid w:val="00182F03"/>
    <w:rsid w:val="00182F7E"/>
    <w:rsid w:val="00182F98"/>
    <w:rsid w:val="00183027"/>
    <w:rsid w:val="0018324D"/>
    <w:rsid w:val="001833F0"/>
    <w:rsid w:val="00183432"/>
    <w:rsid w:val="0018349F"/>
    <w:rsid w:val="001834BF"/>
    <w:rsid w:val="00183786"/>
    <w:rsid w:val="00183819"/>
    <w:rsid w:val="0018381D"/>
    <w:rsid w:val="001838AC"/>
    <w:rsid w:val="001838C8"/>
    <w:rsid w:val="001838F2"/>
    <w:rsid w:val="00183A2F"/>
    <w:rsid w:val="00183B0F"/>
    <w:rsid w:val="00183BBD"/>
    <w:rsid w:val="00183C78"/>
    <w:rsid w:val="00183E02"/>
    <w:rsid w:val="00183E1B"/>
    <w:rsid w:val="00183E8C"/>
    <w:rsid w:val="00183ED7"/>
    <w:rsid w:val="00183FBD"/>
    <w:rsid w:val="001840FE"/>
    <w:rsid w:val="0018412D"/>
    <w:rsid w:val="001842EA"/>
    <w:rsid w:val="001843BA"/>
    <w:rsid w:val="001843CB"/>
    <w:rsid w:val="001843EB"/>
    <w:rsid w:val="00184502"/>
    <w:rsid w:val="00184524"/>
    <w:rsid w:val="0018471B"/>
    <w:rsid w:val="00184969"/>
    <w:rsid w:val="00184A5F"/>
    <w:rsid w:val="00184AEC"/>
    <w:rsid w:val="00184B6F"/>
    <w:rsid w:val="00184C50"/>
    <w:rsid w:val="00184C68"/>
    <w:rsid w:val="00184CF1"/>
    <w:rsid w:val="00184CFF"/>
    <w:rsid w:val="00184D81"/>
    <w:rsid w:val="00184E06"/>
    <w:rsid w:val="00184E3C"/>
    <w:rsid w:val="00184E7C"/>
    <w:rsid w:val="00184EC3"/>
    <w:rsid w:val="0018517A"/>
    <w:rsid w:val="001852B7"/>
    <w:rsid w:val="00185405"/>
    <w:rsid w:val="0018541F"/>
    <w:rsid w:val="00185441"/>
    <w:rsid w:val="00185451"/>
    <w:rsid w:val="001855D4"/>
    <w:rsid w:val="00185666"/>
    <w:rsid w:val="0018567A"/>
    <w:rsid w:val="001857C9"/>
    <w:rsid w:val="001858C3"/>
    <w:rsid w:val="001858DC"/>
    <w:rsid w:val="0018592E"/>
    <w:rsid w:val="0018597C"/>
    <w:rsid w:val="00185993"/>
    <w:rsid w:val="001859CF"/>
    <w:rsid w:val="00185AD0"/>
    <w:rsid w:val="00185B19"/>
    <w:rsid w:val="00185B22"/>
    <w:rsid w:val="00185B31"/>
    <w:rsid w:val="00185B68"/>
    <w:rsid w:val="00185C69"/>
    <w:rsid w:val="00185CDA"/>
    <w:rsid w:val="00185D11"/>
    <w:rsid w:val="00185DEB"/>
    <w:rsid w:val="00185E13"/>
    <w:rsid w:val="00185E84"/>
    <w:rsid w:val="00185F35"/>
    <w:rsid w:val="00186083"/>
    <w:rsid w:val="001861FC"/>
    <w:rsid w:val="00186239"/>
    <w:rsid w:val="001862C3"/>
    <w:rsid w:val="001862C6"/>
    <w:rsid w:val="00186394"/>
    <w:rsid w:val="001863A7"/>
    <w:rsid w:val="00186414"/>
    <w:rsid w:val="0018675B"/>
    <w:rsid w:val="00186803"/>
    <w:rsid w:val="00186844"/>
    <w:rsid w:val="00186866"/>
    <w:rsid w:val="0018694B"/>
    <w:rsid w:val="001869BB"/>
    <w:rsid w:val="001869EB"/>
    <w:rsid w:val="00186AB7"/>
    <w:rsid w:val="00186B11"/>
    <w:rsid w:val="00186BA5"/>
    <w:rsid w:val="00186C4D"/>
    <w:rsid w:val="00186CB7"/>
    <w:rsid w:val="00186D1F"/>
    <w:rsid w:val="00186D43"/>
    <w:rsid w:val="00186D4B"/>
    <w:rsid w:val="00186D55"/>
    <w:rsid w:val="00186E30"/>
    <w:rsid w:val="00186E8E"/>
    <w:rsid w:val="00186EF7"/>
    <w:rsid w:val="00186F3D"/>
    <w:rsid w:val="00186F54"/>
    <w:rsid w:val="0018701A"/>
    <w:rsid w:val="001871C3"/>
    <w:rsid w:val="00187228"/>
    <w:rsid w:val="0018732B"/>
    <w:rsid w:val="00187379"/>
    <w:rsid w:val="00187513"/>
    <w:rsid w:val="0018752C"/>
    <w:rsid w:val="0018756E"/>
    <w:rsid w:val="0018758D"/>
    <w:rsid w:val="001875E6"/>
    <w:rsid w:val="0018769E"/>
    <w:rsid w:val="001876A7"/>
    <w:rsid w:val="001876C6"/>
    <w:rsid w:val="0018775B"/>
    <w:rsid w:val="001877CC"/>
    <w:rsid w:val="00187824"/>
    <w:rsid w:val="00187A5A"/>
    <w:rsid w:val="00187A63"/>
    <w:rsid w:val="00187AB9"/>
    <w:rsid w:val="00187B12"/>
    <w:rsid w:val="00187B14"/>
    <w:rsid w:val="00187B35"/>
    <w:rsid w:val="00187B79"/>
    <w:rsid w:val="00187C69"/>
    <w:rsid w:val="00187CB3"/>
    <w:rsid w:val="00187DAA"/>
    <w:rsid w:val="00187DD1"/>
    <w:rsid w:val="00187E58"/>
    <w:rsid w:val="00187EC9"/>
    <w:rsid w:val="00187F46"/>
    <w:rsid w:val="00187F8F"/>
    <w:rsid w:val="00187F95"/>
    <w:rsid w:val="00190027"/>
    <w:rsid w:val="001900AB"/>
    <w:rsid w:val="00190142"/>
    <w:rsid w:val="001901BF"/>
    <w:rsid w:val="00190205"/>
    <w:rsid w:val="001902E0"/>
    <w:rsid w:val="00190362"/>
    <w:rsid w:val="00190402"/>
    <w:rsid w:val="00190462"/>
    <w:rsid w:val="00190505"/>
    <w:rsid w:val="00190511"/>
    <w:rsid w:val="001905FB"/>
    <w:rsid w:val="001906C2"/>
    <w:rsid w:val="001906E3"/>
    <w:rsid w:val="001907F6"/>
    <w:rsid w:val="001908A1"/>
    <w:rsid w:val="00190960"/>
    <w:rsid w:val="00190A58"/>
    <w:rsid w:val="00190AE4"/>
    <w:rsid w:val="00190B07"/>
    <w:rsid w:val="00190B27"/>
    <w:rsid w:val="00190CDF"/>
    <w:rsid w:val="00190D06"/>
    <w:rsid w:val="00190D5D"/>
    <w:rsid w:val="00190DBF"/>
    <w:rsid w:val="00190EAA"/>
    <w:rsid w:val="00190EAF"/>
    <w:rsid w:val="0019101A"/>
    <w:rsid w:val="00191159"/>
    <w:rsid w:val="00191296"/>
    <w:rsid w:val="00191398"/>
    <w:rsid w:val="0019139D"/>
    <w:rsid w:val="00191425"/>
    <w:rsid w:val="00191434"/>
    <w:rsid w:val="00191463"/>
    <w:rsid w:val="0019147C"/>
    <w:rsid w:val="001914A2"/>
    <w:rsid w:val="00191540"/>
    <w:rsid w:val="00191590"/>
    <w:rsid w:val="0019163B"/>
    <w:rsid w:val="0019163F"/>
    <w:rsid w:val="00191652"/>
    <w:rsid w:val="001916A2"/>
    <w:rsid w:val="001916F5"/>
    <w:rsid w:val="001917DE"/>
    <w:rsid w:val="00191813"/>
    <w:rsid w:val="00191825"/>
    <w:rsid w:val="001918CA"/>
    <w:rsid w:val="001918FA"/>
    <w:rsid w:val="0019190F"/>
    <w:rsid w:val="001919AD"/>
    <w:rsid w:val="001919B0"/>
    <w:rsid w:val="001919D5"/>
    <w:rsid w:val="001919D9"/>
    <w:rsid w:val="00191ADD"/>
    <w:rsid w:val="00191BEF"/>
    <w:rsid w:val="00191D5A"/>
    <w:rsid w:val="00191D99"/>
    <w:rsid w:val="00191DC5"/>
    <w:rsid w:val="00191EBE"/>
    <w:rsid w:val="00191EC5"/>
    <w:rsid w:val="001920E2"/>
    <w:rsid w:val="0019234F"/>
    <w:rsid w:val="00192370"/>
    <w:rsid w:val="001925E7"/>
    <w:rsid w:val="00192682"/>
    <w:rsid w:val="0019274C"/>
    <w:rsid w:val="001927B0"/>
    <w:rsid w:val="001927F7"/>
    <w:rsid w:val="00192806"/>
    <w:rsid w:val="00192872"/>
    <w:rsid w:val="001928F4"/>
    <w:rsid w:val="00192975"/>
    <w:rsid w:val="0019298A"/>
    <w:rsid w:val="001929F9"/>
    <w:rsid w:val="00192AC4"/>
    <w:rsid w:val="00192B3F"/>
    <w:rsid w:val="00192BBD"/>
    <w:rsid w:val="00192C31"/>
    <w:rsid w:val="00192C92"/>
    <w:rsid w:val="00192D2C"/>
    <w:rsid w:val="00192E15"/>
    <w:rsid w:val="00192E2E"/>
    <w:rsid w:val="00193045"/>
    <w:rsid w:val="00193099"/>
    <w:rsid w:val="001930B0"/>
    <w:rsid w:val="001931F8"/>
    <w:rsid w:val="00193248"/>
    <w:rsid w:val="00193343"/>
    <w:rsid w:val="0019371A"/>
    <w:rsid w:val="001937A2"/>
    <w:rsid w:val="00193899"/>
    <w:rsid w:val="001938EC"/>
    <w:rsid w:val="0019392F"/>
    <w:rsid w:val="00193AD6"/>
    <w:rsid w:val="00193AF7"/>
    <w:rsid w:val="00193B68"/>
    <w:rsid w:val="00193E17"/>
    <w:rsid w:val="00193ED8"/>
    <w:rsid w:val="00193F0F"/>
    <w:rsid w:val="00193F12"/>
    <w:rsid w:val="00193F7D"/>
    <w:rsid w:val="00193FC2"/>
    <w:rsid w:val="00194054"/>
    <w:rsid w:val="0019406D"/>
    <w:rsid w:val="00194096"/>
    <w:rsid w:val="001940CC"/>
    <w:rsid w:val="00194107"/>
    <w:rsid w:val="0019412B"/>
    <w:rsid w:val="001941EF"/>
    <w:rsid w:val="00194281"/>
    <w:rsid w:val="00194284"/>
    <w:rsid w:val="001942AB"/>
    <w:rsid w:val="0019435F"/>
    <w:rsid w:val="001944CB"/>
    <w:rsid w:val="001945F2"/>
    <w:rsid w:val="001947D7"/>
    <w:rsid w:val="001947EA"/>
    <w:rsid w:val="001947FE"/>
    <w:rsid w:val="00194870"/>
    <w:rsid w:val="001948C5"/>
    <w:rsid w:val="0019493B"/>
    <w:rsid w:val="0019497C"/>
    <w:rsid w:val="00194A09"/>
    <w:rsid w:val="00194A5C"/>
    <w:rsid w:val="00194BBA"/>
    <w:rsid w:val="00194CAE"/>
    <w:rsid w:val="00194CD4"/>
    <w:rsid w:val="00194D7B"/>
    <w:rsid w:val="00194DE7"/>
    <w:rsid w:val="00194E42"/>
    <w:rsid w:val="00194FA7"/>
    <w:rsid w:val="00195075"/>
    <w:rsid w:val="00195117"/>
    <w:rsid w:val="0019513F"/>
    <w:rsid w:val="001951BB"/>
    <w:rsid w:val="00195245"/>
    <w:rsid w:val="00195362"/>
    <w:rsid w:val="0019536F"/>
    <w:rsid w:val="0019545A"/>
    <w:rsid w:val="001954ED"/>
    <w:rsid w:val="00195583"/>
    <w:rsid w:val="001955AF"/>
    <w:rsid w:val="001955D1"/>
    <w:rsid w:val="0019560B"/>
    <w:rsid w:val="0019561C"/>
    <w:rsid w:val="001956C0"/>
    <w:rsid w:val="00195701"/>
    <w:rsid w:val="001957E4"/>
    <w:rsid w:val="00195858"/>
    <w:rsid w:val="001958D0"/>
    <w:rsid w:val="00195918"/>
    <w:rsid w:val="0019594A"/>
    <w:rsid w:val="00195A98"/>
    <w:rsid w:val="00195AE4"/>
    <w:rsid w:val="00195C62"/>
    <w:rsid w:val="00195CEF"/>
    <w:rsid w:val="00195D77"/>
    <w:rsid w:val="00195F56"/>
    <w:rsid w:val="0019613D"/>
    <w:rsid w:val="00196165"/>
    <w:rsid w:val="001961A3"/>
    <w:rsid w:val="00196266"/>
    <w:rsid w:val="0019633B"/>
    <w:rsid w:val="00196436"/>
    <w:rsid w:val="0019644B"/>
    <w:rsid w:val="00196493"/>
    <w:rsid w:val="001964BF"/>
    <w:rsid w:val="001964C4"/>
    <w:rsid w:val="00196563"/>
    <w:rsid w:val="001965D5"/>
    <w:rsid w:val="00196640"/>
    <w:rsid w:val="001966CB"/>
    <w:rsid w:val="00196759"/>
    <w:rsid w:val="001968E0"/>
    <w:rsid w:val="00196A7B"/>
    <w:rsid w:val="00196AFA"/>
    <w:rsid w:val="00196B23"/>
    <w:rsid w:val="00196B65"/>
    <w:rsid w:val="00196BA6"/>
    <w:rsid w:val="00196BED"/>
    <w:rsid w:val="00196C63"/>
    <w:rsid w:val="00196D72"/>
    <w:rsid w:val="00196D96"/>
    <w:rsid w:val="00196E61"/>
    <w:rsid w:val="00196FD5"/>
    <w:rsid w:val="0019700F"/>
    <w:rsid w:val="00197059"/>
    <w:rsid w:val="001970EB"/>
    <w:rsid w:val="001971F5"/>
    <w:rsid w:val="001971F7"/>
    <w:rsid w:val="00197209"/>
    <w:rsid w:val="00197227"/>
    <w:rsid w:val="00197263"/>
    <w:rsid w:val="00197276"/>
    <w:rsid w:val="0019727D"/>
    <w:rsid w:val="001972C9"/>
    <w:rsid w:val="001972D2"/>
    <w:rsid w:val="0019733B"/>
    <w:rsid w:val="00197393"/>
    <w:rsid w:val="001973DA"/>
    <w:rsid w:val="0019741B"/>
    <w:rsid w:val="00197427"/>
    <w:rsid w:val="00197475"/>
    <w:rsid w:val="0019759E"/>
    <w:rsid w:val="001975FA"/>
    <w:rsid w:val="0019767D"/>
    <w:rsid w:val="00197686"/>
    <w:rsid w:val="00197698"/>
    <w:rsid w:val="001976B1"/>
    <w:rsid w:val="001977A5"/>
    <w:rsid w:val="0019787E"/>
    <w:rsid w:val="0019788A"/>
    <w:rsid w:val="001978B5"/>
    <w:rsid w:val="00197918"/>
    <w:rsid w:val="00197AD6"/>
    <w:rsid w:val="00197AF7"/>
    <w:rsid w:val="00197B0C"/>
    <w:rsid w:val="00197CE0"/>
    <w:rsid w:val="00197F48"/>
    <w:rsid w:val="00197F73"/>
    <w:rsid w:val="00197FB0"/>
    <w:rsid w:val="001A002F"/>
    <w:rsid w:val="001A0105"/>
    <w:rsid w:val="001A0120"/>
    <w:rsid w:val="001A0163"/>
    <w:rsid w:val="001A016F"/>
    <w:rsid w:val="001A019C"/>
    <w:rsid w:val="001A01B8"/>
    <w:rsid w:val="001A01DC"/>
    <w:rsid w:val="001A0219"/>
    <w:rsid w:val="001A023D"/>
    <w:rsid w:val="001A025C"/>
    <w:rsid w:val="001A02FC"/>
    <w:rsid w:val="001A0371"/>
    <w:rsid w:val="001A039E"/>
    <w:rsid w:val="001A0430"/>
    <w:rsid w:val="001A0481"/>
    <w:rsid w:val="001A04E9"/>
    <w:rsid w:val="001A053D"/>
    <w:rsid w:val="001A05C8"/>
    <w:rsid w:val="001A0720"/>
    <w:rsid w:val="001A07DB"/>
    <w:rsid w:val="001A07FB"/>
    <w:rsid w:val="001A080B"/>
    <w:rsid w:val="001A0832"/>
    <w:rsid w:val="001A088A"/>
    <w:rsid w:val="001A0929"/>
    <w:rsid w:val="001A0AC7"/>
    <w:rsid w:val="001A0BBD"/>
    <w:rsid w:val="001A0C14"/>
    <w:rsid w:val="001A0C32"/>
    <w:rsid w:val="001A0D48"/>
    <w:rsid w:val="001A0E10"/>
    <w:rsid w:val="001A0E5D"/>
    <w:rsid w:val="001A0FF0"/>
    <w:rsid w:val="001A0FF2"/>
    <w:rsid w:val="001A1070"/>
    <w:rsid w:val="001A1104"/>
    <w:rsid w:val="001A124B"/>
    <w:rsid w:val="001A1275"/>
    <w:rsid w:val="001A131A"/>
    <w:rsid w:val="001A1530"/>
    <w:rsid w:val="001A1534"/>
    <w:rsid w:val="001A15A8"/>
    <w:rsid w:val="001A167F"/>
    <w:rsid w:val="001A1779"/>
    <w:rsid w:val="001A1867"/>
    <w:rsid w:val="001A1914"/>
    <w:rsid w:val="001A195B"/>
    <w:rsid w:val="001A19E7"/>
    <w:rsid w:val="001A1A96"/>
    <w:rsid w:val="001A1BB8"/>
    <w:rsid w:val="001A1BB9"/>
    <w:rsid w:val="001A1D54"/>
    <w:rsid w:val="001A1D9E"/>
    <w:rsid w:val="001A1E19"/>
    <w:rsid w:val="001A1E82"/>
    <w:rsid w:val="001A1F71"/>
    <w:rsid w:val="001A2068"/>
    <w:rsid w:val="001A207E"/>
    <w:rsid w:val="001A212E"/>
    <w:rsid w:val="001A213E"/>
    <w:rsid w:val="001A2258"/>
    <w:rsid w:val="001A22CA"/>
    <w:rsid w:val="001A230B"/>
    <w:rsid w:val="001A2324"/>
    <w:rsid w:val="001A2355"/>
    <w:rsid w:val="001A237C"/>
    <w:rsid w:val="001A246A"/>
    <w:rsid w:val="001A24C0"/>
    <w:rsid w:val="001A2524"/>
    <w:rsid w:val="001A260C"/>
    <w:rsid w:val="001A2613"/>
    <w:rsid w:val="001A27C8"/>
    <w:rsid w:val="001A27EA"/>
    <w:rsid w:val="001A2816"/>
    <w:rsid w:val="001A291C"/>
    <w:rsid w:val="001A293C"/>
    <w:rsid w:val="001A2957"/>
    <w:rsid w:val="001A2ADE"/>
    <w:rsid w:val="001A2AE4"/>
    <w:rsid w:val="001A2C1E"/>
    <w:rsid w:val="001A2D37"/>
    <w:rsid w:val="001A2DFC"/>
    <w:rsid w:val="001A2E69"/>
    <w:rsid w:val="001A2F0E"/>
    <w:rsid w:val="001A2F8A"/>
    <w:rsid w:val="001A2FE9"/>
    <w:rsid w:val="001A307C"/>
    <w:rsid w:val="001A3196"/>
    <w:rsid w:val="001A31DA"/>
    <w:rsid w:val="001A3244"/>
    <w:rsid w:val="001A32E5"/>
    <w:rsid w:val="001A335E"/>
    <w:rsid w:val="001A3381"/>
    <w:rsid w:val="001A3396"/>
    <w:rsid w:val="001A3408"/>
    <w:rsid w:val="001A349B"/>
    <w:rsid w:val="001A365B"/>
    <w:rsid w:val="001A36B0"/>
    <w:rsid w:val="001A383A"/>
    <w:rsid w:val="001A3894"/>
    <w:rsid w:val="001A38A7"/>
    <w:rsid w:val="001A38B5"/>
    <w:rsid w:val="001A38BA"/>
    <w:rsid w:val="001A38F4"/>
    <w:rsid w:val="001A3929"/>
    <w:rsid w:val="001A39AA"/>
    <w:rsid w:val="001A3BB8"/>
    <w:rsid w:val="001A3BBA"/>
    <w:rsid w:val="001A3C6A"/>
    <w:rsid w:val="001A3DD5"/>
    <w:rsid w:val="001A3E05"/>
    <w:rsid w:val="001A3E07"/>
    <w:rsid w:val="001A3E3D"/>
    <w:rsid w:val="001A3FD6"/>
    <w:rsid w:val="001A402B"/>
    <w:rsid w:val="001A412E"/>
    <w:rsid w:val="001A4243"/>
    <w:rsid w:val="001A425D"/>
    <w:rsid w:val="001A431B"/>
    <w:rsid w:val="001A44DD"/>
    <w:rsid w:val="001A4553"/>
    <w:rsid w:val="001A45D3"/>
    <w:rsid w:val="001A4792"/>
    <w:rsid w:val="001A48B3"/>
    <w:rsid w:val="001A4A28"/>
    <w:rsid w:val="001A4A82"/>
    <w:rsid w:val="001A4C15"/>
    <w:rsid w:val="001A4C60"/>
    <w:rsid w:val="001A4C64"/>
    <w:rsid w:val="001A4CB7"/>
    <w:rsid w:val="001A4D76"/>
    <w:rsid w:val="001A4DFA"/>
    <w:rsid w:val="001A4E31"/>
    <w:rsid w:val="001A4EAB"/>
    <w:rsid w:val="001A4EB4"/>
    <w:rsid w:val="001A5031"/>
    <w:rsid w:val="001A5162"/>
    <w:rsid w:val="001A5182"/>
    <w:rsid w:val="001A520B"/>
    <w:rsid w:val="001A522F"/>
    <w:rsid w:val="001A5277"/>
    <w:rsid w:val="001A5473"/>
    <w:rsid w:val="001A5597"/>
    <w:rsid w:val="001A5624"/>
    <w:rsid w:val="001A567E"/>
    <w:rsid w:val="001A5688"/>
    <w:rsid w:val="001A56C5"/>
    <w:rsid w:val="001A572D"/>
    <w:rsid w:val="001A5782"/>
    <w:rsid w:val="001A5806"/>
    <w:rsid w:val="001A580B"/>
    <w:rsid w:val="001A5857"/>
    <w:rsid w:val="001A585E"/>
    <w:rsid w:val="001A5979"/>
    <w:rsid w:val="001A5AD0"/>
    <w:rsid w:val="001A5C3B"/>
    <w:rsid w:val="001A5D13"/>
    <w:rsid w:val="001A5DA2"/>
    <w:rsid w:val="001A5DE6"/>
    <w:rsid w:val="001A5EBA"/>
    <w:rsid w:val="001A5ECC"/>
    <w:rsid w:val="001A6030"/>
    <w:rsid w:val="001A6102"/>
    <w:rsid w:val="001A6160"/>
    <w:rsid w:val="001A619B"/>
    <w:rsid w:val="001A61BE"/>
    <w:rsid w:val="001A620F"/>
    <w:rsid w:val="001A6236"/>
    <w:rsid w:val="001A657B"/>
    <w:rsid w:val="001A663F"/>
    <w:rsid w:val="001A67FB"/>
    <w:rsid w:val="001A68D9"/>
    <w:rsid w:val="001A6922"/>
    <w:rsid w:val="001A6961"/>
    <w:rsid w:val="001A69D9"/>
    <w:rsid w:val="001A69FD"/>
    <w:rsid w:val="001A6A5E"/>
    <w:rsid w:val="001A6A82"/>
    <w:rsid w:val="001A6C72"/>
    <w:rsid w:val="001A6C92"/>
    <w:rsid w:val="001A6D14"/>
    <w:rsid w:val="001A6D48"/>
    <w:rsid w:val="001A6DBF"/>
    <w:rsid w:val="001A6DC9"/>
    <w:rsid w:val="001A6E24"/>
    <w:rsid w:val="001A6E93"/>
    <w:rsid w:val="001A7069"/>
    <w:rsid w:val="001A7104"/>
    <w:rsid w:val="001A7193"/>
    <w:rsid w:val="001A71E2"/>
    <w:rsid w:val="001A7206"/>
    <w:rsid w:val="001A7243"/>
    <w:rsid w:val="001A7270"/>
    <w:rsid w:val="001A7290"/>
    <w:rsid w:val="001A7297"/>
    <w:rsid w:val="001A72B2"/>
    <w:rsid w:val="001A730D"/>
    <w:rsid w:val="001A7331"/>
    <w:rsid w:val="001A73AF"/>
    <w:rsid w:val="001A73D7"/>
    <w:rsid w:val="001A73FA"/>
    <w:rsid w:val="001A749D"/>
    <w:rsid w:val="001A7643"/>
    <w:rsid w:val="001A76A8"/>
    <w:rsid w:val="001A77B6"/>
    <w:rsid w:val="001A7857"/>
    <w:rsid w:val="001A7B34"/>
    <w:rsid w:val="001A7B57"/>
    <w:rsid w:val="001A7C85"/>
    <w:rsid w:val="001A7CE1"/>
    <w:rsid w:val="001A7D3E"/>
    <w:rsid w:val="001A7DC2"/>
    <w:rsid w:val="001A7E32"/>
    <w:rsid w:val="001A7E6E"/>
    <w:rsid w:val="001A7EEE"/>
    <w:rsid w:val="001A7EF6"/>
    <w:rsid w:val="001B00A5"/>
    <w:rsid w:val="001B00EC"/>
    <w:rsid w:val="001B0108"/>
    <w:rsid w:val="001B0225"/>
    <w:rsid w:val="001B02CD"/>
    <w:rsid w:val="001B02EC"/>
    <w:rsid w:val="001B033F"/>
    <w:rsid w:val="001B0349"/>
    <w:rsid w:val="001B0389"/>
    <w:rsid w:val="001B050F"/>
    <w:rsid w:val="001B0586"/>
    <w:rsid w:val="001B0679"/>
    <w:rsid w:val="001B071E"/>
    <w:rsid w:val="001B0728"/>
    <w:rsid w:val="001B078B"/>
    <w:rsid w:val="001B0836"/>
    <w:rsid w:val="001B08E9"/>
    <w:rsid w:val="001B0981"/>
    <w:rsid w:val="001B0A5C"/>
    <w:rsid w:val="001B0A92"/>
    <w:rsid w:val="001B0AC0"/>
    <w:rsid w:val="001B0B99"/>
    <w:rsid w:val="001B0BAB"/>
    <w:rsid w:val="001B0BB4"/>
    <w:rsid w:val="001B0BC7"/>
    <w:rsid w:val="001B0BD6"/>
    <w:rsid w:val="001B0C3A"/>
    <w:rsid w:val="001B0D3C"/>
    <w:rsid w:val="001B0DB3"/>
    <w:rsid w:val="001B10A7"/>
    <w:rsid w:val="001B11F2"/>
    <w:rsid w:val="001B12BE"/>
    <w:rsid w:val="001B12DF"/>
    <w:rsid w:val="001B1366"/>
    <w:rsid w:val="001B13D5"/>
    <w:rsid w:val="001B152F"/>
    <w:rsid w:val="001B157B"/>
    <w:rsid w:val="001B1731"/>
    <w:rsid w:val="001B175C"/>
    <w:rsid w:val="001B17FE"/>
    <w:rsid w:val="001B181D"/>
    <w:rsid w:val="001B184A"/>
    <w:rsid w:val="001B18DD"/>
    <w:rsid w:val="001B197C"/>
    <w:rsid w:val="001B19C9"/>
    <w:rsid w:val="001B19D9"/>
    <w:rsid w:val="001B1B06"/>
    <w:rsid w:val="001B1B13"/>
    <w:rsid w:val="001B1CB3"/>
    <w:rsid w:val="001B1CC2"/>
    <w:rsid w:val="001B1D10"/>
    <w:rsid w:val="001B1D1B"/>
    <w:rsid w:val="001B1DC5"/>
    <w:rsid w:val="001B1E3A"/>
    <w:rsid w:val="001B1F9D"/>
    <w:rsid w:val="001B200E"/>
    <w:rsid w:val="001B22D5"/>
    <w:rsid w:val="001B23D8"/>
    <w:rsid w:val="001B2434"/>
    <w:rsid w:val="001B250B"/>
    <w:rsid w:val="001B250F"/>
    <w:rsid w:val="001B2607"/>
    <w:rsid w:val="001B2747"/>
    <w:rsid w:val="001B275C"/>
    <w:rsid w:val="001B275F"/>
    <w:rsid w:val="001B277E"/>
    <w:rsid w:val="001B27BB"/>
    <w:rsid w:val="001B27D0"/>
    <w:rsid w:val="001B2914"/>
    <w:rsid w:val="001B29EF"/>
    <w:rsid w:val="001B2A2B"/>
    <w:rsid w:val="001B2A63"/>
    <w:rsid w:val="001B2AED"/>
    <w:rsid w:val="001B2BA6"/>
    <w:rsid w:val="001B2BCE"/>
    <w:rsid w:val="001B2C32"/>
    <w:rsid w:val="001B2C58"/>
    <w:rsid w:val="001B2CF9"/>
    <w:rsid w:val="001B2D52"/>
    <w:rsid w:val="001B2DA8"/>
    <w:rsid w:val="001B2F52"/>
    <w:rsid w:val="001B2F73"/>
    <w:rsid w:val="001B2F98"/>
    <w:rsid w:val="001B3069"/>
    <w:rsid w:val="001B30F7"/>
    <w:rsid w:val="001B3141"/>
    <w:rsid w:val="001B3185"/>
    <w:rsid w:val="001B31EA"/>
    <w:rsid w:val="001B3372"/>
    <w:rsid w:val="001B346B"/>
    <w:rsid w:val="001B34A5"/>
    <w:rsid w:val="001B34A7"/>
    <w:rsid w:val="001B3541"/>
    <w:rsid w:val="001B3549"/>
    <w:rsid w:val="001B3635"/>
    <w:rsid w:val="001B3818"/>
    <w:rsid w:val="001B397F"/>
    <w:rsid w:val="001B3A85"/>
    <w:rsid w:val="001B3B33"/>
    <w:rsid w:val="001B3B39"/>
    <w:rsid w:val="001B3BC2"/>
    <w:rsid w:val="001B3BF0"/>
    <w:rsid w:val="001B3C37"/>
    <w:rsid w:val="001B3C41"/>
    <w:rsid w:val="001B3D04"/>
    <w:rsid w:val="001B3D1A"/>
    <w:rsid w:val="001B3D34"/>
    <w:rsid w:val="001B3D49"/>
    <w:rsid w:val="001B3D4D"/>
    <w:rsid w:val="001B3DFF"/>
    <w:rsid w:val="001B3E3A"/>
    <w:rsid w:val="001B3E9F"/>
    <w:rsid w:val="001B4052"/>
    <w:rsid w:val="001B406A"/>
    <w:rsid w:val="001B40E6"/>
    <w:rsid w:val="001B4169"/>
    <w:rsid w:val="001B41CD"/>
    <w:rsid w:val="001B428E"/>
    <w:rsid w:val="001B42C9"/>
    <w:rsid w:val="001B4321"/>
    <w:rsid w:val="001B43D5"/>
    <w:rsid w:val="001B4429"/>
    <w:rsid w:val="001B4469"/>
    <w:rsid w:val="001B44FB"/>
    <w:rsid w:val="001B457F"/>
    <w:rsid w:val="001B4732"/>
    <w:rsid w:val="001B4803"/>
    <w:rsid w:val="001B4849"/>
    <w:rsid w:val="001B4985"/>
    <w:rsid w:val="001B49B3"/>
    <w:rsid w:val="001B4A08"/>
    <w:rsid w:val="001B4B4E"/>
    <w:rsid w:val="001B4BEE"/>
    <w:rsid w:val="001B4C23"/>
    <w:rsid w:val="001B4C25"/>
    <w:rsid w:val="001B4CE2"/>
    <w:rsid w:val="001B4D1C"/>
    <w:rsid w:val="001B4F0C"/>
    <w:rsid w:val="001B4F1D"/>
    <w:rsid w:val="001B4FE0"/>
    <w:rsid w:val="001B5046"/>
    <w:rsid w:val="001B516A"/>
    <w:rsid w:val="001B5189"/>
    <w:rsid w:val="001B5191"/>
    <w:rsid w:val="001B5276"/>
    <w:rsid w:val="001B537D"/>
    <w:rsid w:val="001B55A3"/>
    <w:rsid w:val="001B57D0"/>
    <w:rsid w:val="001B587E"/>
    <w:rsid w:val="001B58F4"/>
    <w:rsid w:val="001B5943"/>
    <w:rsid w:val="001B5A27"/>
    <w:rsid w:val="001B5A94"/>
    <w:rsid w:val="001B5B44"/>
    <w:rsid w:val="001B5BEF"/>
    <w:rsid w:val="001B5BF6"/>
    <w:rsid w:val="001B5C47"/>
    <w:rsid w:val="001B5C5E"/>
    <w:rsid w:val="001B5CA5"/>
    <w:rsid w:val="001B5CF9"/>
    <w:rsid w:val="001B5D0B"/>
    <w:rsid w:val="001B5D2E"/>
    <w:rsid w:val="001B5D4F"/>
    <w:rsid w:val="001B5DA8"/>
    <w:rsid w:val="001B5F30"/>
    <w:rsid w:val="001B5F34"/>
    <w:rsid w:val="001B5F3F"/>
    <w:rsid w:val="001B5FC6"/>
    <w:rsid w:val="001B60D6"/>
    <w:rsid w:val="001B6257"/>
    <w:rsid w:val="001B6265"/>
    <w:rsid w:val="001B62AC"/>
    <w:rsid w:val="001B63B2"/>
    <w:rsid w:val="001B642F"/>
    <w:rsid w:val="001B64BB"/>
    <w:rsid w:val="001B650A"/>
    <w:rsid w:val="001B6552"/>
    <w:rsid w:val="001B6610"/>
    <w:rsid w:val="001B668C"/>
    <w:rsid w:val="001B66FE"/>
    <w:rsid w:val="001B6813"/>
    <w:rsid w:val="001B6820"/>
    <w:rsid w:val="001B696C"/>
    <w:rsid w:val="001B6971"/>
    <w:rsid w:val="001B69F8"/>
    <w:rsid w:val="001B6A38"/>
    <w:rsid w:val="001B6A3F"/>
    <w:rsid w:val="001B6AE2"/>
    <w:rsid w:val="001B6B8E"/>
    <w:rsid w:val="001B6BE0"/>
    <w:rsid w:val="001B6C9E"/>
    <w:rsid w:val="001B6D70"/>
    <w:rsid w:val="001B6E0A"/>
    <w:rsid w:val="001B6FA8"/>
    <w:rsid w:val="001B700A"/>
    <w:rsid w:val="001B70B7"/>
    <w:rsid w:val="001B70DD"/>
    <w:rsid w:val="001B7143"/>
    <w:rsid w:val="001B71D5"/>
    <w:rsid w:val="001B7559"/>
    <w:rsid w:val="001B76D8"/>
    <w:rsid w:val="001B7705"/>
    <w:rsid w:val="001B7710"/>
    <w:rsid w:val="001B7733"/>
    <w:rsid w:val="001B77E5"/>
    <w:rsid w:val="001B7838"/>
    <w:rsid w:val="001B786D"/>
    <w:rsid w:val="001B7918"/>
    <w:rsid w:val="001B7928"/>
    <w:rsid w:val="001B794A"/>
    <w:rsid w:val="001B79F8"/>
    <w:rsid w:val="001B7C36"/>
    <w:rsid w:val="001B7D45"/>
    <w:rsid w:val="001B7D47"/>
    <w:rsid w:val="001B7D5E"/>
    <w:rsid w:val="001B7DF7"/>
    <w:rsid w:val="001B7E1E"/>
    <w:rsid w:val="001B7E1F"/>
    <w:rsid w:val="001B7E57"/>
    <w:rsid w:val="001B7E73"/>
    <w:rsid w:val="001B7F06"/>
    <w:rsid w:val="001B7F95"/>
    <w:rsid w:val="001C00B2"/>
    <w:rsid w:val="001C016D"/>
    <w:rsid w:val="001C0184"/>
    <w:rsid w:val="001C02BC"/>
    <w:rsid w:val="001C0304"/>
    <w:rsid w:val="001C0348"/>
    <w:rsid w:val="001C044A"/>
    <w:rsid w:val="001C05CA"/>
    <w:rsid w:val="001C0717"/>
    <w:rsid w:val="001C084C"/>
    <w:rsid w:val="001C08F8"/>
    <w:rsid w:val="001C0977"/>
    <w:rsid w:val="001C0999"/>
    <w:rsid w:val="001C0A76"/>
    <w:rsid w:val="001C0B9D"/>
    <w:rsid w:val="001C0BBF"/>
    <w:rsid w:val="001C0C44"/>
    <w:rsid w:val="001C0D01"/>
    <w:rsid w:val="001C0D10"/>
    <w:rsid w:val="001C0D92"/>
    <w:rsid w:val="001C0DB6"/>
    <w:rsid w:val="001C0DCA"/>
    <w:rsid w:val="001C0DFB"/>
    <w:rsid w:val="001C102A"/>
    <w:rsid w:val="001C116C"/>
    <w:rsid w:val="001C1182"/>
    <w:rsid w:val="001C13F7"/>
    <w:rsid w:val="001C148B"/>
    <w:rsid w:val="001C1729"/>
    <w:rsid w:val="001C17A6"/>
    <w:rsid w:val="001C17C9"/>
    <w:rsid w:val="001C18E8"/>
    <w:rsid w:val="001C194F"/>
    <w:rsid w:val="001C19C7"/>
    <w:rsid w:val="001C1A4C"/>
    <w:rsid w:val="001C1A51"/>
    <w:rsid w:val="001C1AB2"/>
    <w:rsid w:val="001C1B28"/>
    <w:rsid w:val="001C1B93"/>
    <w:rsid w:val="001C1BE4"/>
    <w:rsid w:val="001C1CDC"/>
    <w:rsid w:val="001C1D03"/>
    <w:rsid w:val="001C1D26"/>
    <w:rsid w:val="001C1E5D"/>
    <w:rsid w:val="001C1EC3"/>
    <w:rsid w:val="001C1FE5"/>
    <w:rsid w:val="001C20D5"/>
    <w:rsid w:val="001C2222"/>
    <w:rsid w:val="001C22CE"/>
    <w:rsid w:val="001C22D3"/>
    <w:rsid w:val="001C2345"/>
    <w:rsid w:val="001C2353"/>
    <w:rsid w:val="001C2405"/>
    <w:rsid w:val="001C2519"/>
    <w:rsid w:val="001C256C"/>
    <w:rsid w:val="001C2627"/>
    <w:rsid w:val="001C2654"/>
    <w:rsid w:val="001C26B1"/>
    <w:rsid w:val="001C27D2"/>
    <w:rsid w:val="001C27DE"/>
    <w:rsid w:val="001C28B3"/>
    <w:rsid w:val="001C29D5"/>
    <w:rsid w:val="001C2A88"/>
    <w:rsid w:val="001C2AA1"/>
    <w:rsid w:val="001C2B18"/>
    <w:rsid w:val="001C2D29"/>
    <w:rsid w:val="001C2D4C"/>
    <w:rsid w:val="001C2DFC"/>
    <w:rsid w:val="001C2EBB"/>
    <w:rsid w:val="001C2F56"/>
    <w:rsid w:val="001C2F6B"/>
    <w:rsid w:val="001C2F9B"/>
    <w:rsid w:val="001C303B"/>
    <w:rsid w:val="001C30BF"/>
    <w:rsid w:val="001C3271"/>
    <w:rsid w:val="001C3317"/>
    <w:rsid w:val="001C341E"/>
    <w:rsid w:val="001C3423"/>
    <w:rsid w:val="001C352F"/>
    <w:rsid w:val="001C3538"/>
    <w:rsid w:val="001C358D"/>
    <w:rsid w:val="001C3616"/>
    <w:rsid w:val="001C3618"/>
    <w:rsid w:val="001C3816"/>
    <w:rsid w:val="001C3840"/>
    <w:rsid w:val="001C38F1"/>
    <w:rsid w:val="001C398A"/>
    <w:rsid w:val="001C3A1E"/>
    <w:rsid w:val="001C3B29"/>
    <w:rsid w:val="001C3B84"/>
    <w:rsid w:val="001C3B88"/>
    <w:rsid w:val="001C3B9F"/>
    <w:rsid w:val="001C3C4B"/>
    <w:rsid w:val="001C3D1E"/>
    <w:rsid w:val="001C3D29"/>
    <w:rsid w:val="001C3D2B"/>
    <w:rsid w:val="001C3E49"/>
    <w:rsid w:val="001C3EA9"/>
    <w:rsid w:val="001C3F84"/>
    <w:rsid w:val="001C412D"/>
    <w:rsid w:val="001C427A"/>
    <w:rsid w:val="001C42D2"/>
    <w:rsid w:val="001C42E4"/>
    <w:rsid w:val="001C4389"/>
    <w:rsid w:val="001C44FB"/>
    <w:rsid w:val="001C4519"/>
    <w:rsid w:val="001C4650"/>
    <w:rsid w:val="001C46EF"/>
    <w:rsid w:val="001C46FF"/>
    <w:rsid w:val="001C4712"/>
    <w:rsid w:val="001C4758"/>
    <w:rsid w:val="001C4933"/>
    <w:rsid w:val="001C4A3A"/>
    <w:rsid w:val="001C4AE2"/>
    <w:rsid w:val="001C4B2D"/>
    <w:rsid w:val="001C4C41"/>
    <w:rsid w:val="001C4CB0"/>
    <w:rsid w:val="001C4CB8"/>
    <w:rsid w:val="001C4CD4"/>
    <w:rsid w:val="001C4D92"/>
    <w:rsid w:val="001C4E82"/>
    <w:rsid w:val="001C4F64"/>
    <w:rsid w:val="001C4FE5"/>
    <w:rsid w:val="001C502C"/>
    <w:rsid w:val="001C507A"/>
    <w:rsid w:val="001C50EA"/>
    <w:rsid w:val="001C5127"/>
    <w:rsid w:val="001C512A"/>
    <w:rsid w:val="001C515F"/>
    <w:rsid w:val="001C5174"/>
    <w:rsid w:val="001C52DC"/>
    <w:rsid w:val="001C531A"/>
    <w:rsid w:val="001C535A"/>
    <w:rsid w:val="001C53D6"/>
    <w:rsid w:val="001C544E"/>
    <w:rsid w:val="001C55CD"/>
    <w:rsid w:val="001C5643"/>
    <w:rsid w:val="001C56F5"/>
    <w:rsid w:val="001C57FC"/>
    <w:rsid w:val="001C5816"/>
    <w:rsid w:val="001C5817"/>
    <w:rsid w:val="001C58A2"/>
    <w:rsid w:val="001C58F4"/>
    <w:rsid w:val="001C592F"/>
    <w:rsid w:val="001C593B"/>
    <w:rsid w:val="001C59B2"/>
    <w:rsid w:val="001C5A2C"/>
    <w:rsid w:val="001C5A81"/>
    <w:rsid w:val="001C5DD9"/>
    <w:rsid w:val="001C5F59"/>
    <w:rsid w:val="001C6034"/>
    <w:rsid w:val="001C6151"/>
    <w:rsid w:val="001C6225"/>
    <w:rsid w:val="001C6296"/>
    <w:rsid w:val="001C62D0"/>
    <w:rsid w:val="001C632E"/>
    <w:rsid w:val="001C637F"/>
    <w:rsid w:val="001C63E4"/>
    <w:rsid w:val="001C6565"/>
    <w:rsid w:val="001C65C6"/>
    <w:rsid w:val="001C6684"/>
    <w:rsid w:val="001C6690"/>
    <w:rsid w:val="001C66E5"/>
    <w:rsid w:val="001C6715"/>
    <w:rsid w:val="001C6789"/>
    <w:rsid w:val="001C67C4"/>
    <w:rsid w:val="001C6838"/>
    <w:rsid w:val="001C688E"/>
    <w:rsid w:val="001C68DB"/>
    <w:rsid w:val="001C68EA"/>
    <w:rsid w:val="001C6975"/>
    <w:rsid w:val="001C6D11"/>
    <w:rsid w:val="001C6D1A"/>
    <w:rsid w:val="001C6D6F"/>
    <w:rsid w:val="001C6DB3"/>
    <w:rsid w:val="001C6DDD"/>
    <w:rsid w:val="001C6EF1"/>
    <w:rsid w:val="001C6F69"/>
    <w:rsid w:val="001C6FCB"/>
    <w:rsid w:val="001C705C"/>
    <w:rsid w:val="001C70FD"/>
    <w:rsid w:val="001C7132"/>
    <w:rsid w:val="001C7172"/>
    <w:rsid w:val="001C7187"/>
    <w:rsid w:val="001C71B2"/>
    <w:rsid w:val="001C71B3"/>
    <w:rsid w:val="001C71E0"/>
    <w:rsid w:val="001C72A4"/>
    <w:rsid w:val="001C74F9"/>
    <w:rsid w:val="001C7501"/>
    <w:rsid w:val="001C7667"/>
    <w:rsid w:val="001C7721"/>
    <w:rsid w:val="001C77C4"/>
    <w:rsid w:val="001C79BE"/>
    <w:rsid w:val="001C7A6D"/>
    <w:rsid w:val="001C7A7C"/>
    <w:rsid w:val="001C7B94"/>
    <w:rsid w:val="001C7BDC"/>
    <w:rsid w:val="001C7C57"/>
    <w:rsid w:val="001C7C78"/>
    <w:rsid w:val="001C7DB7"/>
    <w:rsid w:val="001C7ED5"/>
    <w:rsid w:val="001C7F73"/>
    <w:rsid w:val="001C7FCF"/>
    <w:rsid w:val="001C7FFD"/>
    <w:rsid w:val="001D00A3"/>
    <w:rsid w:val="001D0146"/>
    <w:rsid w:val="001D01C8"/>
    <w:rsid w:val="001D0255"/>
    <w:rsid w:val="001D0256"/>
    <w:rsid w:val="001D02D8"/>
    <w:rsid w:val="001D0357"/>
    <w:rsid w:val="001D04BE"/>
    <w:rsid w:val="001D04F0"/>
    <w:rsid w:val="001D0538"/>
    <w:rsid w:val="001D05C6"/>
    <w:rsid w:val="001D060F"/>
    <w:rsid w:val="001D0622"/>
    <w:rsid w:val="001D0656"/>
    <w:rsid w:val="001D0687"/>
    <w:rsid w:val="001D069B"/>
    <w:rsid w:val="001D0773"/>
    <w:rsid w:val="001D0779"/>
    <w:rsid w:val="001D08A1"/>
    <w:rsid w:val="001D08F0"/>
    <w:rsid w:val="001D0902"/>
    <w:rsid w:val="001D09BD"/>
    <w:rsid w:val="001D0B81"/>
    <w:rsid w:val="001D0C1F"/>
    <w:rsid w:val="001D0C78"/>
    <w:rsid w:val="001D0C96"/>
    <w:rsid w:val="001D0CDF"/>
    <w:rsid w:val="001D0D10"/>
    <w:rsid w:val="001D0D1C"/>
    <w:rsid w:val="001D0D2D"/>
    <w:rsid w:val="001D0D72"/>
    <w:rsid w:val="001D0D78"/>
    <w:rsid w:val="001D0E30"/>
    <w:rsid w:val="001D0F95"/>
    <w:rsid w:val="001D0F9E"/>
    <w:rsid w:val="001D104A"/>
    <w:rsid w:val="001D10BD"/>
    <w:rsid w:val="001D10C4"/>
    <w:rsid w:val="001D10CE"/>
    <w:rsid w:val="001D1362"/>
    <w:rsid w:val="001D13F1"/>
    <w:rsid w:val="001D1562"/>
    <w:rsid w:val="001D15EA"/>
    <w:rsid w:val="001D169B"/>
    <w:rsid w:val="001D16BB"/>
    <w:rsid w:val="001D1719"/>
    <w:rsid w:val="001D183C"/>
    <w:rsid w:val="001D1904"/>
    <w:rsid w:val="001D1954"/>
    <w:rsid w:val="001D19B4"/>
    <w:rsid w:val="001D1ADA"/>
    <w:rsid w:val="001D1B77"/>
    <w:rsid w:val="001D1C4B"/>
    <w:rsid w:val="001D1C5A"/>
    <w:rsid w:val="001D1C73"/>
    <w:rsid w:val="001D1D8C"/>
    <w:rsid w:val="001D1D98"/>
    <w:rsid w:val="001D1ECA"/>
    <w:rsid w:val="001D1EFB"/>
    <w:rsid w:val="001D1F05"/>
    <w:rsid w:val="001D1F72"/>
    <w:rsid w:val="001D20C5"/>
    <w:rsid w:val="001D21C9"/>
    <w:rsid w:val="001D2241"/>
    <w:rsid w:val="001D235E"/>
    <w:rsid w:val="001D23CD"/>
    <w:rsid w:val="001D2467"/>
    <w:rsid w:val="001D251E"/>
    <w:rsid w:val="001D2594"/>
    <w:rsid w:val="001D2691"/>
    <w:rsid w:val="001D28BB"/>
    <w:rsid w:val="001D29BB"/>
    <w:rsid w:val="001D2A57"/>
    <w:rsid w:val="001D2A99"/>
    <w:rsid w:val="001D2BC4"/>
    <w:rsid w:val="001D2C57"/>
    <w:rsid w:val="001D2C8A"/>
    <w:rsid w:val="001D2D29"/>
    <w:rsid w:val="001D2EE4"/>
    <w:rsid w:val="001D319B"/>
    <w:rsid w:val="001D3436"/>
    <w:rsid w:val="001D3479"/>
    <w:rsid w:val="001D3521"/>
    <w:rsid w:val="001D35B9"/>
    <w:rsid w:val="001D380C"/>
    <w:rsid w:val="001D3B0C"/>
    <w:rsid w:val="001D3B2E"/>
    <w:rsid w:val="001D3CBE"/>
    <w:rsid w:val="001D3CD6"/>
    <w:rsid w:val="001D3CE3"/>
    <w:rsid w:val="001D3D64"/>
    <w:rsid w:val="001D3D82"/>
    <w:rsid w:val="001D3DE1"/>
    <w:rsid w:val="001D3E2F"/>
    <w:rsid w:val="001D3E4D"/>
    <w:rsid w:val="001D3E85"/>
    <w:rsid w:val="001D3E8B"/>
    <w:rsid w:val="001D3F4F"/>
    <w:rsid w:val="001D3F9C"/>
    <w:rsid w:val="001D3FA7"/>
    <w:rsid w:val="001D3FF4"/>
    <w:rsid w:val="001D409E"/>
    <w:rsid w:val="001D414E"/>
    <w:rsid w:val="001D4575"/>
    <w:rsid w:val="001D45FA"/>
    <w:rsid w:val="001D46C1"/>
    <w:rsid w:val="001D4790"/>
    <w:rsid w:val="001D48AA"/>
    <w:rsid w:val="001D49B7"/>
    <w:rsid w:val="001D4A35"/>
    <w:rsid w:val="001D4A62"/>
    <w:rsid w:val="001D4AFD"/>
    <w:rsid w:val="001D4B72"/>
    <w:rsid w:val="001D4B91"/>
    <w:rsid w:val="001D4BAB"/>
    <w:rsid w:val="001D4BF1"/>
    <w:rsid w:val="001D4CEB"/>
    <w:rsid w:val="001D4DB3"/>
    <w:rsid w:val="001D4DC4"/>
    <w:rsid w:val="001D4E61"/>
    <w:rsid w:val="001D5044"/>
    <w:rsid w:val="001D5061"/>
    <w:rsid w:val="001D5098"/>
    <w:rsid w:val="001D50A4"/>
    <w:rsid w:val="001D5103"/>
    <w:rsid w:val="001D5179"/>
    <w:rsid w:val="001D5246"/>
    <w:rsid w:val="001D52ED"/>
    <w:rsid w:val="001D53B2"/>
    <w:rsid w:val="001D53CF"/>
    <w:rsid w:val="001D541B"/>
    <w:rsid w:val="001D54B7"/>
    <w:rsid w:val="001D54DF"/>
    <w:rsid w:val="001D54FB"/>
    <w:rsid w:val="001D55F3"/>
    <w:rsid w:val="001D55F5"/>
    <w:rsid w:val="001D55FB"/>
    <w:rsid w:val="001D55FC"/>
    <w:rsid w:val="001D5660"/>
    <w:rsid w:val="001D56A3"/>
    <w:rsid w:val="001D570C"/>
    <w:rsid w:val="001D5782"/>
    <w:rsid w:val="001D57DA"/>
    <w:rsid w:val="001D597B"/>
    <w:rsid w:val="001D5998"/>
    <w:rsid w:val="001D59BA"/>
    <w:rsid w:val="001D5A0F"/>
    <w:rsid w:val="001D5A2A"/>
    <w:rsid w:val="001D5B14"/>
    <w:rsid w:val="001D5BAD"/>
    <w:rsid w:val="001D5BD3"/>
    <w:rsid w:val="001D5BF6"/>
    <w:rsid w:val="001D5C27"/>
    <w:rsid w:val="001D5C90"/>
    <w:rsid w:val="001D5D94"/>
    <w:rsid w:val="001D5DF2"/>
    <w:rsid w:val="001D5EFB"/>
    <w:rsid w:val="001D5F78"/>
    <w:rsid w:val="001D5FE8"/>
    <w:rsid w:val="001D5FEA"/>
    <w:rsid w:val="001D6003"/>
    <w:rsid w:val="001D609A"/>
    <w:rsid w:val="001D60FD"/>
    <w:rsid w:val="001D610E"/>
    <w:rsid w:val="001D6123"/>
    <w:rsid w:val="001D61F6"/>
    <w:rsid w:val="001D6200"/>
    <w:rsid w:val="001D62BF"/>
    <w:rsid w:val="001D63AB"/>
    <w:rsid w:val="001D656E"/>
    <w:rsid w:val="001D6605"/>
    <w:rsid w:val="001D66AF"/>
    <w:rsid w:val="001D66BF"/>
    <w:rsid w:val="001D6754"/>
    <w:rsid w:val="001D6759"/>
    <w:rsid w:val="001D67B2"/>
    <w:rsid w:val="001D67D2"/>
    <w:rsid w:val="001D684E"/>
    <w:rsid w:val="001D68C0"/>
    <w:rsid w:val="001D6918"/>
    <w:rsid w:val="001D693F"/>
    <w:rsid w:val="001D69E4"/>
    <w:rsid w:val="001D6A14"/>
    <w:rsid w:val="001D6A30"/>
    <w:rsid w:val="001D6A87"/>
    <w:rsid w:val="001D6AC4"/>
    <w:rsid w:val="001D6AE2"/>
    <w:rsid w:val="001D6B15"/>
    <w:rsid w:val="001D6C15"/>
    <w:rsid w:val="001D6C55"/>
    <w:rsid w:val="001D6CA4"/>
    <w:rsid w:val="001D6CC9"/>
    <w:rsid w:val="001D6D22"/>
    <w:rsid w:val="001D6E6D"/>
    <w:rsid w:val="001D6E9D"/>
    <w:rsid w:val="001D6F09"/>
    <w:rsid w:val="001D6F1F"/>
    <w:rsid w:val="001D6F7B"/>
    <w:rsid w:val="001D6FCC"/>
    <w:rsid w:val="001D6FFB"/>
    <w:rsid w:val="001D701A"/>
    <w:rsid w:val="001D709F"/>
    <w:rsid w:val="001D7170"/>
    <w:rsid w:val="001D725A"/>
    <w:rsid w:val="001D72A7"/>
    <w:rsid w:val="001D72B5"/>
    <w:rsid w:val="001D72CA"/>
    <w:rsid w:val="001D7315"/>
    <w:rsid w:val="001D73B3"/>
    <w:rsid w:val="001D7456"/>
    <w:rsid w:val="001D747C"/>
    <w:rsid w:val="001D7503"/>
    <w:rsid w:val="001D7518"/>
    <w:rsid w:val="001D75CA"/>
    <w:rsid w:val="001D7619"/>
    <w:rsid w:val="001D7628"/>
    <w:rsid w:val="001D762D"/>
    <w:rsid w:val="001D7651"/>
    <w:rsid w:val="001D766E"/>
    <w:rsid w:val="001D7684"/>
    <w:rsid w:val="001D76BC"/>
    <w:rsid w:val="001D76FA"/>
    <w:rsid w:val="001D7740"/>
    <w:rsid w:val="001D7770"/>
    <w:rsid w:val="001D7810"/>
    <w:rsid w:val="001D7828"/>
    <w:rsid w:val="001D7856"/>
    <w:rsid w:val="001D78E4"/>
    <w:rsid w:val="001D795F"/>
    <w:rsid w:val="001D7963"/>
    <w:rsid w:val="001D7972"/>
    <w:rsid w:val="001D7B9B"/>
    <w:rsid w:val="001D7C19"/>
    <w:rsid w:val="001D7C8D"/>
    <w:rsid w:val="001D7CE4"/>
    <w:rsid w:val="001D7D43"/>
    <w:rsid w:val="001D7D93"/>
    <w:rsid w:val="001D7DA3"/>
    <w:rsid w:val="001D7DC5"/>
    <w:rsid w:val="001D7DDD"/>
    <w:rsid w:val="001D7DEC"/>
    <w:rsid w:val="001D7E63"/>
    <w:rsid w:val="001D7F3D"/>
    <w:rsid w:val="001D7F75"/>
    <w:rsid w:val="001D7FAB"/>
    <w:rsid w:val="001E001D"/>
    <w:rsid w:val="001E0066"/>
    <w:rsid w:val="001E011E"/>
    <w:rsid w:val="001E012E"/>
    <w:rsid w:val="001E034F"/>
    <w:rsid w:val="001E04E0"/>
    <w:rsid w:val="001E054F"/>
    <w:rsid w:val="001E069A"/>
    <w:rsid w:val="001E0738"/>
    <w:rsid w:val="001E0739"/>
    <w:rsid w:val="001E0824"/>
    <w:rsid w:val="001E087B"/>
    <w:rsid w:val="001E08BA"/>
    <w:rsid w:val="001E08E5"/>
    <w:rsid w:val="001E0912"/>
    <w:rsid w:val="001E0953"/>
    <w:rsid w:val="001E096B"/>
    <w:rsid w:val="001E0A5C"/>
    <w:rsid w:val="001E0B24"/>
    <w:rsid w:val="001E0B62"/>
    <w:rsid w:val="001E0BA7"/>
    <w:rsid w:val="001E0BC3"/>
    <w:rsid w:val="001E0D34"/>
    <w:rsid w:val="001E0F04"/>
    <w:rsid w:val="001E0F70"/>
    <w:rsid w:val="001E10E8"/>
    <w:rsid w:val="001E1141"/>
    <w:rsid w:val="001E11C6"/>
    <w:rsid w:val="001E1222"/>
    <w:rsid w:val="001E1279"/>
    <w:rsid w:val="001E12D1"/>
    <w:rsid w:val="001E12DB"/>
    <w:rsid w:val="001E1324"/>
    <w:rsid w:val="001E1330"/>
    <w:rsid w:val="001E1438"/>
    <w:rsid w:val="001E15DF"/>
    <w:rsid w:val="001E16CC"/>
    <w:rsid w:val="001E1705"/>
    <w:rsid w:val="001E170F"/>
    <w:rsid w:val="001E179C"/>
    <w:rsid w:val="001E1863"/>
    <w:rsid w:val="001E18CB"/>
    <w:rsid w:val="001E191C"/>
    <w:rsid w:val="001E1949"/>
    <w:rsid w:val="001E19CD"/>
    <w:rsid w:val="001E1A74"/>
    <w:rsid w:val="001E1B70"/>
    <w:rsid w:val="001E1C64"/>
    <w:rsid w:val="001E1D73"/>
    <w:rsid w:val="001E1D7E"/>
    <w:rsid w:val="001E1E32"/>
    <w:rsid w:val="001E1F7C"/>
    <w:rsid w:val="001E2062"/>
    <w:rsid w:val="001E2169"/>
    <w:rsid w:val="001E2286"/>
    <w:rsid w:val="001E22AE"/>
    <w:rsid w:val="001E22E3"/>
    <w:rsid w:val="001E2310"/>
    <w:rsid w:val="001E23E2"/>
    <w:rsid w:val="001E23FD"/>
    <w:rsid w:val="001E24B2"/>
    <w:rsid w:val="001E2505"/>
    <w:rsid w:val="001E253C"/>
    <w:rsid w:val="001E25D4"/>
    <w:rsid w:val="001E2667"/>
    <w:rsid w:val="001E2677"/>
    <w:rsid w:val="001E2687"/>
    <w:rsid w:val="001E26FE"/>
    <w:rsid w:val="001E278C"/>
    <w:rsid w:val="001E279D"/>
    <w:rsid w:val="001E27EF"/>
    <w:rsid w:val="001E27F4"/>
    <w:rsid w:val="001E2850"/>
    <w:rsid w:val="001E28A4"/>
    <w:rsid w:val="001E28EA"/>
    <w:rsid w:val="001E2953"/>
    <w:rsid w:val="001E2989"/>
    <w:rsid w:val="001E2A25"/>
    <w:rsid w:val="001E2A84"/>
    <w:rsid w:val="001E2AD1"/>
    <w:rsid w:val="001E2DE1"/>
    <w:rsid w:val="001E2F93"/>
    <w:rsid w:val="001E3002"/>
    <w:rsid w:val="001E3047"/>
    <w:rsid w:val="001E304C"/>
    <w:rsid w:val="001E30D1"/>
    <w:rsid w:val="001E30D7"/>
    <w:rsid w:val="001E31B5"/>
    <w:rsid w:val="001E32CF"/>
    <w:rsid w:val="001E32EE"/>
    <w:rsid w:val="001E338E"/>
    <w:rsid w:val="001E33AE"/>
    <w:rsid w:val="001E33E2"/>
    <w:rsid w:val="001E345D"/>
    <w:rsid w:val="001E34C3"/>
    <w:rsid w:val="001E350D"/>
    <w:rsid w:val="001E3541"/>
    <w:rsid w:val="001E35B0"/>
    <w:rsid w:val="001E35D6"/>
    <w:rsid w:val="001E3619"/>
    <w:rsid w:val="001E36F9"/>
    <w:rsid w:val="001E3794"/>
    <w:rsid w:val="001E37F9"/>
    <w:rsid w:val="001E389B"/>
    <w:rsid w:val="001E38B3"/>
    <w:rsid w:val="001E38C0"/>
    <w:rsid w:val="001E399E"/>
    <w:rsid w:val="001E3A2B"/>
    <w:rsid w:val="001E3C02"/>
    <w:rsid w:val="001E3C06"/>
    <w:rsid w:val="001E3C6D"/>
    <w:rsid w:val="001E3C9F"/>
    <w:rsid w:val="001E3F04"/>
    <w:rsid w:val="001E3F20"/>
    <w:rsid w:val="001E3F6E"/>
    <w:rsid w:val="001E3F76"/>
    <w:rsid w:val="001E3F87"/>
    <w:rsid w:val="001E4176"/>
    <w:rsid w:val="001E429D"/>
    <w:rsid w:val="001E429E"/>
    <w:rsid w:val="001E43A9"/>
    <w:rsid w:val="001E460C"/>
    <w:rsid w:val="001E4617"/>
    <w:rsid w:val="001E466E"/>
    <w:rsid w:val="001E4676"/>
    <w:rsid w:val="001E46E6"/>
    <w:rsid w:val="001E46F2"/>
    <w:rsid w:val="001E4725"/>
    <w:rsid w:val="001E4751"/>
    <w:rsid w:val="001E4772"/>
    <w:rsid w:val="001E47A5"/>
    <w:rsid w:val="001E47CE"/>
    <w:rsid w:val="001E4826"/>
    <w:rsid w:val="001E4849"/>
    <w:rsid w:val="001E48A5"/>
    <w:rsid w:val="001E4904"/>
    <w:rsid w:val="001E498C"/>
    <w:rsid w:val="001E49F3"/>
    <w:rsid w:val="001E4A2B"/>
    <w:rsid w:val="001E4A43"/>
    <w:rsid w:val="001E4A57"/>
    <w:rsid w:val="001E4B4F"/>
    <w:rsid w:val="001E4B83"/>
    <w:rsid w:val="001E4BDD"/>
    <w:rsid w:val="001E4C9C"/>
    <w:rsid w:val="001E4D2E"/>
    <w:rsid w:val="001E4D39"/>
    <w:rsid w:val="001E4DE0"/>
    <w:rsid w:val="001E4DE2"/>
    <w:rsid w:val="001E4DEA"/>
    <w:rsid w:val="001E4E61"/>
    <w:rsid w:val="001E4E72"/>
    <w:rsid w:val="001E50EA"/>
    <w:rsid w:val="001E51CA"/>
    <w:rsid w:val="001E5476"/>
    <w:rsid w:val="001E551B"/>
    <w:rsid w:val="001E55EE"/>
    <w:rsid w:val="001E5744"/>
    <w:rsid w:val="001E57A8"/>
    <w:rsid w:val="001E5839"/>
    <w:rsid w:val="001E58D9"/>
    <w:rsid w:val="001E5A02"/>
    <w:rsid w:val="001E5AAC"/>
    <w:rsid w:val="001E5B67"/>
    <w:rsid w:val="001E5BB6"/>
    <w:rsid w:val="001E5BD9"/>
    <w:rsid w:val="001E5BEC"/>
    <w:rsid w:val="001E5C18"/>
    <w:rsid w:val="001E5C20"/>
    <w:rsid w:val="001E5E0B"/>
    <w:rsid w:val="001E5E2B"/>
    <w:rsid w:val="001E5EC0"/>
    <w:rsid w:val="001E6157"/>
    <w:rsid w:val="001E61CA"/>
    <w:rsid w:val="001E62B3"/>
    <w:rsid w:val="001E62CA"/>
    <w:rsid w:val="001E636B"/>
    <w:rsid w:val="001E6392"/>
    <w:rsid w:val="001E6468"/>
    <w:rsid w:val="001E64C0"/>
    <w:rsid w:val="001E64EE"/>
    <w:rsid w:val="001E653C"/>
    <w:rsid w:val="001E672E"/>
    <w:rsid w:val="001E6736"/>
    <w:rsid w:val="001E677B"/>
    <w:rsid w:val="001E67CB"/>
    <w:rsid w:val="001E68ED"/>
    <w:rsid w:val="001E694C"/>
    <w:rsid w:val="001E69D3"/>
    <w:rsid w:val="001E6B81"/>
    <w:rsid w:val="001E6B97"/>
    <w:rsid w:val="001E6B9E"/>
    <w:rsid w:val="001E6BF1"/>
    <w:rsid w:val="001E6C2C"/>
    <w:rsid w:val="001E6EC5"/>
    <w:rsid w:val="001E6F57"/>
    <w:rsid w:val="001E6F69"/>
    <w:rsid w:val="001E6F75"/>
    <w:rsid w:val="001E6FFB"/>
    <w:rsid w:val="001E7066"/>
    <w:rsid w:val="001E70CA"/>
    <w:rsid w:val="001E71AF"/>
    <w:rsid w:val="001E721B"/>
    <w:rsid w:val="001E7258"/>
    <w:rsid w:val="001E7386"/>
    <w:rsid w:val="001E749C"/>
    <w:rsid w:val="001E74CA"/>
    <w:rsid w:val="001E74EA"/>
    <w:rsid w:val="001E7502"/>
    <w:rsid w:val="001E7543"/>
    <w:rsid w:val="001E7549"/>
    <w:rsid w:val="001E76D4"/>
    <w:rsid w:val="001E778F"/>
    <w:rsid w:val="001E779B"/>
    <w:rsid w:val="001E77AC"/>
    <w:rsid w:val="001E7815"/>
    <w:rsid w:val="001E7958"/>
    <w:rsid w:val="001E7996"/>
    <w:rsid w:val="001E7A5D"/>
    <w:rsid w:val="001E7AF1"/>
    <w:rsid w:val="001E7B30"/>
    <w:rsid w:val="001E7B4D"/>
    <w:rsid w:val="001E7C07"/>
    <w:rsid w:val="001E7C5B"/>
    <w:rsid w:val="001E7C9F"/>
    <w:rsid w:val="001E7E38"/>
    <w:rsid w:val="001E7E73"/>
    <w:rsid w:val="001E7FB4"/>
    <w:rsid w:val="001F01E6"/>
    <w:rsid w:val="001F0279"/>
    <w:rsid w:val="001F02CB"/>
    <w:rsid w:val="001F0540"/>
    <w:rsid w:val="001F067E"/>
    <w:rsid w:val="001F06EB"/>
    <w:rsid w:val="001F079D"/>
    <w:rsid w:val="001F080F"/>
    <w:rsid w:val="001F08CF"/>
    <w:rsid w:val="001F09BE"/>
    <w:rsid w:val="001F09C9"/>
    <w:rsid w:val="001F0B34"/>
    <w:rsid w:val="001F0CAF"/>
    <w:rsid w:val="001F0DA8"/>
    <w:rsid w:val="001F0DAB"/>
    <w:rsid w:val="001F0DB6"/>
    <w:rsid w:val="001F0DE5"/>
    <w:rsid w:val="001F0E56"/>
    <w:rsid w:val="001F0E9E"/>
    <w:rsid w:val="001F0FCF"/>
    <w:rsid w:val="001F106A"/>
    <w:rsid w:val="001F1147"/>
    <w:rsid w:val="001F1195"/>
    <w:rsid w:val="001F142B"/>
    <w:rsid w:val="001F145B"/>
    <w:rsid w:val="001F149F"/>
    <w:rsid w:val="001F1558"/>
    <w:rsid w:val="001F15C4"/>
    <w:rsid w:val="001F1626"/>
    <w:rsid w:val="001F174F"/>
    <w:rsid w:val="001F185D"/>
    <w:rsid w:val="001F1904"/>
    <w:rsid w:val="001F19D8"/>
    <w:rsid w:val="001F1A4E"/>
    <w:rsid w:val="001F1A4F"/>
    <w:rsid w:val="001F1AED"/>
    <w:rsid w:val="001F1B27"/>
    <w:rsid w:val="001F1B6A"/>
    <w:rsid w:val="001F1C7E"/>
    <w:rsid w:val="001F1D24"/>
    <w:rsid w:val="001F1D2F"/>
    <w:rsid w:val="001F1DA3"/>
    <w:rsid w:val="001F1F51"/>
    <w:rsid w:val="001F1F74"/>
    <w:rsid w:val="001F200E"/>
    <w:rsid w:val="001F20A9"/>
    <w:rsid w:val="001F21B0"/>
    <w:rsid w:val="001F2308"/>
    <w:rsid w:val="001F261F"/>
    <w:rsid w:val="001F264E"/>
    <w:rsid w:val="001F277A"/>
    <w:rsid w:val="001F28AA"/>
    <w:rsid w:val="001F29CA"/>
    <w:rsid w:val="001F29D8"/>
    <w:rsid w:val="001F2B96"/>
    <w:rsid w:val="001F2BCE"/>
    <w:rsid w:val="001F2C1D"/>
    <w:rsid w:val="001F2C60"/>
    <w:rsid w:val="001F2C95"/>
    <w:rsid w:val="001F2D1F"/>
    <w:rsid w:val="001F2D22"/>
    <w:rsid w:val="001F2D63"/>
    <w:rsid w:val="001F2D6F"/>
    <w:rsid w:val="001F2DC2"/>
    <w:rsid w:val="001F2E1A"/>
    <w:rsid w:val="001F2E40"/>
    <w:rsid w:val="001F2F83"/>
    <w:rsid w:val="001F2FBE"/>
    <w:rsid w:val="001F30DA"/>
    <w:rsid w:val="001F30FF"/>
    <w:rsid w:val="001F310C"/>
    <w:rsid w:val="001F311B"/>
    <w:rsid w:val="001F3199"/>
    <w:rsid w:val="001F327D"/>
    <w:rsid w:val="001F3304"/>
    <w:rsid w:val="001F3379"/>
    <w:rsid w:val="001F34F6"/>
    <w:rsid w:val="001F350A"/>
    <w:rsid w:val="001F351B"/>
    <w:rsid w:val="001F35AC"/>
    <w:rsid w:val="001F3609"/>
    <w:rsid w:val="001F3623"/>
    <w:rsid w:val="001F3645"/>
    <w:rsid w:val="001F37A1"/>
    <w:rsid w:val="001F37EC"/>
    <w:rsid w:val="001F380D"/>
    <w:rsid w:val="001F3980"/>
    <w:rsid w:val="001F39A4"/>
    <w:rsid w:val="001F39B7"/>
    <w:rsid w:val="001F39CE"/>
    <w:rsid w:val="001F3B06"/>
    <w:rsid w:val="001F3B6F"/>
    <w:rsid w:val="001F3CA1"/>
    <w:rsid w:val="001F3CD8"/>
    <w:rsid w:val="001F3D3A"/>
    <w:rsid w:val="001F3DB6"/>
    <w:rsid w:val="001F3E12"/>
    <w:rsid w:val="001F3E47"/>
    <w:rsid w:val="001F3FE2"/>
    <w:rsid w:val="001F4010"/>
    <w:rsid w:val="001F40A9"/>
    <w:rsid w:val="001F40AD"/>
    <w:rsid w:val="001F40BF"/>
    <w:rsid w:val="001F40D3"/>
    <w:rsid w:val="001F417D"/>
    <w:rsid w:val="001F4219"/>
    <w:rsid w:val="001F425E"/>
    <w:rsid w:val="001F42E1"/>
    <w:rsid w:val="001F4412"/>
    <w:rsid w:val="001F443E"/>
    <w:rsid w:val="001F44DF"/>
    <w:rsid w:val="001F4516"/>
    <w:rsid w:val="001F4536"/>
    <w:rsid w:val="001F4546"/>
    <w:rsid w:val="001F4569"/>
    <w:rsid w:val="001F45C7"/>
    <w:rsid w:val="001F45C8"/>
    <w:rsid w:val="001F474E"/>
    <w:rsid w:val="001F4830"/>
    <w:rsid w:val="001F4A43"/>
    <w:rsid w:val="001F4A96"/>
    <w:rsid w:val="001F4AE5"/>
    <w:rsid w:val="001F4C3C"/>
    <w:rsid w:val="001F4CA1"/>
    <w:rsid w:val="001F4DCE"/>
    <w:rsid w:val="001F4E3F"/>
    <w:rsid w:val="001F4EA4"/>
    <w:rsid w:val="001F4F1E"/>
    <w:rsid w:val="001F4F49"/>
    <w:rsid w:val="001F4F4F"/>
    <w:rsid w:val="001F4F6E"/>
    <w:rsid w:val="001F4FBD"/>
    <w:rsid w:val="001F51BE"/>
    <w:rsid w:val="001F5231"/>
    <w:rsid w:val="001F5305"/>
    <w:rsid w:val="001F532E"/>
    <w:rsid w:val="001F5351"/>
    <w:rsid w:val="001F54CB"/>
    <w:rsid w:val="001F54DC"/>
    <w:rsid w:val="001F5583"/>
    <w:rsid w:val="001F559B"/>
    <w:rsid w:val="001F562A"/>
    <w:rsid w:val="001F565E"/>
    <w:rsid w:val="001F5684"/>
    <w:rsid w:val="001F568F"/>
    <w:rsid w:val="001F5734"/>
    <w:rsid w:val="001F5842"/>
    <w:rsid w:val="001F584F"/>
    <w:rsid w:val="001F5873"/>
    <w:rsid w:val="001F59F2"/>
    <w:rsid w:val="001F5BA5"/>
    <w:rsid w:val="001F5C3D"/>
    <w:rsid w:val="001F5D4A"/>
    <w:rsid w:val="001F5D67"/>
    <w:rsid w:val="001F5D97"/>
    <w:rsid w:val="001F5E9E"/>
    <w:rsid w:val="001F5F04"/>
    <w:rsid w:val="001F5F0A"/>
    <w:rsid w:val="001F5FD4"/>
    <w:rsid w:val="001F5FEC"/>
    <w:rsid w:val="001F6026"/>
    <w:rsid w:val="001F6241"/>
    <w:rsid w:val="001F62B8"/>
    <w:rsid w:val="001F6348"/>
    <w:rsid w:val="001F6453"/>
    <w:rsid w:val="001F64E4"/>
    <w:rsid w:val="001F6575"/>
    <w:rsid w:val="001F6585"/>
    <w:rsid w:val="001F65CD"/>
    <w:rsid w:val="001F662D"/>
    <w:rsid w:val="001F6682"/>
    <w:rsid w:val="001F66FB"/>
    <w:rsid w:val="001F67BD"/>
    <w:rsid w:val="001F68BF"/>
    <w:rsid w:val="001F6974"/>
    <w:rsid w:val="001F6994"/>
    <w:rsid w:val="001F6A18"/>
    <w:rsid w:val="001F6A65"/>
    <w:rsid w:val="001F6AAD"/>
    <w:rsid w:val="001F6B6B"/>
    <w:rsid w:val="001F6BB0"/>
    <w:rsid w:val="001F6CB9"/>
    <w:rsid w:val="001F6CD3"/>
    <w:rsid w:val="001F6DA2"/>
    <w:rsid w:val="001F6E28"/>
    <w:rsid w:val="001F6EF1"/>
    <w:rsid w:val="001F6F21"/>
    <w:rsid w:val="001F6FA6"/>
    <w:rsid w:val="001F6FDB"/>
    <w:rsid w:val="001F70B7"/>
    <w:rsid w:val="001F70DD"/>
    <w:rsid w:val="001F71A0"/>
    <w:rsid w:val="001F723D"/>
    <w:rsid w:val="001F72D6"/>
    <w:rsid w:val="001F739D"/>
    <w:rsid w:val="001F73AB"/>
    <w:rsid w:val="001F73BF"/>
    <w:rsid w:val="001F7414"/>
    <w:rsid w:val="001F745B"/>
    <w:rsid w:val="001F74AD"/>
    <w:rsid w:val="001F7541"/>
    <w:rsid w:val="001F75BD"/>
    <w:rsid w:val="001F764F"/>
    <w:rsid w:val="001F7675"/>
    <w:rsid w:val="001F7794"/>
    <w:rsid w:val="001F77B4"/>
    <w:rsid w:val="001F7801"/>
    <w:rsid w:val="001F785E"/>
    <w:rsid w:val="001F78BF"/>
    <w:rsid w:val="001F78DD"/>
    <w:rsid w:val="001F78E4"/>
    <w:rsid w:val="001F78EC"/>
    <w:rsid w:val="001F7994"/>
    <w:rsid w:val="001F7A16"/>
    <w:rsid w:val="001F7B72"/>
    <w:rsid w:val="001F7B93"/>
    <w:rsid w:val="001F7C9F"/>
    <w:rsid w:val="001F7D95"/>
    <w:rsid w:val="001F7DF3"/>
    <w:rsid w:val="001F7E0F"/>
    <w:rsid w:val="001F7E39"/>
    <w:rsid w:val="001F7E3F"/>
    <w:rsid w:val="00200085"/>
    <w:rsid w:val="0020015C"/>
    <w:rsid w:val="00200213"/>
    <w:rsid w:val="0020035F"/>
    <w:rsid w:val="002003AE"/>
    <w:rsid w:val="00200514"/>
    <w:rsid w:val="002005B1"/>
    <w:rsid w:val="0020065D"/>
    <w:rsid w:val="00200660"/>
    <w:rsid w:val="0020071A"/>
    <w:rsid w:val="002007C7"/>
    <w:rsid w:val="002007D8"/>
    <w:rsid w:val="00200852"/>
    <w:rsid w:val="002008DE"/>
    <w:rsid w:val="002009C4"/>
    <w:rsid w:val="002009D9"/>
    <w:rsid w:val="002009F3"/>
    <w:rsid w:val="00200AEB"/>
    <w:rsid w:val="00200AF7"/>
    <w:rsid w:val="00200B27"/>
    <w:rsid w:val="00200B76"/>
    <w:rsid w:val="00200BCA"/>
    <w:rsid w:val="00200BF7"/>
    <w:rsid w:val="00200C11"/>
    <w:rsid w:val="00200C2E"/>
    <w:rsid w:val="00200CC0"/>
    <w:rsid w:val="00200D9C"/>
    <w:rsid w:val="00200DF0"/>
    <w:rsid w:val="0020102D"/>
    <w:rsid w:val="00201116"/>
    <w:rsid w:val="002011EF"/>
    <w:rsid w:val="002012D8"/>
    <w:rsid w:val="00201375"/>
    <w:rsid w:val="002013C9"/>
    <w:rsid w:val="00201413"/>
    <w:rsid w:val="0020146C"/>
    <w:rsid w:val="0020146D"/>
    <w:rsid w:val="0020150B"/>
    <w:rsid w:val="00201512"/>
    <w:rsid w:val="0020156D"/>
    <w:rsid w:val="00201598"/>
    <w:rsid w:val="0020159A"/>
    <w:rsid w:val="00201669"/>
    <w:rsid w:val="00201726"/>
    <w:rsid w:val="002017E4"/>
    <w:rsid w:val="00201840"/>
    <w:rsid w:val="00201871"/>
    <w:rsid w:val="002018DF"/>
    <w:rsid w:val="002019BE"/>
    <w:rsid w:val="00201A4A"/>
    <w:rsid w:val="00201A60"/>
    <w:rsid w:val="00201BE6"/>
    <w:rsid w:val="00201C1D"/>
    <w:rsid w:val="00201CD6"/>
    <w:rsid w:val="00201D6B"/>
    <w:rsid w:val="00201D6C"/>
    <w:rsid w:val="00201EA6"/>
    <w:rsid w:val="00201F39"/>
    <w:rsid w:val="00201F7B"/>
    <w:rsid w:val="002020E7"/>
    <w:rsid w:val="002020EE"/>
    <w:rsid w:val="002021A4"/>
    <w:rsid w:val="00202288"/>
    <w:rsid w:val="00202290"/>
    <w:rsid w:val="002022E6"/>
    <w:rsid w:val="00202315"/>
    <w:rsid w:val="0020231D"/>
    <w:rsid w:val="002023C7"/>
    <w:rsid w:val="002023EF"/>
    <w:rsid w:val="00202583"/>
    <w:rsid w:val="00202668"/>
    <w:rsid w:val="00202696"/>
    <w:rsid w:val="002028D5"/>
    <w:rsid w:val="0020290D"/>
    <w:rsid w:val="00202927"/>
    <w:rsid w:val="00202949"/>
    <w:rsid w:val="002029FD"/>
    <w:rsid w:val="00202A27"/>
    <w:rsid w:val="00202A3D"/>
    <w:rsid w:val="00202ABE"/>
    <w:rsid w:val="00202B06"/>
    <w:rsid w:val="00202C49"/>
    <w:rsid w:val="00202C7B"/>
    <w:rsid w:val="00202C89"/>
    <w:rsid w:val="00202CAC"/>
    <w:rsid w:val="00202D3D"/>
    <w:rsid w:val="00202FDB"/>
    <w:rsid w:val="00203083"/>
    <w:rsid w:val="002030A5"/>
    <w:rsid w:val="00203171"/>
    <w:rsid w:val="002031F1"/>
    <w:rsid w:val="00203235"/>
    <w:rsid w:val="0020324E"/>
    <w:rsid w:val="00203273"/>
    <w:rsid w:val="002032BE"/>
    <w:rsid w:val="00203354"/>
    <w:rsid w:val="00203618"/>
    <w:rsid w:val="00203622"/>
    <w:rsid w:val="00203662"/>
    <w:rsid w:val="00203746"/>
    <w:rsid w:val="0020390C"/>
    <w:rsid w:val="00203975"/>
    <w:rsid w:val="002039C3"/>
    <w:rsid w:val="00203A3E"/>
    <w:rsid w:val="00203A92"/>
    <w:rsid w:val="00203AF6"/>
    <w:rsid w:val="00203B36"/>
    <w:rsid w:val="00203B47"/>
    <w:rsid w:val="00203B88"/>
    <w:rsid w:val="00203B8F"/>
    <w:rsid w:val="00203C14"/>
    <w:rsid w:val="00203C9E"/>
    <w:rsid w:val="00203D9F"/>
    <w:rsid w:val="00203DCE"/>
    <w:rsid w:val="00203E87"/>
    <w:rsid w:val="00203F4C"/>
    <w:rsid w:val="00204146"/>
    <w:rsid w:val="00204147"/>
    <w:rsid w:val="00204174"/>
    <w:rsid w:val="00204248"/>
    <w:rsid w:val="0020425C"/>
    <w:rsid w:val="00204266"/>
    <w:rsid w:val="00204375"/>
    <w:rsid w:val="0020437F"/>
    <w:rsid w:val="002043A6"/>
    <w:rsid w:val="002045E4"/>
    <w:rsid w:val="002046EF"/>
    <w:rsid w:val="00204709"/>
    <w:rsid w:val="00204757"/>
    <w:rsid w:val="002047E7"/>
    <w:rsid w:val="002048A0"/>
    <w:rsid w:val="0020495B"/>
    <w:rsid w:val="002049BF"/>
    <w:rsid w:val="00204A76"/>
    <w:rsid w:val="00204BB7"/>
    <w:rsid w:val="00204BD0"/>
    <w:rsid w:val="00204BFD"/>
    <w:rsid w:val="00204CF1"/>
    <w:rsid w:val="00204EE5"/>
    <w:rsid w:val="00204F39"/>
    <w:rsid w:val="00204FC7"/>
    <w:rsid w:val="0020523B"/>
    <w:rsid w:val="00205285"/>
    <w:rsid w:val="002053D0"/>
    <w:rsid w:val="00205427"/>
    <w:rsid w:val="00205537"/>
    <w:rsid w:val="00205543"/>
    <w:rsid w:val="0020554F"/>
    <w:rsid w:val="00205550"/>
    <w:rsid w:val="00205560"/>
    <w:rsid w:val="0020563E"/>
    <w:rsid w:val="00205692"/>
    <w:rsid w:val="002056E0"/>
    <w:rsid w:val="0020570A"/>
    <w:rsid w:val="0020577F"/>
    <w:rsid w:val="002058CE"/>
    <w:rsid w:val="00205931"/>
    <w:rsid w:val="0020593E"/>
    <w:rsid w:val="0020596D"/>
    <w:rsid w:val="00205975"/>
    <w:rsid w:val="002059DF"/>
    <w:rsid w:val="00205A25"/>
    <w:rsid w:val="00205AEC"/>
    <w:rsid w:val="00205AF8"/>
    <w:rsid w:val="00205B57"/>
    <w:rsid w:val="00205BF2"/>
    <w:rsid w:val="00205C40"/>
    <w:rsid w:val="00205DA6"/>
    <w:rsid w:val="00205E85"/>
    <w:rsid w:val="00205E97"/>
    <w:rsid w:val="00205EA3"/>
    <w:rsid w:val="00205F22"/>
    <w:rsid w:val="00206021"/>
    <w:rsid w:val="00206056"/>
    <w:rsid w:val="00206063"/>
    <w:rsid w:val="002060A1"/>
    <w:rsid w:val="002060DC"/>
    <w:rsid w:val="0020615E"/>
    <w:rsid w:val="002061B9"/>
    <w:rsid w:val="002061C4"/>
    <w:rsid w:val="002061D3"/>
    <w:rsid w:val="00206366"/>
    <w:rsid w:val="00206504"/>
    <w:rsid w:val="002065AC"/>
    <w:rsid w:val="0020667C"/>
    <w:rsid w:val="0020678F"/>
    <w:rsid w:val="002067FE"/>
    <w:rsid w:val="00206849"/>
    <w:rsid w:val="002068C7"/>
    <w:rsid w:val="002068EB"/>
    <w:rsid w:val="00206924"/>
    <w:rsid w:val="00206938"/>
    <w:rsid w:val="00206A1D"/>
    <w:rsid w:val="00206A55"/>
    <w:rsid w:val="00206A86"/>
    <w:rsid w:val="00206AD7"/>
    <w:rsid w:val="00206BC6"/>
    <w:rsid w:val="00206CE5"/>
    <w:rsid w:val="00206DF4"/>
    <w:rsid w:val="00206EE7"/>
    <w:rsid w:val="00206F95"/>
    <w:rsid w:val="00206FAE"/>
    <w:rsid w:val="00206FCF"/>
    <w:rsid w:val="00206FD9"/>
    <w:rsid w:val="00207054"/>
    <w:rsid w:val="0020705D"/>
    <w:rsid w:val="00207221"/>
    <w:rsid w:val="0020727C"/>
    <w:rsid w:val="0020739A"/>
    <w:rsid w:val="0020744F"/>
    <w:rsid w:val="00207482"/>
    <w:rsid w:val="0020752E"/>
    <w:rsid w:val="002075EB"/>
    <w:rsid w:val="0020769A"/>
    <w:rsid w:val="002076ED"/>
    <w:rsid w:val="0020778C"/>
    <w:rsid w:val="0020786E"/>
    <w:rsid w:val="0020794C"/>
    <w:rsid w:val="002079BF"/>
    <w:rsid w:val="002079DB"/>
    <w:rsid w:val="00207A38"/>
    <w:rsid w:val="00207AF7"/>
    <w:rsid w:val="00207BA6"/>
    <w:rsid w:val="00207C47"/>
    <w:rsid w:val="00207D5F"/>
    <w:rsid w:val="00207D66"/>
    <w:rsid w:val="00207DBB"/>
    <w:rsid w:val="00207E8B"/>
    <w:rsid w:val="00207EFD"/>
    <w:rsid w:val="00207F58"/>
    <w:rsid w:val="0021011C"/>
    <w:rsid w:val="00210163"/>
    <w:rsid w:val="002103D1"/>
    <w:rsid w:val="002104A7"/>
    <w:rsid w:val="00210529"/>
    <w:rsid w:val="0021055E"/>
    <w:rsid w:val="00210565"/>
    <w:rsid w:val="00210743"/>
    <w:rsid w:val="0021075E"/>
    <w:rsid w:val="002108AE"/>
    <w:rsid w:val="002108CF"/>
    <w:rsid w:val="0021091E"/>
    <w:rsid w:val="00210A16"/>
    <w:rsid w:val="00210A4E"/>
    <w:rsid w:val="00210A80"/>
    <w:rsid w:val="00210A9C"/>
    <w:rsid w:val="00210AAA"/>
    <w:rsid w:val="00210BE7"/>
    <w:rsid w:val="00210C92"/>
    <w:rsid w:val="00210F2F"/>
    <w:rsid w:val="00210F44"/>
    <w:rsid w:val="00210F4B"/>
    <w:rsid w:val="00211142"/>
    <w:rsid w:val="00211250"/>
    <w:rsid w:val="00211367"/>
    <w:rsid w:val="00211384"/>
    <w:rsid w:val="0021145D"/>
    <w:rsid w:val="00211475"/>
    <w:rsid w:val="002114F1"/>
    <w:rsid w:val="00211565"/>
    <w:rsid w:val="002115E7"/>
    <w:rsid w:val="0021163C"/>
    <w:rsid w:val="00211645"/>
    <w:rsid w:val="0021171E"/>
    <w:rsid w:val="0021175D"/>
    <w:rsid w:val="002117DF"/>
    <w:rsid w:val="00211818"/>
    <w:rsid w:val="00211829"/>
    <w:rsid w:val="002118D1"/>
    <w:rsid w:val="00211916"/>
    <w:rsid w:val="00211929"/>
    <w:rsid w:val="00211A98"/>
    <w:rsid w:val="00211B7D"/>
    <w:rsid w:val="00211BA9"/>
    <w:rsid w:val="00211BE6"/>
    <w:rsid w:val="00211F72"/>
    <w:rsid w:val="0021200A"/>
    <w:rsid w:val="00212015"/>
    <w:rsid w:val="0021207E"/>
    <w:rsid w:val="002120BA"/>
    <w:rsid w:val="00212108"/>
    <w:rsid w:val="0021213D"/>
    <w:rsid w:val="00212145"/>
    <w:rsid w:val="00212283"/>
    <w:rsid w:val="0021236D"/>
    <w:rsid w:val="0021257A"/>
    <w:rsid w:val="002125EB"/>
    <w:rsid w:val="00212777"/>
    <w:rsid w:val="002127E4"/>
    <w:rsid w:val="0021281F"/>
    <w:rsid w:val="00212850"/>
    <w:rsid w:val="0021288B"/>
    <w:rsid w:val="002128B6"/>
    <w:rsid w:val="00212A9E"/>
    <w:rsid w:val="00212AB8"/>
    <w:rsid w:val="00212BCE"/>
    <w:rsid w:val="00212BFD"/>
    <w:rsid w:val="00212C61"/>
    <w:rsid w:val="00212D96"/>
    <w:rsid w:val="00212DB1"/>
    <w:rsid w:val="00212EDA"/>
    <w:rsid w:val="00212FDF"/>
    <w:rsid w:val="00213008"/>
    <w:rsid w:val="002130A4"/>
    <w:rsid w:val="002130AD"/>
    <w:rsid w:val="002130DD"/>
    <w:rsid w:val="0021310F"/>
    <w:rsid w:val="002131E2"/>
    <w:rsid w:val="00213309"/>
    <w:rsid w:val="002135A6"/>
    <w:rsid w:val="0021377C"/>
    <w:rsid w:val="002137A7"/>
    <w:rsid w:val="002137D5"/>
    <w:rsid w:val="00213839"/>
    <w:rsid w:val="0021392A"/>
    <w:rsid w:val="0021395B"/>
    <w:rsid w:val="0021396E"/>
    <w:rsid w:val="00213ABC"/>
    <w:rsid w:val="00213D1D"/>
    <w:rsid w:val="00213DD3"/>
    <w:rsid w:val="00213EDD"/>
    <w:rsid w:val="00213FC6"/>
    <w:rsid w:val="00214003"/>
    <w:rsid w:val="00214056"/>
    <w:rsid w:val="002140DC"/>
    <w:rsid w:val="002141A3"/>
    <w:rsid w:val="00214211"/>
    <w:rsid w:val="00214346"/>
    <w:rsid w:val="0021437E"/>
    <w:rsid w:val="002143D4"/>
    <w:rsid w:val="002144C4"/>
    <w:rsid w:val="002147A5"/>
    <w:rsid w:val="002149B2"/>
    <w:rsid w:val="002149DD"/>
    <w:rsid w:val="00214A14"/>
    <w:rsid w:val="00214A9B"/>
    <w:rsid w:val="00214B41"/>
    <w:rsid w:val="00214C15"/>
    <w:rsid w:val="00214DE2"/>
    <w:rsid w:val="00214DE9"/>
    <w:rsid w:val="00214E19"/>
    <w:rsid w:val="00214EAD"/>
    <w:rsid w:val="00214FFB"/>
    <w:rsid w:val="00215043"/>
    <w:rsid w:val="002150A2"/>
    <w:rsid w:val="002152A3"/>
    <w:rsid w:val="00215333"/>
    <w:rsid w:val="002153F9"/>
    <w:rsid w:val="0021541A"/>
    <w:rsid w:val="00215515"/>
    <w:rsid w:val="00215523"/>
    <w:rsid w:val="002155CD"/>
    <w:rsid w:val="00215676"/>
    <w:rsid w:val="00215681"/>
    <w:rsid w:val="002156CE"/>
    <w:rsid w:val="00215751"/>
    <w:rsid w:val="00215868"/>
    <w:rsid w:val="00215A03"/>
    <w:rsid w:val="00215B10"/>
    <w:rsid w:val="00215BD3"/>
    <w:rsid w:val="00215BEC"/>
    <w:rsid w:val="00215BEE"/>
    <w:rsid w:val="00215CC3"/>
    <w:rsid w:val="00215CDE"/>
    <w:rsid w:val="00215D37"/>
    <w:rsid w:val="00215DC2"/>
    <w:rsid w:val="00215E2D"/>
    <w:rsid w:val="00215E60"/>
    <w:rsid w:val="00215F39"/>
    <w:rsid w:val="00215F3C"/>
    <w:rsid w:val="00215F71"/>
    <w:rsid w:val="002161A5"/>
    <w:rsid w:val="002161F4"/>
    <w:rsid w:val="00216310"/>
    <w:rsid w:val="00216324"/>
    <w:rsid w:val="00216347"/>
    <w:rsid w:val="0021636B"/>
    <w:rsid w:val="00216377"/>
    <w:rsid w:val="0021637E"/>
    <w:rsid w:val="00216433"/>
    <w:rsid w:val="002165F9"/>
    <w:rsid w:val="00216601"/>
    <w:rsid w:val="00216676"/>
    <w:rsid w:val="0021680C"/>
    <w:rsid w:val="00216AA8"/>
    <w:rsid w:val="00216B21"/>
    <w:rsid w:val="00216BC0"/>
    <w:rsid w:val="00216BD6"/>
    <w:rsid w:val="00216BE5"/>
    <w:rsid w:val="00216D13"/>
    <w:rsid w:val="00216D8B"/>
    <w:rsid w:val="00216E0C"/>
    <w:rsid w:val="00216E34"/>
    <w:rsid w:val="00216EC6"/>
    <w:rsid w:val="00216F3A"/>
    <w:rsid w:val="00216F93"/>
    <w:rsid w:val="00217043"/>
    <w:rsid w:val="0021705B"/>
    <w:rsid w:val="002170D0"/>
    <w:rsid w:val="00217105"/>
    <w:rsid w:val="002171D4"/>
    <w:rsid w:val="002172E3"/>
    <w:rsid w:val="00217315"/>
    <w:rsid w:val="0021739F"/>
    <w:rsid w:val="002173AD"/>
    <w:rsid w:val="002174EB"/>
    <w:rsid w:val="0021751B"/>
    <w:rsid w:val="0021765D"/>
    <w:rsid w:val="00217677"/>
    <w:rsid w:val="002176CA"/>
    <w:rsid w:val="002177DB"/>
    <w:rsid w:val="002177E4"/>
    <w:rsid w:val="002178EE"/>
    <w:rsid w:val="00217928"/>
    <w:rsid w:val="0021799C"/>
    <w:rsid w:val="002179A0"/>
    <w:rsid w:val="00217A18"/>
    <w:rsid w:val="00217A6C"/>
    <w:rsid w:val="00217ABB"/>
    <w:rsid w:val="00217C78"/>
    <w:rsid w:val="00217C93"/>
    <w:rsid w:val="00217CC0"/>
    <w:rsid w:val="00217CCD"/>
    <w:rsid w:val="00217D1F"/>
    <w:rsid w:val="00217E9A"/>
    <w:rsid w:val="00217F43"/>
    <w:rsid w:val="00217F47"/>
    <w:rsid w:val="00217F7A"/>
    <w:rsid w:val="00220102"/>
    <w:rsid w:val="0022010C"/>
    <w:rsid w:val="0022019E"/>
    <w:rsid w:val="00220479"/>
    <w:rsid w:val="00220485"/>
    <w:rsid w:val="0022049A"/>
    <w:rsid w:val="002204C5"/>
    <w:rsid w:val="002204D2"/>
    <w:rsid w:val="00220554"/>
    <w:rsid w:val="002205C5"/>
    <w:rsid w:val="00220731"/>
    <w:rsid w:val="00220B8A"/>
    <w:rsid w:val="00220BAE"/>
    <w:rsid w:val="00220C47"/>
    <w:rsid w:val="00220CA6"/>
    <w:rsid w:val="00220CCB"/>
    <w:rsid w:val="00220DB8"/>
    <w:rsid w:val="00220DDC"/>
    <w:rsid w:val="00220DEC"/>
    <w:rsid w:val="00220EC8"/>
    <w:rsid w:val="00220F02"/>
    <w:rsid w:val="00220FC3"/>
    <w:rsid w:val="00220FCE"/>
    <w:rsid w:val="002211AF"/>
    <w:rsid w:val="0022126E"/>
    <w:rsid w:val="00221338"/>
    <w:rsid w:val="002213A2"/>
    <w:rsid w:val="00221558"/>
    <w:rsid w:val="0022157D"/>
    <w:rsid w:val="0022158C"/>
    <w:rsid w:val="002215C8"/>
    <w:rsid w:val="0022162E"/>
    <w:rsid w:val="00221695"/>
    <w:rsid w:val="00221A3E"/>
    <w:rsid w:val="00221AB4"/>
    <w:rsid w:val="00221C7F"/>
    <w:rsid w:val="00221C8E"/>
    <w:rsid w:val="00221D08"/>
    <w:rsid w:val="00221D3B"/>
    <w:rsid w:val="00221D4C"/>
    <w:rsid w:val="00221DD4"/>
    <w:rsid w:val="00221E65"/>
    <w:rsid w:val="00221EBA"/>
    <w:rsid w:val="00221EC0"/>
    <w:rsid w:val="00221EFD"/>
    <w:rsid w:val="002221DE"/>
    <w:rsid w:val="00222224"/>
    <w:rsid w:val="00222310"/>
    <w:rsid w:val="0022234D"/>
    <w:rsid w:val="002224A9"/>
    <w:rsid w:val="00222502"/>
    <w:rsid w:val="00222511"/>
    <w:rsid w:val="00222569"/>
    <w:rsid w:val="002225F6"/>
    <w:rsid w:val="00222617"/>
    <w:rsid w:val="00222667"/>
    <w:rsid w:val="002227FF"/>
    <w:rsid w:val="00222849"/>
    <w:rsid w:val="002229CD"/>
    <w:rsid w:val="00222A0E"/>
    <w:rsid w:val="00222A39"/>
    <w:rsid w:val="00222B4F"/>
    <w:rsid w:val="00222B57"/>
    <w:rsid w:val="00222CAD"/>
    <w:rsid w:val="00222CB9"/>
    <w:rsid w:val="00222CC6"/>
    <w:rsid w:val="00222CCD"/>
    <w:rsid w:val="00222D06"/>
    <w:rsid w:val="00222D4C"/>
    <w:rsid w:val="00222E25"/>
    <w:rsid w:val="00222F2D"/>
    <w:rsid w:val="00222F4C"/>
    <w:rsid w:val="00222F5B"/>
    <w:rsid w:val="0022307C"/>
    <w:rsid w:val="00223115"/>
    <w:rsid w:val="0022313F"/>
    <w:rsid w:val="0022315C"/>
    <w:rsid w:val="0022330E"/>
    <w:rsid w:val="00223322"/>
    <w:rsid w:val="00223334"/>
    <w:rsid w:val="0022339B"/>
    <w:rsid w:val="0022339D"/>
    <w:rsid w:val="002233C5"/>
    <w:rsid w:val="002235FE"/>
    <w:rsid w:val="00223636"/>
    <w:rsid w:val="00223727"/>
    <w:rsid w:val="002237C7"/>
    <w:rsid w:val="002237D7"/>
    <w:rsid w:val="0022385C"/>
    <w:rsid w:val="002238E7"/>
    <w:rsid w:val="002238F1"/>
    <w:rsid w:val="00223A09"/>
    <w:rsid w:val="00223B19"/>
    <w:rsid w:val="00223BEC"/>
    <w:rsid w:val="00223BFD"/>
    <w:rsid w:val="00223C6B"/>
    <w:rsid w:val="00223CD3"/>
    <w:rsid w:val="00223E19"/>
    <w:rsid w:val="00223E64"/>
    <w:rsid w:val="00223F56"/>
    <w:rsid w:val="00223FB3"/>
    <w:rsid w:val="0022405B"/>
    <w:rsid w:val="00224076"/>
    <w:rsid w:val="0022436F"/>
    <w:rsid w:val="002243B3"/>
    <w:rsid w:val="00224446"/>
    <w:rsid w:val="00224472"/>
    <w:rsid w:val="00224474"/>
    <w:rsid w:val="00224475"/>
    <w:rsid w:val="002244EE"/>
    <w:rsid w:val="002244FC"/>
    <w:rsid w:val="0022455E"/>
    <w:rsid w:val="0022457B"/>
    <w:rsid w:val="00224615"/>
    <w:rsid w:val="002246BF"/>
    <w:rsid w:val="002246D0"/>
    <w:rsid w:val="002247A2"/>
    <w:rsid w:val="0022485D"/>
    <w:rsid w:val="00224882"/>
    <w:rsid w:val="00224888"/>
    <w:rsid w:val="002249B3"/>
    <w:rsid w:val="002249D2"/>
    <w:rsid w:val="00224B76"/>
    <w:rsid w:val="00224B91"/>
    <w:rsid w:val="00224C5D"/>
    <w:rsid w:val="00224C68"/>
    <w:rsid w:val="00224D42"/>
    <w:rsid w:val="00224E86"/>
    <w:rsid w:val="00224E90"/>
    <w:rsid w:val="00224F68"/>
    <w:rsid w:val="00224F88"/>
    <w:rsid w:val="002250C5"/>
    <w:rsid w:val="002250CC"/>
    <w:rsid w:val="0022515B"/>
    <w:rsid w:val="0022519B"/>
    <w:rsid w:val="002251F5"/>
    <w:rsid w:val="0022527F"/>
    <w:rsid w:val="00225296"/>
    <w:rsid w:val="00225352"/>
    <w:rsid w:val="002253ED"/>
    <w:rsid w:val="00225408"/>
    <w:rsid w:val="00225430"/>
    <w:rsid w:val="00225468"/>
    <w:rsid w:val="00225537"/>
    <w:rsid w:val="00225577"/>
    <w:rsid w:val="002255B2"/>
    <w:rsid w:val="002255B4"/>
    <w:rsid w:val="00225677"/>
    <w:rsid w:val="00225708"/>
    <w:rsid w:val="00225757"/>
    <w:rsid w:val="002258C3"/>
    <w:rsid w:val="00225950"/>
    <w:rsid w:val="002259C7"/>
    <w:rsid w:val="00225A3A"/>
    <w:rsid w:val="00225ABA"/>
    <w:rsid w:val="00225B7F"/>
    <w:rsid w:val="00225C18"/>
    <w:rsid w:val="00225CFD"/>
    <w:rsid w:val="00225D10"/>
    <w:rsid w:val="00225D56"/>
    <w:rsid w:val="00225DAD"/>
    <w:rsid w:val="00225E08"/>
    <w:rsid w:val="00225EE2"/>
    <w:rsid w:val="0022602E"/>
    <w:rsid w:val="002260CF"/>
    <w:rsid w:val="00226226"/>
    <w:rsid w:val="0022643F"/>
    <w:rsid w:val="002264AB"/>
    <w:rsid w:val="002264BD"/>
    <w:rsid w:val="00226590"/>
    <w:rsid w:val="00226600"/>
    <w:rsid w:val="002267D6"/>
    <w:rsid w:val="00226829"/>
    <w:rsid w:val="0022682D"/>
    <w:rsid w:val="00226908"/>
    <w:rsid w:val="00226941"/>
    <w:rsid w:val="00226A3B"/>
    <w:rsid w:val="00226A48"/>
    <w:rsid w:val="00226A7E"/>
    <w:rsid w:val="00226AA4"/>
    <w:rsid w:val="00226B55"/>
    <w:rsid w:val="00226B62"/>
    <w:rsid w:val="00226B6F"/>
    <w:rsid w:val="00226B74"/>
    <w:rsid w:val="00226B92"/>
    <w:rsid w:val="00226B96"/>
    <w:rsid w:val="00226BE5"/>
    <w:rsid w:val="00226BF0"/>
    <w:rsid w:val="00226DFC"/>
    <w:rsid w:val="00226E1D"/>
    <w:rsid w:val="00226EFD"/>
    <w:rsid w:val="00226F01"/>
    <w:rsid w:val="00226FCC"/>
    <w:rsid w:val="0022705C"/>
    <w:rsid w:val="0022714D"/>
    <w:rsid w:val="002271BA"/>
    <w:rsid w:val="00227267"/>
    <w:rsid w:val="002272DB"/>
    <w:rsid w:val="002272E4"/>
    <w:rsid w:val="00227503"/>
    <w:rsid w:val="00227528"/>
    <w:rsid w:val="0022774C"/>
    <w:rsid w:val="0022775C"/>
    <w:rsid w:val="002277A9"/>
    <w:rsid w:val="002277C1"/>
    <w:rsid w:val="0022787E"/>
    <w:rsid w:val="00227A03"/>
    <w:rsid w:val="00227A0B"/>
    <w:rsid w:val="00227B0B"/>
    <w:rsid w:val="00227B29"/>
    <w:rsid w:val="00227B69"/>
    <w:rsid w:val="00227BFB"/>
    <w:rsid w:val="00227D51"/>
    <w:rsid w:val="00227E83"/>
    <w:rsid w:val="00227EE8"/>
    <w:rsid w:val="00227F7D"/>
    <w:rsid w:val="00227F99"/>
    <w:rsid w:val="00230084"/>
    <w:rsid w:val="00230112"/>
    <w:rsid w:val="00230232"/>
    <w:rsid w:val="00230253"/>
    <w:rsid w:val="002302A0"/>
    <w:rsid w:val="00230335"/>
    <w:rsid w:val="002304D8"/>
    <w:rsid w:val="002305B0"/>
    <w:rsid w:val="002305F8"/>
    <w:rsid w:val="002306F7"/>
    <w:rsid w:val="0023078C"/>
    <w:rsid w:val="002307F9"/>
    <w:rsid w:val="002307FF"/>
    <w:rsid w:val="00230806"/>
    <w:rsid w:val="002308EF"/>
    <w:rsid w:val="0023093A"/>
    <w:rsid w:val="0023099F"/>
    <w:rsid w:val="00230A80"/>
    <w:rsid w:val="00230AFF"/>
    <w:rsid w:val="00230BA6"/>
    <w:rsid w:val="00230BCE"/>
    <w:rsid w:val="00230D88"/>
    <w:rsid w:val="00230D94"/>
    <w:rsid w:val="00230DCC"/>
    <w:rsid w:val="00230DD0"/>
    <w:rsid w:val="00230DDA"/>
    <w:rsid w:val="00230EC0"/>
    <w:rsid w:val="00230F70"/>
    <w:rsid w:val="00230FC7"/>
    <w:rsid w:val="00230FF0"/>
    <w:rsid w:val="00231049"/>
    <w:rsid w:val="00231109"/>
    <w:rsid w:val="0023111E"/>
    <w:rsid w:val="00231137"/>
    <w:rsid w:val="00231245"/>
    <w:rsid w:val="002313C3"/>
    <w:rsid w:val="002313E2"/>
    <w:rsid w:val="00231422"/>
    <w:rsid w:val="002314D2"/>
    <w:rsid w:val="0023167B"/>
    <w:rsid w:val="00231737"/>
    <w:rsid w:val="002317B9"/>
    <w:rsid w:val="00231817"/>
    <w:rsid w:val="00231842"/>
    <w:rsid w:val="002319DC"/>
    <w:rsid w:val="00231ADD"/>
    <w:rsid w:val="00231AEA"/>
    <w:rsid w:val="00231B27"/>
    <w:rsid w:val="00231B65"/>
    <w:rsid w:val="00231BB3"/>
    <w:rsid w:val="00231D13"/>
    <w:rsid w:val="00231EA3"/>
    <w:rsid w:val="00231ECD"/>
    <w:rsid w:val="00231F18"/>
    <w:rsid w:val="00231F64"/>
    <w:rsid w:val="00231FEE"/>
    <w:rsid w:val="002320B7"/>
    <w:rsid w:val="00232197"/>
    <w:rsid w:val="002321D2"/>
    <w:rsid w:val="00232336"/>
    <w:rsid w:val="00232342"/>
    <w:rsid w:val="0023238B"/>
    <w:rsid w:val="002323FD"/>
    <w:rsid w:val="00232510"/>
    <w:rsid w:val="0023256B"/>
    <w:rsid w:val="00232670"/>
    <w:rsid w:val="0023267B"/>
    <w:rsid w:val="002328AA"/>
    <w:rsid w:val="002328E0"/>
    <w:rsid w:val="00232A7F"/>
    <w:rsid w:val="00232ACE"/>
    <w:rsid w:val="00232B0E"/>
    <w:rsid w:val="00232B4C"/>
    <w:rsid w:val="00232BA6"/>
    <w:rsid w:val="00232BC9"/>
    <w:rsid w:val="00232D12"/>
    <w:rsid w:val="00232D16"/>
    <w:rsid w:val="00232D3B"/>
    <w:rsid w:val="00232D8E"/>
    <w:rsid w:val="00232D95"/>
    <w:rsid w:val="00232E1D"/>
    <w:rsid w:val="00232E44"/>
    <w:rsid w:val="00232EC6"/>
    <w:rsid w:val="00232EC7"/>
    <w:rsid w:val="00232F59"/>
    <w:rsid w:val="00233002"/>
    <w:rsid w:val="00233030"/>
    <w:rsid w:val="0023305C"/>
    <w:rsid w:val="002330B1"/>
    <w:rsid w:val="00233117"/>
    <w:rsid w:val="00233166"/>
    <w:rsid w:val="0023318F"/>
    <w:rsid w:val="002331CA"/>
    <w:rsid w:val="00233203"/>
    <w:rsid w:val="00233386"/>
    <w:rsid w:val="002333A2"/>
    <w:rsid w:val="00233419"/>
    <w:rsid w:val="00233436"/>
    <w:rsid w:val="00233476"/>
    <w:rsid w:val="00233505"/>
    <w:rsid w:val="00233543"/>
    <w:rsid w:val="002335D2"/>
    <w:rsid w:val="002335D8"/>
    <w:rsid w:val="00233702"/>
    <w:rsid w:val="00233735"/>
    <w:rsid w:val="002338C9"/>
    <w:rsid w:val="00233A66"/>
    <w:rsid w:val="00233AF1"/>
    <w:rsid w:val="00233B87"/>
    <w:rsid w:val="00233D67"/>
    <w:rsid w:val="00233DEA"/>
    <w:rsid w:val="00233F32"/>
    <w:rsid w:val="00233F6A"/>
    <w:rsid w:val="00234083"/>
    <w:rsid w:val="00234110"/>
    <w:rsid w:val="00234139"/>
    <w:rsid w:val="00234164"/>
    <w:rsid w:val="00234273"/>
    <w:rsid w:val="0023436A"/>
    <w:rsid w:val="00234450"/>
    <w:rsid w:val="00234523"/>
    <w:rsid w:val="00234593"/>
    <w:rsid w:val="002345D0"/>
    <w:rsid w:val="002345D7"/>
    <w:rsid w:val="0023463C"/>
    <w:rsid w:val="00234678"/>
    <w:rsid w:val="002346CE"/>
    <w:rsid w:val="0023472F"/>
    <w:rsid w:val="00234832"/>
    <w:rsid w:val="0023491D"/>
    <w:rsid w:val="00234976"/>
    <w:rsid w:val="00234A59"/>
    <w:rsid w:val="00234DA4"/>
    <w:rsid w:val="00234EA8"/>
    <w:rsid w:val="00234F4A"/>
    <w:rsid w:val="0023502C"/>
    <w:rsid w:val="0023505E"/>
    <w:rsid w:val="002350D5"/>
    <w:rsid w:val="0023516E"/>
    <w:rsid w:val="0023517E"/>
    <w:rsid w:val="002351EE"/>
    <w:rsid w:val="00235259"/>
    <w:rsid w:val="002352D0"/>
    <w:rsid w:val="00235360"/>
    <w:rsid w:val="0023538F"/>
    <w:rsid w:val="0023541E"/>
    <w:rsid w:val="00235424"/>
    <w:rsid w:val="00235568"/>
    <w:rsid w:val="00235600"/>
    <w:rsid w:val="00235675"/>
    <w:rsid w:val="0023568F"/>
    <w:rsid w:val="002356A1"/>
    <w:rsid w:val="00235714"/>
    <w:rsid w:val="002357B1"/>
    <w:rsid w:val="002357DE"/>
    <w:rsid w:val="002358A4"/>
    <w:rsid w:val="002358F2"/>
    <w:rsid w:val="002359D4"/>
    <w:rsid w:val="002359DB"/>
    <w:rsid w:val="00235A17"/>
    <w:rsid w:val="00235A55"/>
    <w:rsid w:val="00235A6E"/>
    <w:rsid w:val="00235B57"/>
    <w:rsid w:val="00235D73"/>
    <w:rsid w:val="00235DAB"/>
    <w:rsid w:val="00235DFA"/>
    <w:rsid w:val="00235E4E"/>
    <w:rsid w:val="00235EE6"/>
    <w:rsid w:val="00235F6B"/>
    <w:rsid w:val="00236090"/>
    <w:rsid w:val="002360AD"/>
    <w:rsid w:val="002363B9"/>
    <w:rsid w:val="0023652D"/>
    <w:rsid w:val="002365E8"/>
    <w:rsid w:val="0023666F"/>
    <w:rsid w:val="002366A3"/>
    <w:rsid w:val="002367E6"/>
    <w:rsid w:val="00236811"/>
    <w:rsid w:val="0023686F"/>
    <w:rsid w:val="002368A7"/>
    <w:rsid w:val="002369D1"/>
    <w:rsid w:val="00236B9D"/>
    <w:rsid w:val="00236DB6"/>
    <w:rsid w:val="00236E78"/>
    <w:rsid w:val="00236EA7"/>
    <w:rsid w:val="00236EDB"/>
    <w:rsid w:val="00236F3D"/>
    <w:rsid w:val="00237006"/>
    <w:rsid w:val="00237007"/>
    <w:rsid w:val="00237071"/>
    <w:rsid w:val="002370C4"/>
    <w:rsid w:val="00237104"/>
    <w:rsid w:val="00237117"/>
    <w:rsid w:val="0023711C"/>
    <w:rsid w:val="002371F3"/>
    <w:rsid w:val="002371FD"/>
    <w:rsid w:val="002372D2"/>
    <w:rsid w:val="00237317"/>
    <w:rsid w:val="00237333"/>
    <w:rsid w:val="0023738A"/>
    <w:rsid w:val="002373D6"/>
    <w:rsid w:val="002373DD"/>
    <w:rsid w:val="002373FF"/>
    <w:rsid w:val="0023742C"/>
    <w:rsid w:val="00237481"/>
    <w:rsid w:val="00237545"/>
    <w:rsid w:val="002375F0"/>
    <w:rsid w:val="00237710"/>
    <w:rsid w:val="00237870"/>
    <w:rsid w:val="002378AF"/>
    <w:rsid w:val="00237A20"/>
    <w:rsid w:val="00237B3A"/>
    <w:rsid w:val="00237B83"/>
    <w:rsid w:val="00237B9B"/>
    <w:rsid w:val="00237D12"/>
    <w:rsid w:val="00237D4F"/>
    <w:rsid w:val="00237D5B"/>
    <w:rsid w:val="00237E20"/>
    <w:rsid w:val="00237E5E"/>
    <w:rsid w:val="00237F0A"/>
    <w:rsid w:val="00237F20"/>
    <w:rsid w:val="00237F82"/>
    <w:rsid w:val="002401FF"/>
    <w:rsid w:val="00240230"/>
    <w:rsid w:val="00240232"/>
    <w:rsid w:val="00240282"/>
    <w:rsid w:val="0024028A"/>
    <w:rsid w:val="0024028E"/>
    <w:rsid w:val="002402C1"/>
    <w:rsid w:val="002402E3"/>
    <w:rsid w:val="00240369"/>
    <w:rsid w:val="002404FB"/>
    <w:rsid w:val="002405C6"/>
    <w:rsid w:val="00240669"/>
    <w:rsid w:val="00240698"/>
    <w:rsid w:val="002406D2"/>
    <w:rsid w:val="002406EA"/>
    <w:rsid w:val="0024076B"/>
    <w:rsid w:val="002407A5"/>
    <w:rsid w:val="002409F1"/>
    <w:rsid w:val="00240B45"/>
    <w:rsid w:val="00240BAD"/>
    <w:rsid w:val="00240D5B"/>
    <w:rsid w:val="00240DA9"/>
    <w:rsid w:val="00240F4C"/>
    <w:rsid w:val="00240F90"/>
    <w:rsid w:val="00241221"/>
    <w:rsid w:val="00241316"/>
    <w:rsid w:val="00241364"/>
    <w:rsid w:val="002413CF"/>
    <w:rsid w:val="00241587"/>
    <w:rsid w:val="002415BA"/>
    <w:rsid w:val="00241637"/>
    <w:rsid w:val="00241686"/>
    <w:rsid w:val="002416D2"/>
    <w:rsid w:val="0024171F"/>
    <w:rsid w:val="00241740"/>
    <w:rsid w:val="00241747"/>
    <w:rsid w:val="002417C4"/>
    <w:rsid w:val="0024184B"/>
    <w:rsid w:val="00241881"/>
    <w:rsid w:val="002418CD"/>
    <w:rsid w:val="00241A7D"/>
    <w:rsid w:val="00241AAE"/>
    <w:rsid w:val="00241AB6"/>
    <w:rsid w:val="00241ABF"/>
    <w:rsid w:val="00241B67"/>
    <w:rsid w:val="00241BBC"/>
    <w:rsid w:val="00241C55"/>
    <w:rsid w:val="00241D49"/>
    <w:rsid w:val="00241E54"/>
    <w:rsid w:val="00241FA0"/>
    <w:rsid w:val="00241FA6"/>
    <w:rsid w:val="00242175"/>
    <w:rsid w:val="002421DC"/>
    <w:rsid w:val="0024225F"/>
    <w:rsid w:val="002423D5"/>
    <w:rsid w:val="0024247A"/>
    <w:rsid w:val="002424B8"/>
    <w:rsid w:val="0024259A"/>
    <w:rsid w:val="00242608"/>
    <w:rsid w:val="00242635"/>
    <w:rsid w:val="0024268C"/>
    <w:rsid w:val="0024275C"/>
    <w:rsid w:val="00242799"/>
    <w:rsid w:val="0024294C"/>
    <w:rsid w:val="00242A0A"/>
    <w:rsid w:val="00242A1A"/>
    <w:rsid w:val="00242A2C"/>
    <w:rsid w:val="00242AC6"/>
    <w:rsid w:val="00242AE5"/>
    <w:rsid w:val="00242B26"/>
    <w:rsid w:val="00242BB9"/>
    <w:rsid w:val="00242C6F"/>
    <w:rsid w:val="00242CA0"/>
    <w:rsid w:val="00242D2B"/>
    <w:rsid w:val="00242D2F"/>
    <w:rsid w:val="00242E85"/>
    <w:rsid w:val="00242F7C"/>
    <w:rsid w:val="00243035"/>
    <w:rsid w:val="0024305C"/>
    <w:rsid w:val="002430AB"/>
    <w:rsid w:val="002430F8"/>
    <w:rsid w:val="002431EF"/>
    <w:rsid w:val="00243227"/>
    <w:rsid w:val="00243374"/>
    <w:rsid w:val="00243471"/>
    <w:rsid w:val="002434B4"/>
    <w:rsid w:val="0024356A"/>
    <w:rsid w:val="00243621"/>
    <w:rsid w:val="00243649"/>
    <w:rsid w:val="002436AF"/>
    <w:rsid w:val="002436B7"/>
    <w:rsid w:val="00243791"/>
    <w:rsid w:val="002437AA"/>
    <w:rsid w:val="002437C5"/>
    <w:rsid w:val="00243887"/>
    <w:rsid w:val="002438A3"/>
    <w:rsid w:val="0024391B"/>
    <w:rsid w:val="0024397D"/>
    <w:rsid w:val="00243986"/>
    <w:rsid w:val="0024399F"/>
    <w:rsid w:val="00243ACC"/>
    <w:rsid w:val="00243AE1"/>
    <w:rsid w:val="00243B58"/>
    <w:rsid w:val="00243B6E"/>
    <w:rsid w:val="00243BF4"/>
    <w:rsid w:val="00243C7E"/>
    <w:rsid w:val="00243CA5"/>
    <w:rsid w:val="00243D6B"/>
    <w:rsid w:val="00243E40"/>
    <w:rsid w:val="00243EB0"/>
    <w:rsid w:val="00243F11"/>
    <w:rsid w:val="00243F6A"/>
    <w:rsid w:val="00243F9F"/>
    <w:rsid w:val="00243FD6"/>
    <w:rsid w:val="0024402F"/>
    <w:rsid w:val="002440BF"/>
    <w:rsid w:val="002440D6"/>
    <w:rsid w:val="00244119"/>
    <w:rsid w:val="002441D6"/>
    <w:rsid w:val="00244203"/>
    <w:rsid w:val="002442B6"/>
    <w:rsid w:val="0024430F"/>
    <w:rsid w:val="0024434D"/>
    <w:rsid w:val="0024446F"/>
    <w:rsid w:val="002444A9"/>
    <w:rsid w:val="00244508"/>
    <w:rsid w:val="0024454C"/>
    <w:rsid w:val="00244568"/>
    <w:rsid w:val="0024467F"/>
    <w:rsid w:val="0024472B"/>
    <w:rsid w:val="00244771"/>
    <w:rsid w:val="0024478A"/>
    <w:rsid w:val="0024478C"/>
    <w:rsid w:val="0024480F"/>
    <w:rsid w:val="0024490E"/>
    <w:rsid w:val="00244930"/>
    <w:rsid w:val="002449FE"/>
    <w:rsid w:val="00244AA5"/>
    <w:rsid w:val="00244BFF"/>
    <w:rsid w:val="00244EA9"/>
    <w:rsid w:val="00244EAE"/>
    <w:rsid w:val="00244EC9"/>
    <w:rsid w:val="00244F3A"/>
    <w:rsid w:val="00244FCB"/>
    <w:rsid w:val="00245024"/>
    <w:rsid w:val="00245029"/>
    <w:rsid w:val="0024503D"/>
    <w:rsid w:val="00245128"/>
    <w:rsid w:val="002451B4"/>
    <w:rsid w:val="002451F0"/>
    <w:rsid w:val="00245294"/>
    <w:rsid w:val="00245368"/>
    <w:rsid w:val="0024538C"/>
    <w:rsid w:val="002453E9"/>
    <w:rsid w:val="00245478"/>
    <w:rsid w:val="002454DE"/>
    <w:rsid w:val="002454F6"/>
    <w:rsid w:val="00245524"/>
    <w:rsid w:val="00245579"/>
    <w:rsid w:val="00245610"/>
    <w:rsid w:val="00245836"/>
    <w:rsid w:val="00245987"/>
    <w:rsid w:val="002459A4"/>
    <w:rsid w:val="002459BB"/>
    <w:rsid w:val="00245A1D"/>
    <w:rsid w:val="00245AE0"/>
    <w:rsid w:val="00245B15"/>
    <w:rsid w:val="00245C29"/>
    <w:rsid w:val="00245C58"/>
    <w:rsid w:val="00245C76"/>
    <w:rsid w:val="00245E2C"/>
    <w:rsid w:val="00245EDB"/>
    <w:rsid w:val="00245EE2"/>
    <w:rsid w:val="00245EF1"/>
    <w:rsid w:val="00245EFD"/>
    <w:rsid w:val="00245F38"/>
    <w:rsid w:val="00245FE4"/>
    <w:rsid w:val="002460A9"/>
    <w:rsid w:val="00246244"/>
    <w:rsid w:val="002463E9"/>
    <w:rsid w:val="002463F7"/>
    <w:rsid w:val="0024640C"/>
    <w:rsid w:val="00246469"/>
    <w:rsid w:val="0024648A"/>
    <w:rsid w:val="00246519"/>
    <w:rsid w:val="00246531"/>
    <w:rsid w:val="00246533"/>
    <w:rsid w:val="00246578"/>
    <w:rsid w:val="002465A5"/>
    <w:rsid w:val="002465BD"/>
    <w:rsid w:val="002465BE"/>
    <w:rsid w:val="00246614"/>
    <w:rsid w:val="00246668"/>
    <w:rsid w:val="002467C7"/>
    <w:rsid w:val="0024688D"/>
    <w:rsid w:val="002468E3"/>
    <w:rsid w:val="00246939"/>
    <w:rsid w:val="00246A5C"/>
    <w:rsid w:val="00246B71"/>
    <w:rsid w:val="00246BE6"/>
    <w:rsid w:val="00246C72"/>
    <w:rsid w:val="00246D4D"/>
    <w:rsid w:val="00246DE2"/>
    <w:rsid w:val="00246E7B"/>
    <w:rsid w:val="00246F4A"/>
    <w:rsid w:val="002471F3"/>
    <w:rsid w:val="00247213"/>
    <w:rsid w:val="00247288"/>
    <w:rsid w:val="002472BF"/>
    <w:rsid w:val="002473F7"/>
    <w:rsid w:val="00247509"/>
    <w:rsid w:val="00247581"/>
    <w:rsid w:val="002475BA"/>
    <w:rsid w:val="002475ED"/>
    <w:rsid w:val="0024765A"/>
    <w:rsid w:val="002476FD"/>
    <w:rsid w:val="0024777B"/>
    <w:rsid w:val="00247824"/>
    <w:rsid w:val="0024784C"/>
    <w:rsid w:val="002478D2"/>
    <w:rsid w:val="00247A93"/>
    <w:rsid w:val="00247BFD"/>
    <w:rsid w:val="00247C48"/>
    <w:rsid w:val="00247C7E"/>
    <w:rsid w:val="00247CD3"/>
    <w:rsid w:val="00247DC8"/>
    <w:rsid w:val="00247E36"/>
    <w:rsid w:val="00250005"/>
    <w:rsid w:val="00250007"/>
    <w:rsid w:val="00250037"/>
    <w:rsid w:val="00250046"/>
    <w:rsid w:val="002501E9"/>
    <w:rsid w:val="0025030E"/>
    <w:rsid w:val="00250438"/>
    <w:rsid w:val="0025048A"/>
    <w:rsid w:val="0025055A"/>
    <w:rsid w:val="0025055C"/>
    <w:rsid w:val="00250583"/>
    <w:rsid w:val="0025079E"/>
    <w:rsid w:val="00250860"/>
    <w:rsid w:val="0025094A"/>
    <w:rsid w:val="002509BC"/>
    <w:rsid w:val="00250C46"/>
    <w:rsid w:val="00250E62"/>
    <w:rsid w:val="00250EDC"/>
    <w:rsid w:val="00250FBE"/>
    <w:rsid w:val="00251009"/>
    <w:rsid w:val="00251207"/>
    <w:rsid w:val="00251288"/>
    <w:rsid w:val="00251299"/>
    <w:rsid w:val="002512BA"/>
    <w:rsid w:val="00251387"/>
    <w:rsid w:val="002513EB"/>
    <w:rsid w:val="00251414"/>
    <w:rsid w:val="0025157A"/>
    <w:rsid w:val="0025157B"/>
    <w:rsid w:val="0025158B"/>
    <w:rsid w:val="002515C4"/>
    <w:rsid w:val="002517C3"/>
    <w:rsid w:val="0025186E"/>
    <w:rsid w:val="00251937"/>
    <w:rsid w:val="00251A85"/>
    <w:rsid w:val="00251B0B"/>
    <w:rsid w:val="00251B53"/>
    <w:rsid w:val="00251B8D"/>
    <w:rsid w:val="00251C47"/>
    <w:rsid w:val="00251C7A"/>
    <w:rsid w:val="00251D0D"/>
    <w:rsid w:val="00251D1C"/>
    <w:rsid w:val="00251FC9"/>
    <w:rsid w:val="0025213D"/>
    <w:rsid w:val="00252144"/>
    <w:rsid w:val="0025216E"/>
    <w:rsid w:val="0025223A"/>
    <w:rsid w:val="002523AF"/>
    <w:rsid w:val="00252422"/>
    <w:rsid w:val="002524D6"/>
    <w:rsid w:val="00252565"/>
    <w:rsid w:val="00252612"/>
    <w:rsid w:val="0025266B"/>
    <w:rsid w:val="00252861"/>
    <w:rsid w:val="002528A9"/>
    <w:rsid w:val="00252A71"/>
    <w:rsid w:val="00252BBF"/>
    <w:rsid w:val="00252BCF"/>
    <w:rsid w:val="00252BF6"/>
    <w:rsid w:val="00252CAE"/>
    <w:rsid w:val="00252DDD"/>
    <w:rsid w:val="00252E5F"/>
    <w:rsid w:val="00252F42"/>
    <w:rsid w:val="00252F63"/>
    <w:rsid w:val="00252FA2"/>
    <w:rsid w:val="0025315D"/>
    <w:rsid w:val="00253182"/>
    <w:rsid w:val="00253205"/>
    <w:rsid w:val="00253326"/>
    <w:rsid w:val="00253340"/>
    <w:rsid w:val="00253454"/>
    <w:rsid w:val="00253495"/>
    <w:rsid w:val="002534C5"/>
    <w:rsid w:val="00253568"/>
    <w:rsid w:val="00253599"/>
    <w:rsid w:val="00253634"/>
    <w:rsid w:val="00253668"/>
    <w:rsid w:val="00253669"/>
    <w:rsid w:val="002536B8"/>
    <w:rsid w:val="00253899"/>
    <w:rsid w:val="00253976"/>
    <w:rsid w:val="00253A5C"/>
    <w:rsid w:val="00253A7D"/>
    <w:rsid w:val="00253AF5"/>
    <w:rsid w:val="00253BF5"/>
    <w:rsid w:val="00253C2F"/>
    <w:rsid w:val="00253C77"/>
    <w:rsid w:val="00253C82"/>
    <w:rsid w:val="00253CD2"/>
    <w:rsid w:val="00253D25"/>
    <w:rsid w:val="00253D3F"/>
    <w:rsid w:val="00253DCB"/>
    <w:rsid w:val="00253E82"/>
    <w:rsid w:val="00253EA0"/>
    <w:rsid w:val="00253F80"/>
    <w:rsid w:val="0025400C"/>
    <w:rsid w:val="002541EA"/>
    <w:rsid w:val="002542D2"/>
    <w:rsid w:val="0025433E"/>
    <w:rsid w:val="00254381"/>
    <w:rsid w:val="00254398"/>
    <w:rsid w:val="0025439B"/>
    <w:rsid w:val="0025445B"/>
    <w:rsid w:val="0025446C"/>
    <w:rsid w:val="002544D0"/>
    <w:rsid w:val="00254507"/>
    <w:rsid w:val="0025450C"/>
    <w:rsid w:val="0025453E"/>
    <w:rsid w:val="002545E1"/>
    <w:rsid w:val="0025485F"/>
    <w:rsid w:val="00254873"/>
    <w:rsid w:val="002548A6"/>
    <w:rsid w:val="002548D4"/>
    <w:rsid w:val="002549B1"/>
    <w:rsid w:val="00254B3E"/>
    <w:rsid w:val="00254BC8"/>
    <w:rsid w:val="00254BD5"/>
    <w:rsid w:val="00254BE3"/>
    <w:rsid w:val="00254BF0"/>
    <w:rsid w:val="00254C18"/>
    <w:rsid w:val="00254C22"/>
    <w:rsid w:val="00254D09"/>
    <w:rsid w:val="00254D4A"/>
    <w:rsid w:val="00254E53"/>
    <w:rsid w:val="00254E97"/>
    <w:rsid w:val="00254F2C"/>
    <w:rsid w:val="00254F62"/>
    <w:rsid w:val="00254FA7"/>
    <w:rsid w:val="00255181"/>
    <w:rsid w:val="00255246"/>
    <w:rsid w:val="00255356"/>
    <w:rsid w:val="00255438"/>
    <w:rsid w:val="0025546E"/>
    <w:rsid w:val="002554D6"/>
    <w:rsid w:val="002554FC"/>
    <w:rsid w:val="002555BF"/>
    <w:rsid w:val="0025563B"/>
    <w:rsid w:val="002556A8"/>
    <w:rsid w:val="002556BA"/>
    <w:rsid w:val="0025575F"/>
    <w:rsid w:val="002557E5"/>
    <w:rsid w:val="00255853"/>
    <w:rsid w:val="002558A4"/>
    <w:rsid w:val="00255971"/>
    <w:rsid w:val="002559BA"/>
    <w:rsid w:val="00255A07"/>
    <w:rsid w:val="00255A0F"/>
    <w:rsid w:val="00255AB7"/>
    <w:rsid w:val="00255AC5"/>
    <w:rsid w:val="00255D2D"/>
    <w:rsid w:val="00255D2E"/>
    <w:rsid w:val="00255D32"/>
    <w:rsid w:val="00255DD0"/>
    <w:rsid w:val="002560B2"/>
    <w:rsid w:val="002560E3"/>
    <w:rsid w:val="00256130"/>
    <w:rsid w:val="0025618F"/>
    <w:rsid w:val="00256197"/>
    <w:rsid w:val="00256205"/>
    <w:rsid w:val="002562BC"/>
    <w:rsid w:val="002562F7"/>
    <w:rsid w:val="002564E4"/>
    <w:rsid w:val="0025652F"/>
    <w:rsid w:val="00256549"/>
    <w:rsid w:val="0025659F"/>
    <w:rsid w:val="002566DC"/>
    <w:rsid w:val="002567BE"/>
    <w:rsid w:val="0025689B"/>
    <w:rsid w:val="002569A6"/>
    <w:rsid w:val="00256A2D"/>
    <w:rsid w:val="00256ABC"/>
    <w:rsid w:val="00256B16"/>
    <w:rsid w:val="00256CF9"/>
    <w:rsid w:val="00256DE0"/>
    <w:rsid w:val="00256EEB"/>
    <w:rsid w:val="00256F7B"/>
    <w:rsid w:val="00256FCB"/>
    <w:rsid w:val="00256FEC"/>
    <w:rsid w:val="0025700E"/>
    <w:rsid w:val="0025710A"/>
    <w:rsid w:val="00257135"/>
    <w:rsid w:val="00257178"/>
    <w:rsid w:val="00257224"/>
    <w:rsid w:val="00257240"/>
    <w:rsid w:val="0025727D"/>
    <w:rsid w:val="0025732F"/>
    <w:rsid w:val="00257330"/>
    <w:rsid w:val="0025755B"/>
    <w:rsid w:val="0025758D"/>
    <w:rsid w:val="002575FD"/>
    <w:rsid w:val="00257620"/>
    <w:rsid w:val="00257625"/>
    <w:rsid w:val="00257709"/>
    <w:rsid w:val="00257730"/>
    <w:rsid w:val="00257737"/>
    <w:rsid w:val="00257757"/>
    <w:rsid w:val="002577B3"/>
    <w:rsid w:val="002577C9"/>
    <w:rsid w:val="002578F0"/>
    <w:rsid w:val="00257A63"/>
    <w:rsid w:val="00257AC9"/>
    <w:rsid w:val="00257BD1"/>
    <w:rsid w:val="00257C6D"/>
    <w:rsid w:val="00257C9A"/>
    <w:rsid w:val="00257DD0"/>
    <w:rsid w:val="00257DEA"/>
    <w:rsid w:val="00257E44"/>
    <w:rsid w:val="00257E71"/>
    <w:rsid w:val="00257EA2"/>
    <w:rsid w:val="00257EFF"/>
    <w:rsid w:val="00257FA8"/>
    <w:rsid w:val="00260062"/>
    <w:rsid w:val="0026018E"/>
    <w:rsid w:val="0026019C"/>
    <w:rsid w:val="002601BA"/>
    <w:rsid w:val="00260266"/>
    <w:rsid w:val="00260368"/>
    <w:rsid w:val="002603ED"/>
    <w:rsid w:val="002604EC"/>
    <w:rsid w:val="0026071F"/>
    <w:rsid w:val="002607FB"/>
    <w:rsid w:val="002608EF"/>
    <w:rsid w:val="002608FB"/>
    <w:rsid w:val="00260978"/>
    <w:rsid w:val="00260A56"/>
    <w:rsid w:val="00260A70"/>
    <w:rsid w:val="00260AAB"/>
    <w:rsid w:val="00260B56"/>
    <w:rsid w:val="00260BC2"/>
    <w:rsid w:val="00260D7C"/>
    <w:rsid w:val="002610E0"/>
    <w:rsid w:val="002611A3"/>
    <w:rsid w:val="002611C4"/>
    <w:rsid w:val="002612D6"/>
    <w:rsid w:val="0026133E"/>
    <w:rsid w:val="00261351"/>
    <w:rsid w:val="0026147C"/>
    <w:rsid w:val="00261494"/>
    <w:rsid w:val="002614EB"/>
    <w:rsid w:val="00261540"/>
    <w:rsid w:val="002615A2"/>
    <w:rsid w:val="002615E5"/>
    <w:rsid w:val="002615E6"/>
    <w:rsid w:val="00261693"/>
    <w:rsid w:val="002616B7"/>
    <w:rsid w:val="002617A9"/>
    <w:rsid w:val="002618E5"/>
    <w:rsid w:val="0026193B"/>
    <w:rsid w:val="002619EC"/>
    <w:rsid w:val="00261A0E"/>
    <w:rsid w:val="00261A86"/>
    <w:rsid w:val="00261AEF"/>
    <w:rsid w:val="00261B21"/>
    <w:rsid w:val="00261C5C"/>
    <w:rsid w:val="00261CFA"/>
    <w:rsid w:val="00261D02"/>
    <w:rsid w:val="00261DC1"/>
    <w:rsid w:val="00261E13"/>
    <w:rsid w:val="00261E6E"/>
    <w:rsid w:val="00261F24"/>
    <w:rsid w:val="00261FC7"/>
    <w:rsid w:val="00262016"/>
    <w:rsid w:val="0026204E"/>
    <w:rsid w:val="00262218"/>
    <w:rsid w:val="0026227D"/>
    <w:rsid w:val="002622FA"/>
    <w:rsid w:val="002624DB"/>
    <w:rsid w:val="0026250B"/>
    <w:rsid w:val="00262534"/>
    <w:rsid w:val="00262612"/>
    <w:rsid w:val="0026263E"/>
    <w:rsid w:val="002628A0"/>
    <w:rsid w:val="002629DD"/>
    <w:rsid w:val="00262ABB"/>
    <w:rsid w:val="00262BB4"/>
    <w:rsid w:val="00262E0F"/>
    <w:rsid w:val="00262EF7"/>
    <w:rsid w:val="00262F25"/>
    <w:rsid w:val="00262F6A"/>
    <w:rsid w:val="00262FF5"/>
    <w:rsid w:val="002630A8"/>
    <w:rsid w:val="00263117"/>
    <w:rsid w:val="0026323D"/>
    <w:rsid w:val="0026327F"/>
    <w:rsid w:val="00263363"/>
    <w:rsid w:val="00263461"/>
    <w:rsid w:val="002634B0"/>
    <w:rsid w:val="002636E3"/>
    <w:rsid w:val="002638B0"/>
    <w:rsid w:val="002639BB"/>
    <w:rsid w:val="00263A7C"/>
    <w:rsid w:val="00263B6C"/>
    <w:rsid w:val="00263B8F"/>
    <w:rsid w:val="00263BD4"/>
    <w:rsid w:val="00263BF2"/>
    <w:rsid w:val="00263C44"/>
    <w:rsid w:val="00263D3C"/>
    <w:rsid w:val="00263DE3"/>
    <w:rsid w:val="00263F27"/>
    <w:rsid w:val="00263F7A"/>
    <w:rsid w:val="00263FD4"/>
    <w:rsid w:val="002640DA"/>
    <w:rsid w:val="002641A3"/>
    <w:rsid w:val="002641CD"/>
    <w:rsid w:val="00264256"/>
    <w:rsid w:val="0026443E"/>
    <w:rsid w:val="0026452E"/>
    <w:rsid w:val="002645F5"/>
    <w:rsid w:val="002648A3"/>
    <w:rsid w:val="002648C2"/>
    <w:rsid w:val="002649BF"/>
    <w:rsid w:val="00264B68"/>
    <w:rsid w:val="00264C4B"/>
    <w:rsid w:val="00264CEB"/>
    <w:rsid w:val="00264D41"/>
    <w:rsid w:val="00264EFE"/>
    <w:rsid w:val="00264F27"/>
    <w:rsid w:val="0026502B"/>
    <w:rsid w:val="0026503B"/>
    <w:rsid w:val="002650D7"/>
    <w:rsid w:val="0026510F"/>
    <w:rsid w:val="00265154"/>
    <w:rsid w:val="002651E7"/>
    <w:rsid w:val="002651F9"/>
    <w:rsid w:val="002652D6"/>
    <w:rsid w:val="0026535D"/>
    <w:rsid w:val="0026538A"/>
    <w:rsid w:val="00265436"/>
    <w:rsid w:val="0026549A"/>
    <w:rsid w:val="00265538"/>
    <w:rsid w:val="0026558E"/>
    <w:rsid w:val="00265672"/>
    <w:rsid w:val="00265680"/>
    <w:rsid w:val="0026568F"/>
    <w:rsid w:val="00265695"/>
    <w:rsid w:val="002656B1"/>
    <w:rsid w:val="00265714"/>
    <w:rsid w:val="00265753"/>
    <w:rsid w:val="00265782"/>
    <w:rsid w:val="002658C7"/>
    <w:rsid w:val="002658FB"/>
    <w:rsid w:val="00265930"/>
    <w:rsid w:val="00265953"/>
    <w:rsid w:val="00265A79"/>
    <w:rsid w:val="00265B18"/>
    <w:rsid w:val="00265CA4"/>
    <w:rsid w:val="00265CE5"/>
    <w:rsid w:val="00265DDE"/>
    <w:rsid w:val="00265E10"/>
    <w:rsid w:val="00265FEE"/>
    <w:rsid w:val="0026603C"/>
    <w:rsid w:val="002660CD"/>
    <w:rsid w:val="00266187"/>
    <w:rsid w:val="0026621E"/>
    <w:rsid w:val="00266245"/>
    <w:rsid w:val="00266273"/>
    <w:rsid w:val="002662F3"/>
    <w:rsid w:val="00266356"/>
    <w:rsid w:val="00266454"/>
    <w:rsid w:val="00266493"/>
    <w:rsid w:val="002664BC"/>
    <w:rsid w:val="00266550"/>
    <w:rsid w:val="00266604"/>
    <w:rsid w:val="00266797"/>
    <w:rsid w:val="002667BB"/>
    <w:rsid w:val="00266A87"/>
    <w:rsid w:val="00266A8E"/>
    <w:rsid w:val="00266AB4"/>
    <w:rsid w:val="00266BA2"/>
    <w:rsid w:val="00266BA8"/>
    <w:rsid w:val="00266C10"/>
    <w:rsid w:val="00266C53"/>
    <w:rsid w:val="00266CDB"/>
    <w:rsid w:val="00266EA5"/>
    <w:rsid w:val="00266FB1"/>
    <w:rsid w:val="00266FB7"/>
    <w:rsid w:val="00266FCD"/>
    <w:rsid w:val="002670D8"/>
    <w:rsid w:val="00267104"/>
    <w:rsid w:val="00267113"/>
    <w:rsid w:val="002671EF"/>
    <w:rsid w:val="0026724D"/>
    <w:rsid w:val="002673CB"/>
    <w:rsid w:val="002673E4"/>
    <w:rsid w:val="00267424"/>
    <w:rsid w:val="0026742B"/>
    <w:rsid w:val="00267438"/>
    <w:rsid w:val="002674EE"/>
    <w:rsid w:val="0026755F"/>
    <w:rsid w:val="00267589"/>
    <w:rsid w:val="0026759E"/>
    <w:rsid w:val="00267734"/>
    <w:rsid w:val="002677B8"/>
    <w:rsid w:val="002677C3"/>
    <w:rsid w:val="002677EF"/>
    <w:rsid w:val="002678FF"/>
    <w:rsid w:val="00267971"/>
    <w:rsid w:val="002679C2"/>
    <w:rsid w:val="00267B00"/>
    <w:rsid w:val="00267D76"/>
    <w:rsid w:val="00267E65"/>
    <w:rsid w:val="00267E93"/>
    <w:rsid w:val="00267EBF"/>
    <w:rsid w:val="0027002A"/>
    <w:rsid w:val="00270093"/>
    <w:rsid w:val="0027010F"/>
    <w:rsid w:val="002701D8"/>
    <w:rsid w:val="00270210"/>
    <w:rsid w:val="002702A5"/>
    <w:rsid w:val="0027058B"/>
    <w:rsid w:val="002705AF"/>
    <w:rsid w:val="00270646"/>
    <w:rsid w:val="0027066B"/>
    <w:rsid w:val="00270683"/>
    <w:rsid w:val="002706D9"/>
    <w:rsid w:val="002707B9"/>
    <w:rsid w:val="00270805"/>
    <w:rsid w:val="0027080E"/>
    <w:rsid w:val="002708A9"/>
    <w:rsid w:val="0027098E"/>
    <w:rsid w:val="00270999"/>
    <w:rsid w:val="00270A48"/>
    <w:rsid w:val="00270AA1"/>
    <w:rsid w:val="00270B1A"/>
    <w:rsid w:val="00270C86"/>
    <w:rsid w:val="00270CEC"/>
    <w:rsid w:val="00270DCB"/>
    <w:rsid w:val="00270FA1"/>
    <w:rsid w:val="00270FA6"/>
    <w:rsid w:val="0027106A"/>
    <w:rsid w:val="00271096"/>
    <w:rsid w:val="002710A7"/>
    <w:rsid w:val="0027115E"/>
    <w:rsid w:val="00271409"/>
    <w:rsid w:val="0027147A"/>
    <w:rsid w:val="002714D7"/>
    <w:rsid w:val="002714E4"/>
    <w:rsid w:val="0027153A"/>
    <w:rsid w:val="0027164E"/>
    <w:rsid w:val="00271661"/>
    <w:rsid w:val="002716A0"/>
    <w:rsid w:val="002716AF"/>
    <w:rsid w:val="002718BB"/>
    <w:rsid w:val="00271921"/>
    <w:rsid w:val="00271950"/>
    <w:rsid w:val="0027199E"/>
    <w:rsid w:val="00271A17"/>
    <w:rsid w:val="00271AA1"/>
    <w:rsid w:val="00271ABF"/>
    <w:rsid w:val="00271B85"/>
    <w:rsid w:val="00271C21"/>
    <w:rsid w:val="00271C4C"/>
    <w:rsid w:val="00271D5E"/>
    <w:rsid w:val="00271E1B"/>
    <w:rsid w:val="00271FB5"/>
    <w:rsid w:val="00272022"/>
    <w:rsid w:val="00272146"/>
    <w:rsid w:val="0027217F"/>
    <w:rsid w:val="0027219D"/>
    <w:rsid w:val="002721B3"/>
    <w:rsid w:val="002722A0"/>
    <w:rsid w:val="00272354"/>
    <w:rsid w:val="0027240B"/>
    <w:rsid w:val="0027242B"/>
    <w:rsid w:val="002724F7"/>
    <w:rsid w:val="0027252D"/>
    <w:rsid w:val="00272575"/>
    <w:rsid w:val="00272586"/>
    <w:rsid w:val="00272657"/>
    <w:rsid w:val="002726E0"/>
    <w:rsid w:val="002727FB"/>
    <w:rsid w:val="00272939"/>
    <w:rsid w:val="00272984"/>
    <w:rsid w:val="002729E1"/>
    <w:rsid w:val="00272A59"/>
    <w:rsid w:val="00272A84"/>
    <w:rsid w:val="00272ADA"/>
    <w:rsid w:val="00272B52"/>
    <w:rsid w:val="00272B56"/>
    <w:rsid w:val="00272BD7"/>
    <w:rsid w:val="00272DE0"/>
    <w:rsid w:val="00272DF2"/>
    <w:rsid w:val="00272EB6"/>
    <w:rsid w:val="00272F63"/>
    <w:rsid w:val="00272F70"/>
    <w:rsid w:val="00273099"/>
    <w:rsid w:val="002730FB"/>
    <w:rsid w:val="002731DD"/>
    <w:rsid w:val="00273225"/>
    <w:rsid w:val="00273257"/>
    <w:rsid w:val="00273298"/>
    <w:rsid w:val="002732BA"/>
    <w:rsid w:val="00273306"/>
    <w:rsid w:val="00273427"/>
    <w:rsid w:val="00273435"/>
    <w:rsid w:val="0027347E"/>
    <w:rsid w:val="002734FC"/>
    <w:rsid w:val="00273552"/>
    <w:rsid w:val="0027359A"/>
    <w:rsid w:val="00273616"/>
    <w:rsid w:val="00273686"/>
    <w:rsid w:val="002737FE"/>
    <w:rsid w:val="0027382B"/>
    <w:rsid w:val="0027388C"/>
    <w:rsid w:val="0027389F"/>
    <w:rsid w:val="00273AFC"/>
    <w:rsid w:val="00273B33"/>
    <w:rsid w:val="00273C50"/>
    <w:rsid w:val="00273C55"/>
    <w:rsid w:val="00273C6B"/>
    <w:rsid w:val="00273CD4"/>
    <w:rsid w:val="00273D49"/>
    <w:rsid w:val="00273D6A"/>
    <w:rsid w:val="00273E11"/>
    <w:rsid w:val="00273EC6"/>
    <w:rsid w:val="00273FCA"/>
    <w:rsid w:val="00273FEB"/>
    <w:rsid w:val="0027402D"/>
    <w:rsid w:val="00274163"/>
    <w:rsid w:val="002742A1"/>
    <w:rsid w:val="002744B0"/>
    <w:rsid w:val="002744F3"/>
    <w:rsid w:val="00274592"/>
    <w:rsid w:val="002746AD"/>
    <w:rsid w:val="002746E7"/>
    <w:rsid w:val="00274717"/>
    <w:rsid w:val="0027474B"/>
    <w:rsid w:val="002748E6"/>
    <w:rsid w:val="002749A1"/>
    <w:rsid w:val="002749C8"/>
    <w:rsid w:val="00274A08"/>
    <w:rsid w:val="00274A10"/>
    <w:rsid w:val="00274A1B"/>
    <w:rsid w:val="00274ABC"/>
    <w:rsid w:val="00274AC5"/>
    <w:rsid w:val="00274AEF"/>
    <w:rsid w:val="00274C0C"/>
    <w:rsid w:val="00274C34"/>
    <w:rsid w:val="00274CB7"/>
    <w:rsid w:val="00274DB8"/>
    <w:rsid w:val="00274E8B"/>
    <w:rsid w:val="00274F60"/>
    <w:rsid w:val="00274F86"/>
    <w:rsid w:val="0027500C"/>
    <w:rsid w:val="002750E3"/>
    <w:rsid w:val="00275197"/>
    <w:rsid w:val="002751AE"/>
    <w:rsid w:val="002751EB"/>
    <w:rsid w:val="00275203"/>
    <w:rsid w:val="00275206"/>
    <w:rsid w:val="0027526F"/>
    <w:rsid w:val="002752DA"/>
    <w:rsid w:val="00275454"/>
    <w:rsid w:val="0027546D"/>
    <w:rsid w:val="002754FD"/>
    <w:rsid w:val="00275545"/>
    <w:rsid w:val="0027574A"/>
    <w:rsid w:val="002757B9"/>
    <w:rsid w:val="0027590B"/>
    <w:rsid w:val="00275A7A"/>
    <w:rsid w:val="00275AFE"/>
    <w:rsid w:val="00275B13"/>
    <w:rsid w:val="00275C46"/>
    <w:rsid w:val="00275CB4"/>
    <w:rsid w:val="00275F33"/>
    <w:rsid w:val="00275FD0"/>
    <w:rsid w:val="00276055"/>
    <w:rsid w:val="0027611B"/>
    <w:rsid w:val="00276149"/>
    <w:rsid w:val="0027620D"/>
    <w:rsid w:val="002762EE"/>
    <w:rsid w:val="002763DC"/>
    <w:rsid w:val="002765D7"/>
    <w:rsid w:val="002767DB"/>
    <w:rsid w:val="00276840"/>
    <w:rsid w:val="002768F9"/>
    <w:rsid w:val="0027693A"/>
    <w:rsid w:val="00276999"/>
    <w:rsid w:val="00276A2A"/>
    <w:rsid w:val="00276AAB"/>
    <w:rsid w:val="00276B66"/>
    <w:rsid w:val="00276C58"/>
    <w:rsid w:val="00276D50"/>
    <w:rsid w:val="00276D87"/>
    <w:rsid w:val="00276DCF"/>
    <w:rsid w:val="00276E2F"/>
    <w:rsid w:val="00276F08"/>
    <w:rsid w:val="00276F6A"/>
    <w:rsid w:val="002770CB"/>
    <w:rsid w:val="002772DC"/>
    <w:rsid w:val="002773DF"/>
    <w:rsid w:val="002773E7"/>
    <w:rsid w:val="0027745C"/>
    <w:rsid w:val="002774BA"/>
    <w:rsid w:val="002774FB"/>
    <w:rsid w:val="0027750D"/>
    <w:rsid w:val="00277587"/>
    <w:rsid w:val="00277588"/>
    <w:rsid w:val="00277590"/>
    <w:rsid w:val="00277880"/>
    <w:rsid w:val="002778B1"/>
    <w:rsid w:val="00277B43"/>
    <w:rsid w:val="00277BDD"/>
    <w:rsid w:val="00277BEB"/>
    <w:rsid w:val="00277CC9"/>
    <w:rsid w:val="00277E1D"/>
    <w:rsid w:val="00277E54"/>
    <w:rsid w:val="00277E65"/>
    <w:rsid w:val="00277EE6"/>
    <w:rsid w:val="00277EEA"/>
    <w:rsid w:val="00277F05"/>
    <w:rsid w:val="00277FC5"/>
    <w:rsid w:val="00277FDF"/>
    <w:rsid w:val="0028004F"/>
    <w:rsid w:val="00280096"/>
    <w:rsid w:val="002800AE"/>
    <w:rsid w:val="00280125"/>
    <w:rsid w:val="0028016B"/>
    <w:rsid w:val="00280173"/>
    <w:rsid w:val="002802E5"/>
    <w:rsid w:val="002802F1"/>
    <w:rsid w:val="0028044C"/>
    <w:rsid w:val="0028054E"/>
    <w:rsid w:val="0028056D"/>
    <w:rsid w:val="0028060A"/>
    <w:rsid w:val="0028065A"/>
    <w:rsid w:val="002806B4"/>
    <w:rsid w:val="0028071F"/>
    <w:rsid w:val="0028083C"/>
    <w:rsid w:val="0028085C"/>
    <w:rsid w:val="002808B6"/>
    <w:rsid w:val="002808C6"/>
    <w:rsid w:val="002808D8"/>
    <w:rsid w:val="0028090A"/>
    <w:rsid w:val="00280919"/>
    <w:rsid w:val="00280A7F"/>
    <w:rsid w:val="00280B16"/>
    <w:rsid w:val="00280C56"/>
    <w:rsid w:val="00280D72"/>
    <w:rsid w:val="00280E17"/>
    <w:rsid w:val="00280E8C"/>
    <w:rsid w:val="00280EDA"/>
    <w:rsid w:val="00280EE2"/>
    <w:rsid w:val="00280F60"/>
    <w:rsid w:val="00280F95"/>
    <w:rsid w:val="00281083"/>
    <w:rsid w:val="0028116D"/>
    <w:rsid w:val="002811F9"/>
    <w:rsid w:val="0028121F"/>
    <w:rsid w:val="002812D5"/>
    <w:rsid w:val="002813C0"/>
    <w:rsid w:val="0028141F"/>
    <w:rsid w:val="00281472"/>
    <w:rsid w:val="0028151B"/>
    <w:rsid w:val="002815F0"/>
    <w:rsid w:val="002817A7"/>
    <w:rsid w:val="002817C7"/>
    <w:rsid w:val="002817EF"/>
    <w:rsid w:val="00281835"/>
    <w:rsid w:val="00281902"/>
    <w:rsid w:val="0028194D"/>
    <w:rsid w:val="002819BF"/>
    <w:rsid w:val="002819C7"/>
    <w:rsid w:val="00281A54"/>
    <w:rsid w:val="00281B8E"/>
    <w:rsid w:val="00281BA8"/>
    <w:rsid w:val="00281CD7"/>
    <w:rsid w:val="00281DDC"/>
    <w:rsid w:val="00281E49"/>
    <w:rsid w:val="00281EC7"/>
    <w:rsid w:val="0028200B"/>
    <w:rsid w:val="002820B9"/>
    <w:rsid w:val="0028211B"/>
    <w:rsid w:val="002821C9"/>
    <w:rsid w:val="0028223B"/>
    <w:rsid w:val="002822BB"/>
    <w:rsid w:val="002823AF"/>
    <w:rsid w:val="002824AE"/>
    <w:rsid w:val="0028253B"/>
    <w:rsid w:val="00282598"/>
    <w:rsid w:val="00282667"/>
    <w:rsid w:val="002826BE"/>
    <w:rsid w:val="0028270F"/>
    <w:rsid w:val="0028275F"/>
    <w:rsid w:val="00282819"/>
    <w:rsid w:val="00282981"/>
    <w:rsid w:val="002829AA"/>
    <w:rsid w:val="00282A7D"/>
    <w:rsid w:val="00282AF7"/>
    <w:rsid w:val="00282B01"/>
    <w:rsid w:val="00282B12"/>
    <w:rsid w:val="00282B7D"/>
    <w:rsid w:val="00282C95"/>
    <w:rsid w:val="00282D02"/>
    <w:rsid w:val="00282D65"/>
    <w:rsid w:val="00282D7B"/>
    <w:rsid w:val="00282D8A"/>
    <w:rsid w:val="00282DB8"/>
    <w:rsid w:val="00282DDD"/>
    <w:rsid w:val="00282E12"/>
    <w:rsid w:val="00282E83"/>
    <w:rsid w:val="0028300B"/>
    <w:rsid w:val="0028304F"/>
    <w:rsid w:val="0028307F"/>
    <w:rsid w:val="0028310D"/>
    <w:rsid w:val="002831BF"/>
    <w:rsid w:val="0028322B"/>
    <w:rsid w:val="00283269"/>
    <w:rsid w:val="0028336B"/>
    <w:rsid w:val="002833E5"/>
    <w:rsid w:val="002833FB"/>
    <w:rsid w:val="00283405"/>
    <w:rsid w:val="00283421"/>
    <w:rsid w:val="00283463"/>
    <w:rsid w:val="002834D5"/>
    <w:rsid w:val="0028354A"/>
    <w:rsid w:val="002836BB"/>
    <w:rsid w:val="00283752"/>
    <w:rsid w:val="00283793"/>
    <w:rsid w:val="0028381F"/>
    <w:rsid w:val="00283853"/>
    <w:rsid w:val="00283870"/>
    <w:rsid w:val="00283949"/>
    <w:rsid w:val="002839FC"/>
    <w:rsid w:val="00283A10"/>
    <w:rsid w:val="00283AED"/>
    <w:rsid w:val="00283CA5"/>
    <w:rsid w:val="00283D06"/>
    <w:rsid w:val="00283D72"/>
    <w:rsid w:val="00283E77"/>
    <w:rsid w:val="00283FFB"/>
    <w:rsid w:val="0028400B"/>
    <w:rsid w:val="00284062"/>
    <w:rsid w:val="00284106"/>
    <w:rsid w:val="00284184"/>
    <w:rsid w:val="00284223"/>
    <w:rsid w:val="00284254"/>
    <w:rsid w:val="00284272"/>
    <w:rsid w:val="00284368"/>
    <w:rsid w:val="0028454A"/>
    <w:rsid w:val="00284578"/>
    <w:rsid w:val="0028460A"/>
    <w:rsid w:val="00284664"/>
    <w:rsid w:val="002848A9"/>
    <w:rsid w:val="002848C3"/>
    <w:rsid w:val="002848C7"/>
    <w:rsid w:val="00284903"/>
    <w:rsid w:val="002849E0"/>
    <w:rsid w:val="00284A8B"/>
    <w:rsid w:val="00284A92"/>
    <w:rsid w:val="00284ADE"/>
    <w:rsid w:val="00284BDF"/>
    <w:rsid w:val="00284C46"/>
    <w:rsid w:val="00284C74"/>
    <w:rsid w:val="00284CA1"/>
    <w:rsid w:val="00284CF0"/>
    <w:rsid w:val="00284D01"/>
    <w:rsid w:val="00284D40"/>
    <w:rsid w:val="00284E63"/>
    <w:rsid w:val="00284F20"/>
    <w:rsid w:val="00284F7B"/>
    <w:rsid w:val="00284F9F"/>
    <w:rsid w:val="0028504D"/>
    <w:rsid w:val="00285134"/>
    <w:rsid w:val="00285160"/>
    <w:rsid w:val="0028520E"/>
    <w:rsid w:val="00285235"/>
    <w:rsid w:val="0028527F"/>
    <w:rsid w:val="0028532B"/>
    <w:rsid w:val="00285331"/>
    <w:rsid w:val="00285494"/>
    <w:rsid w:val="00285557"/>
    <w:rsid w:val="0028558F"/>
    <w:rsid w:val="002855F0"/>
    <w:rsid w:val="00285612"/>
    <w:rsid w:val="002856F9"/>
    <w:rsid w:val="00285813"/>
    <w:rsid w:val="002858D3"/>
    <w:rsid w:val="0028592B"/>
    <w:rsid w:val="00285969"/>
    <w:rsid w:val="00285975"/>
    <w:rsid w:val="002859E3"/>
    <w:rsid w:val="00285A52"/>
    <w:rsid w:val="00285A81"/>
    <w:rsid w:val="00285A9B"/>
    <w:rsid w:val="00285B71"/>
    <w:rsid w:val="00285C51"/>
    <w:rsid w:val="00285D8B"/>
    <w:rsid w:val="00285F58"/>
    <w:rsid w:val="00285F86"/>
    <w:rsid w:val="00285FE3"/>
    <w:rsid w:val="00286017"/>
    <w:rsid w:val="00286025"/>
    <w:rsid w:val="00286027"/>
    <w:rsid w:val="00286096"/>
    <w:rsid w:val="002860FF"/>
    <w:rsid w:val="0028613C"/>
    <w:rsid w:val="0028615D"/>
    <w:rsid w:val="0028641A"/>
    <w:rsid w:val="00286481"/>
    <w:rsid w:val="00286573"/>
    <w:rsid w:val="002865C7"/>
    <w:rsid w:val="002865DB"/>
    <w:rsid w:val="002865E5"/>
    <w:rsid w:val="00286687"/>
    <w:rsid w:val="002866A1"/>
    <w:rsid w:val="002866FD"/>
    <w:rsid w:val="0028690F"/>
    <w:rsid w:val="0028692A"/>
    <w:rsid w:val="00286A09"/>
    <w:rsid w:val="00286A6B"/>
    <w:rsid w:val="00286ACC"/>
    <w:rsid w:val="00286ADC"/>
    <w:rsid w:val="00286BA8"/>
    <w:rsid w:val="00286C0A"/>
    <w:rsid w:val="00286C8B"/>
    <w:rsid w:val="00286D7A"/>
    <w:rsid w:val="00286D9C"/>
    <w:rsid w:val="00286DDB"/>
    <w:rsid w:val="00286E43"/>
    <w:rsid w:val="00286F1E"/>
    <w:rsid w:val="00286FB1"/>
    <w:rsid w:val="0028705B"/>
    <w:rsid w:val="002870AE"/>
    <w:rsid w:val="002870B1"/>
    <w:rsid w:val="002870D1"/>
    <w:rsid w:val="002872C7"/>
    <w:rsid w:val="0028735C"/>
    <w:rsid w:val="00287490"/>
    <w:rsid w:val="00287545"/>
    <w:rsid w:val="0028761B"/>
    <w:rsid w:val="00287629"/>
    <w:rsid w:val="00287681"/>
    <w:rsid w:val="00287796"/>
    <w:rsid w:val="0028784C"/>
    <w:rsid w:val="002878CB"/>
    <w:rsid w:val="00287908"/>
    <w:rsid w:val="00287969"/>
    <w:rsid w:val="002879C9"/>
    <w:rsid w:val="00287A3F"/>
    <w:rsid w:val="00287AF7"/>
    <w:rsid w:val="00287B8F"/>
    <w:rsid w:val="00287BA1"/>
    <w:rsid w:val="00287BCB"/>
    <w:rsid w:val="00287BD1"/>
    <w:rsid w:val="00287BEA"/>
    <w:rsid w:val="00287C02"/>
    <w:rsid w:val="00287C3F"/>
    <w:rsid w:val="00287C51"/>
    <w:rsid w:val="00287D35"/>
    <w:rsid w:val="00287D4A"/>
    <w:rsid w:val="00287DE9"/>
    <w:rsid w:val="00287E00"/>
    <w:rsid w:val="00287E6A"/>
    <w:rsid w:val="00287F33"/>
    <w:rsid w:val="00287F36"/>
    <w:rsid w:val="00287FDC"/>
    <w:rsid w:val="00290025"/>
    <w:rsid w:val="00290105"/>
    <w:rsid w:val="0029026D"/>
    <w:rsid w:val="002902A9"/>
    <w:rsid w:val="002902D6"/>
    <w:rsid w:val="00290341"/>
    <w:rsid w:val="00290361"/>
    <w:rsid w:val="002904C2"/>
    <w:rsid w:val="00290506"/>
    <w:rsid w:val="0029054B"/>
    <w:rsid w:val="00290672"/>
    <w:rsid w:val="002906F9"/>
    <w:rsid w:val="00290711"/>
    <w:rsid w:val="002907BF"/>
    <w:rsid w:val="002908A8"/>
    <w:rsid w:val="00290979"/>
    <w:rsid w:val="00290986"/>
    <w:rsid w:val="002909CC"/>
    <w:rsid w:val="00290A2B"/>
    <w:rsid w:val="00290A8C"/>
    <w:rsid w:val="00290C24"/>
    <w:rsid w:val="00290C48"/>
    <w:rsid w:val="00290CA7"/>
    <w:rsid w:val="00290CAD"/>
    <w:rsid w:val="00290CE3"/>
    <w:rsid w:val="00290D24"/>
    <w:rsid w:val="00290E35"/>
    <w:rsid w:val="00290E72"/>
    <w:rsid w:val="00290F52"/>
    <w:rsid w:val="00290F61"/>
    <w:rsid w:val="00290FE4"/>
    <w:rsid w:val="00291064"/>
    <w:rsid w:val="0029108E"/>
    <w:rsid w:val="002910BC"/>
    <w:rsid w:val="00291195"/>
    <w:rsid w:val="0029126B"/>
    <w:rsid w:val="00291291"/>
    <w:rsid w:val="002912C5"/>
    <w:rsid w:val="00291335"/>
    <w:rsid w:val="0029137B"/>
    <w:rsid w:val="0029138B"/>
    <w:rsid w:val="002913FB"/>
    <w:rsid w:val="0029147F"/>
    <w:rsid w:val="002914CD"/>
    <w:rsid w:val="00291578"/>
    <w:rsid w:val="00291654"/>
    <w:rsid w:val="002916B1"/>
    <w:rsid w:val="00291848"/>
    <w:rsid w:val="00291868"/>
    <w:rsid w:val="00291880"/>
    <w:rsid w:val="0029189A"/>
    <w:rsid w:val="002918CC"/>
    <w:rsid w:val="002918D4"/>
    <w:rsid w:val="00291939"/>
    <w:rsid w:val="00291944"/>
    <w:rsid w:val="0029198B"/>
    <w:rsid w:val="00291A4C"/>
    <w:rsid w:val="00291AD0"/>
    <w:rsid w:val="00291B7F"/>
    <w:rsid w:val="00291C11"/>
    <w:rsid w:val="00291CB7"/>
    <w:rsid w:val="00291CCB"/>
    <w:rsid w:val="00291E37"/>
    <w:rsid w:val="00291FBE"/>
    <w:rsid w:val="00291FFF"/>
    <w:rsid w:val="00292090"/>
    <w:rsid w:val="002920AC"/>
    <w:rsid w:val="002920CF"/>
    <w:rsid w:val="0029211D"/>
    <w:rsid w:val="0029215A"/>
    <w:rsid w:val="00292353"/>
    <w:rsid w:val="002923AA"/>
    <w:rsid w:val="002923B0"/>
    <w:rsid w:val="002923FC"/>
    <w:rsid w:val="0029279D"/>
    <w:rsid w:val="002927BA"/>
    <w:rsid w:val="002927C1"/>
    <w:rsid w:val="002927ED"/>
    <w:rsid w:val="0029280F"/>
    <w:rsid w:val="0029286C"/>
    <w:rsid w:val="00292997"/>
    <w:rsid w:val="00292B1B"/>
    <w:rsid w:val="00292B79"/>
    <w:rsid w:val="00292BAA"/>
    <w:rsid w:val="00292BE5"/>
    <w:rsid w:val="00292C10"/>
    <w:rsid w:val="00292D76"/>
    <w:rsid w:val="00292D9B"/>
    <w:rsid w:val="00292E06"/>
    <w:rsid w:val="00292E4C"/>
    <w:rsid w:val="00292EA3"/>
    <w:rsid w:val="00292F0C"/>
    <w:rsid w:val="00292F75"/>
    <w:rsid w:val="00293058"/>
    <w:rsid w:val="00293093"/>
    <w:rsid w:val="00293142"/>
    <w:rsid w:val="00293174"/>
    <w:rsid w:val="002931A7"/>
    <w:rsid w:val="002931B0"/>
    <w:rsid w:val="00293201"/>
    <w:rsid w:val="0029323D"/>
    <w:rsid w:val="0029344C"/>
    <w:rsid w:val="0029348F"/>
    <w:rsid w:val="002935B6"/>
    <w:rsid w:val="00293606"/>
    <w:rsid w:val="00293657"/>
    <w:rsid w:val="002938BF"/>
    <w:rsid w:val="002938D3"/>
    <w:rsid w:val="00293961"/>
    <w:rsid w:val="00293A6A"/>
    <w:rsid w:val="00293B2F"/>
    <w:rsid w:val="00293BEE"/>
    <w:rsid w:val="00293BFD"/>
    <w:rsid w:val="00293C56"/>
    <w:rsid w:val="00293D92"/>
    <w:rsid w:val="00293F2A"/>
    <w:rsid w:val="00293F57"/>
    <w:rsid w:val="00293F67"/>
    <w:rsid w:val="00293F7B"/>
    <w:rsid w:val="00293FB1"/>
    <w:rsid w:val="00293FD8"/>
    <w:rsid w:val="002940B7"/>
    <w:rsid w:val="00294253"/>
    <w:rsid w:val="00294379"/>
    <w:rsid w:val="0029456F"/>
    <w:rsid w:val="00294615"/>
    <w:rsid w:val="00294632"/>
    <w:rsid w:val="00294932"/>
    <w:rsid w:val="002949A5"/>
    <w:rsid w:val="002949E6"/>
    <w:rsid w:val="00294A64"/>
    <w:rsid w:val="00294A7E"/>
    <w:rsid w:val="00294A96"/>
    <w:rsid w:val="00294B2F"/>
    <w:rsid w:val="00294C0A"/>
    <w:rsid w:val="00294D6C"/>
    <w:rsid w:val="00294D97"/>
    <w:rsid w:val="00294DB5"/>
    <w:rsid w:val="00294E32"/>
    <w:rsid w:val="002950AD"/>
    <w:rsid w:val="002950CB"/>
    <w:rsid w:val="002951DD"/>
    <w:rsid w:val="0029520A"/>
    <w:rsid w:val="0029521B"/>
    <w:rsid w:val="00295236"/>
    <w:rsid w:val="0029528E"/>
    <w:rsid w:val="0029537C"/>
    <w:rsid w:val="002953BA"/>
    <w:rsid w:val="002954C7"/>
    <w:rsid w:val="0029556B"/>
    <w:rsid w:val="002955C7"/>
    <w:rsid w:val="0029568C"/>
    <w:rsid w:val="00295713"/>
    <w:rsid w:val="002957EF"/>
    <w:rsid w:val="0029586C"/>
    <w:rsid w:val="00295A42"/>
    <w:rsid w:val="00295A47"/>
    <w:rsid w:val="00295D7C"/>
    <w:rsid w:val="00295DC1"/>
    <w:rsid w:val="00295DD4"/>
    <w:rsid w:val="00295E4B"/>
    <w:rsid w:val="00295EBB"/>
    <w:rsid w:val="00295F9E"/>
    <w:rsid w:val="00295FFF"/>
    <w:rsid w:val="00296011"/>
    <w:rsid w:val="002960CF"/>
    <w:rsid w:val="00296232"/>
    <w:rsid w:val="00296274"/>
    <w:rsid w:val="002962A5"/>
    <w:rsid w:val="002962A8"/>
    <w:rsid w:val="002962B6"/>
    <w:rsid w:val="0029637B"/>
    <w:rsid w:val="00296551"/>
    <w:rsid w:val="002966DE"/>
    <w:rsid w:val="0029674D"/>
    <w:rsid w:val="002967CE"/>
    <w:rsid w:val="002967F0"/>
    <w:rsid w:val="00296892"/>
    <w:rsid w:val="0029698E"/>
    <w:rsid w:val="00296A63"/>
    <w:rsid w:val="00296AE2"/>
    <w:rsid w:val="00296B6E"/>
    <w:rsid w:val="00296C90"/>
    <w:rsid w:val="00296CDA"/>
    <w:rsid w:val="00296D0A"/>
    <w:rsid w:val="00296DB7"/>
    <w:rsid w:val="00296EE1"/>
    <w:rsid w:val="00296F84"/>
    <w:rsid w:val="00296F86"/>
    <w:rsid w:val="0029716A"/>
    <w:rsid w:val="0029718F"/>
    <w:rsid w:val="0029722E"/>
    <w:rsid w:val="002972DE"/>
    <w:rsid w:val="0029730F"/>
    <w:rsid w:val="00297472"/>
    <w:rsid w:val="0029748A"/>
    <w:rsid w:val="002974C6"/>
    <w:rsid w:val="00297569"/>
    <w:rsid w:val="002975C4"/>
    <w:rsid w:val="00297620"/>
    <w:rsid w:val="002976A2"/>
    <w:rsid w:val="00297771"/>
    <w:rsid w:val="0029794C"/>
    <w:rsid w:val="00297968"/>
    <w:rsid w:val="00297A1E"/>
    <w:rsid w:val="00297A31"/>
    <w:rsid w:val="00297AA8"/>
    <w:rsid w:val="00297B31"/>
    <w:rsid w:val="00297B75"/>
    <w:rsid w:val="00297D13"/>
    <w:rsid w:val="00297D70"/>
    <w:rsid w:val="00297ED2"/>
    <w:rsid w:val="00297F45"/>
    <w:rsid w:val="00297FCF"/>
    <w:rsid w:val="002A003E"/>
    <w:rsid w:val="002A01A8"/>
    <w:rsid w:val="002A0322"/>
    <w:rsid w:val="002A035D"/>
    <w:rsid w:val="002A042B"/>
    <w:rsid w:val="002A059D"/>
    <w:rsid w:val="002A078C"/>
    <w:rsid w:val="002A07A9"/>
    <w:rsid w:val="002A0848"/>
    <w:rsid w:val="002A090A"/>
    <w:rsid w:val="002A097A"/>
    <w:rsid w:val="002A09B5"/>
    <w:rsid w:val="002A09CC"/>
    <w:rsid w:val="002A0A21"/>
    <w:rsid w:val="002A0A55"/>
    <w:rsid w:val="002A0ADF"/>
    <w:rsid w:val="002A0BD7"/>
    <w:rsid w:val="002A0C41"/>
    <w:rsid w:val="002A0C66"/>
    <w:rsid w:val="002A0C9C"/>
    <w:rsid w:val="002A0D0C"/>
    <w:rsid w:val="002A0DEA"/>
    <w:rsid w:val="002A0E53"/>
    <w:rsid w:val="002A0EC7"/>
    <w:rsid w:val="002A11D6"/>
    <w:rsid w:val="002A122B"/>
    <w:rsid w:val="002A1261"/>
    <w:rsid w:val="002A139E"/>
    <w:rsid w:val="002A13B1"/>
    <w:rsid w:val="002A1445"/>
    <w:rsid w:val="002A19FE"/>
    <w:rsid w:val="002A1A07"/>
    <w:rsid w:val="002A1A50"/>
    <w:rsid w:val="002A1B34"/>
    <w:rsid w:val="002A1B77"/>
    <w:rsid w:val="002A1B96"/>
    <w:rsid w:val="002A1BC5"/>
    <w:rsid w:val="002A1BD5"/>
    <w:rsid w:val="002A1C37"/>
    <w:rsid w:val="002A1C38"/>
    <w:rsid w:val="002A1D09"/>
    <w:rsid w:val="002A1E29"/>
    <w:rsid w:val="002A1E3D"/>
    <w:rsid w:val="002A1EC0"/>
    <w:rsid w:val="002A1EE4"/>
    <w:rsid w:val="002A1EE7"/>
    <w:rsid w:val="002A1F0D"/>
    <w:rsid w:val="002A1F29"/>
    <w:rsid w:val="002A1F7F"/>
    <w:rsid w:val="002A1F82"/>
    <w:rsid w:val="002A1FB9"/>
    <w:rsid w:val="002A20C7"/>
    <w:rsid w:val="002A2222"/>
    <w:rsid w:val="002A2258"/>
    <w:rsid w:val="002A22CC"/>
    <w:rsid w:val="002A23F4"/>
    <w:rsid w:val="002A2424"/>
    <w:rsid w:val="002A253A"/>
    <w:rsid w:val="002A25E1"/>
    <w:rsid w:val="002A26BA"/>
    <w:rsid w:val="002A2719"/>
    <w:rsid w:val="002A2752"/>
    <w:rsid w:val="002A2813"/>
    <w:rsid w:val="002A2896"/>
    <w:rsid w:val="002A29B1"/>
    <w:rsid w:val="002A29FA"/>
    <w:rsid w:val="002A2B66"/>
    <w:rsid w:val="002A2B69"/>
    <w:rsid w:val="002A2BAD"/>
    <w:rsid w:val="002A2BCD"/>
    <w:rsid w:val="002A2C19"/>
    <w:rsid w:val="002A2C78"/>
    <w:rsid w:val="002A2C8E"/>
    <w:rsid w:val="002A2CDE"/>
    <w:rsid w:val="002A2D12"/>
    <w:rsid w:val="002A2D86"/>
    <w:rsid w:val="002A2DCB"/>
    <w:rsid w:val="002A307F"/>
    <w:rsid w:val="002A30B1"/>
    <w:rsid w:val="002A30C1"/>
    <w:rsid w:val="002A30EE"/>
    <w:rsid w:val="002A3131"/>
    <w:rsid w:val="002A3160"/>
    <w:rsid w:val="002A3201"/>
    <w:rsid w:val="002A32EA"/>
    <w:rsid w:val="002A3364"/>
    <w:rsid w:val="002A3369"/>
    <w:rsid w:val="002A3498"/>
    <w:rsid w:val="002A34B1"/>
    <w:rsid w:val="002A34F2"/>
    <w:rsid w:val="002A3539"/>
    <w:rsid w:val="002A3543"/>
    <w:rsid w:val="002A357E"/>
    <w:rsid w:val="002A3640"/>
    <w:rsid w:val="002A3692"/>
    <w:rsid w:val="002A36E0"/>
    <w:rsid w:val="002A3726"/>
    <w:rsid w:val="002A374D"/>
    <w:rsid w:val="002A37A0"/>
    <w:rsid w:val="002A37A7"/>
    <w:rsid w:val="002A3809"/>
    <w:rsid w:val="002A38FF"/>
    <w:rsid w:val="002A3905"/>
    <w:rsid w:val="002A39DD"/>
    <w:rsid w:val="002A3A1F"/>
    <w:rsid w:val="002A3A2F"/>
    <w:rsid w:val="002A3B00"/>
    <w:rsid w:val="002A3C24"/>
    <w:rsid w:val="002A3C8D"/>
    <w:rsid w:val="002A3DC5"/>
    <w:rsid w:val="002A3DDF"/>
    <w:rsid w:val="002A3DFA"/>
    <w:rsid w:val="002A3E8E"/>
    <w:rsid w:val="002A4023"/>
    <w:rsid w:val="002A405C"/>
    <w:rsid w:val="002A40F7"/>
    <w:rsid w:val="002A4187"/>
    <w:rsid w:val="002A41F1"/>
    <w:rsid w:val="002A421C"/>
    <w:rsid w:val="002A4224"/>
    <w:rsid w:val="002A4287"/>
    <w:rsid w:val="002A42EC"/>
    <w:rsid w:val="002A44BD"/>
    <w:rsid w:val="002A455F"/>
    <w:rsid w:val="002A45DD"/>
    <w:rsid w:val="002A477E"/>
    <w:rsid w:val="002A47B0"/>
    <w:rsid w:val="002A4938"/>
    <w:rsid w:val="002A4A4E"/>
    <w:rsid w:val="002A4B3D"/>
    <w:rsid w:val="002A4C51"/>
    <w:rsid w:val="002A4C5A"/>
    <w:rsid w:val="002A4D93"/>
    <w:rsid w:val="002A4DC1"/>
    <w:rsid w:val="002A4DD0"/>
    <w:rsid w:val="002A4E0F"/>
    <w:rsid w:val="002A4E5E"/>
    <w:rsid w:val="002A4EB6"/>
    <w:rsid w:val="002A4EE3"/>
    <w:rsid w:val="002A4F74"/>
    <w:rsid w:val="002A4FA1"/>
    <w:rsid w:val="002A4FB4"/>
    <w:rsid w:val="002A4FD2"/>
    <w:rsid w:val="002A5101"/>
    <w:rsid w:val="002A5106"/>
    <w:rsid w:val="002A516B"/>
    <w:rsid w:val="002A52FC"/>
    <w:rsid w:val="002A534C"/>
    <w:rsid w:val="002A5436"/>
    <w:rsid w:val="002A5616"/>
    <w:rsid w:val="002A5744"/>
    <w:rsid w:val="002A57F1"/>
    <w:rsid w:val="002A5882"/>
    <w:rsid w:val="002A588A"/>
    <w:rsid w:val="002A5A6A"/>
    <w:rsid w:val="002A5B47"/>
    <w:rsid w:val="002A5B56"/>
    <w:rsid w:val="002A5CB9"/>
    <w:rsid w:val="002A5D28"/>
    <w:rsid w:val="002A5D9A"/>
    <w:rsid w:val="002A5E13"/>
    <w:rsid w:val="002A5E50"/>
    <w:rsid w:val="002A5E5E"/>
    <w:rsid w:val="002A5EBE"/>
    <w:rsid w:val="002A5F21"/>
    <w:rsid w:val="002A5F69"/>
    <w:rsid w:val="002A5F7E"/>
    <w:rsid w:val="002A5FA1"/>
    <w:rsid w:val="002A5FB4"/>
    <w:rsid w:val="002A5FD4"/>
    <w:rsid w:val="002A60F0"/>
    <w:rsid w:val="002A6163"/>
    <w:rsid w:val="002A61EF"/>
    <w:rsid w:val="002A6230"/>
    <w:rsid w:val="002A62F3"/>
    <w:rsid w:val="002A634F"/>
    <w:rsid w:val="002A63E9"/>
    <w:rsid w:val="002A64EA"/>
    <w:rsid w:val="002A6645"/>
    <w:rsid w:val="002A6745"/>
    <w:rsid w:val="002A67F3"/>
    <w:rsid w:val="002A6847"/>
    <w:rsid w:val="002A6899"/>
    <w:rsid w:val="002A68B8"/>
    <w:rsid w:val="002A69D7"/>
    <w:rsid w:val="002A6B9B"/>
    <w:rsid w:val="002A6BFB"/>
    <w:rsid w:val="002A6C04"/>
    <w:rsid w:val="002A6C62"/>
    <w:rsid w:val="002A6CAB"/>
    <w:rsid w:val="002A6CC0"/>
    <w:rsid w:val="002A6CEB"/>
    <w:rsid w:val="002A6D6B"/>
    <w:rsid w:val="002A6E3C"/>
    <w:rsid w:val="002A6E7B"/>
    <w:rsid w:val="002A6EB2"/>
    <w:rsid w:val="002A6ECA"/>
    <w:rsid w:val="002A6F24"/>
    <w:rsid w:val="002A6FE3"/>
    <w:rsid w:val="002A7088"/>
    <w:rsid w:val="002A70AD"/>
    <w:rsid w:val="002A7130"/>
    <w:rsid w:val="002A7148"/>
    <w:rsid w:val="002A71A2"/>
    <w:rsid w:val="002A71AF"/>
    <w:rsid w:val="002A71D6"/>
    <w:rsid w:val="002A71ED"/>
    <w:rsid w:val="002A7252"/>
    <w:rsid w:val="002A72C0"/>
    <w:rsid w:val="002A72C8"/>
    <w:rsid w:val="002A72FB"/>
    <w:rsid w:val="002A73B2"/>
    <w:rsid w:val="002A74AF"/>
    <w:rsid w:val="002A74EF"/>
    <w:rsid w:val="002A7503"/>
    <w:rsid w:val="002A764E"/>
    <w:rsid w:val="002A7782"/>
    <w:rsid w:val="002A7870"/>
    <w:rsid w:val="002A78E7"/>
    <w:rsid w:val="002A7A78"/>
    <w:rsid w:val="002A7B61"/>
    <w:rsid w:val="002A7B8A"/>
    <w:rsid w:val="002A7D93"/>
    <w:rsid w:val="002A7EB6"/>
    <w:rsid w:val="002B00A7"/>
    <w:rsid w:val="002B0170"/>
    <w:rsid w:val="002B0263"/>
    <w:rsid w:val="002B02C3"/>
    <w:rsid w:val="002B03CF"/>
    <w:rsid w:val="002B0409"/>
    <w:rsid w:val="002B0430"/>
    <w:rsid w:val="002B0437"/>
    <w:rsid w:val="002B049B"/>
    <w:rsid w:val="002B04E8"/>
    <w:rsid w:val="002B0547"/>
    <w:rsid w:val="002B06E6"/>
    <w:rsid w:val="002B06E7"/>
    <w:rsid w:val="002B0840"/>
    <w:rsid w:val="002B0859"/>
    <w:rsid w:val="002B085D"/>
    <w:rsid w:val="002B0B22"/>
    <w:rsid w:val="002B0B71"/>
    <w:rsid w:val="002B0BDC"/>
    <w:rsid w:val="002B0CBF"/>
    <w:rsid w:val="002B0D3B"/>
    <w:rsid w:val="002B0E7B"/>
    <w:rsid w:val="002B0E99"/>
    <w:rsid w:val="002B0EE8"/>
    <w:rsid w:val="002B0F4F"/>
    <w:rsid w:val="002B0F65"/>
    <w:rsid w:val="002B0F83"/>
    <w:rsid w:val="002B1042"/>
    <w:rsid w:val="002B1080"/>
    <w:rsid w:val="002B1101"/>
    <w:rsid w:val="002B11B6"/>
    <w:rsid w:val="002B1243"/>
    <w:rsid w:val="002B12EF"/>
    <w:rsid w:val="002B13DB"/>
    <w:rsid w:val="002B1563"/>
    <w:rsid w:val="002B1606"/>
    <w:rsid w:val="002B16D4"/>
    <w:rsid w:val="002B176C"/>
    <w:rsid w:val="002B1836"/>
    <w:rsid w:val="002B18A1"/>
    <w:rsid w:val="002B18DA"/>
    <w:rsid w:val="002B1948"/>
    <w:rsid w:val="002B1971"/>
    <w:rsid w:val="002B1A19"/>
    <w:rsid w:val="002B1ACA"/>
    <w:rsid w:val="002B1C26"/>
    <w:rsid w:val="002B1C58"/>
    <w:rsid w:val="002B1CA8"/>
    <w:rsid w:val="002B1CAA"/>
    <w:rsid w:val="002B1D44"/>
    <w:rsid w:val="002B1D83"/>
    <w:rsid w:val="002B1D98"/>
    <w:rsid w:val="002B1DA4"/>
    <w:rsid w:val="002B1E54"/>
    <w:rsid w:val="002B1EB9"/>
    <w:rsid w:val="002B1EF7"/>
    <w:rsid w:val="002B1F5A"/>
    <w:rsid w:val="002B1FBE"/>
    <w:rsid w:val="002B1FC5"/>
    <w:rsid w:val="002B1FEB"/>
    <w:rsid w:val="002B20B8"/>
    <w:rsid w:val="002B2259"/>
    <w:rsid w:val="002B2275"/>
    <w:rsid w:val="002B22AD"/>
    <w:rsid w:val="002B232B"/>
    <w:rsid w:val="002B2331"/>
    <w:rsid w:val="002B2522"/>
    <w:rsid w:val="002B2579"/>
    <w:rsid w:val="002B2666"/>
    <w:rsid w:val="002B2688"/>
    <w:rsid w:val="002B26D9"/>
    <w:rsid w:val="002B27F4"/>
    <w:rsid w:val="002B2802"/>
    <w:rsid w:val="002B282F"/>
    <w:rsid w:val="002B2A41"/>
    <w:rsid w:val="002B2B69"/>
    <w:rsid w:val="002B2BD3"/>
    <w:rsid w:val="002B2BDB"/>
    <w:rsid w:val="002B2C01"/>
    <w:rsid w:val="002B2C6B"/>
    <w:rsid w:val="002B2C85"/>
    <w:rsid w:val="002B2CCC"/>
    <w:rsid w:val="002B2D4C"/>
    <w:rsid w:val="002B2DBB"/>
    <w:rsid w:val="002B2DE1"/>
    <w:rsid w:val="002B2E00"/>
    <w:rsid w:val="002B2E6E"/>
    <w:rsid w:val="002B2E9F"/>
    <w:rsid w:val="002B2EB8"/>
    <w:rsid w:val="002B2FD7"/>
    <w:rsid w:val="002B3051"/>
    <w:rsid w:val="002B30AE"/>
    <w:rsid w:val="002B318C"/>
    <w:rsid w:val="002B318F"/>
    <w:rsid w:val="002B32D7"/>
    <w:rsid w:val="002B3380"/>
    <w:rsid w:val="002B33DC"/>
    <w:rsid w:val="002B33E7"/>
    <w:rsid w:val="002B341A"/>
    <w:rsid w:val="002B355F"/>
    <w:rsid w:val="002B3691"/>
    <w:rsid w:val="002B36C9"/>
    <w:rsid w:val="002B36D6"/>
    <w:rsid w:val="002B36F2"/>
    <w:rsid w:val="002B37B2"/>
    <w:rsid w:val="002B3829"/>
    <w:rsid w:val="002B38A6"/>
    <w:rsid w:val="002B38E4"/>
    <w:rsid w:val="002B38E8"/>
    <w:rsid w:val="002B3A21"/>
    <w:rsid w:val="002B3A77"/>
    <w:rsid w:val="002B3AB7"/>
    <w:rsid w:val="002B3B66"/>
    <w:rsid w:val="002B3BE4"/>
    <w:rsid w:val="002B3C54"/>
    <w:rsid w:val="002B3D2B"/>
    <w:rsid w:val="002B3E1A"/>
    <w:rsid w:val="002B3FAC"/>
    <w:rsid w:val="002B3FCF"/>
    <w:rsid w:val="002B3FE9"/>
    <w:rsid w:val="002B4062"/>
    <w:rsid w:val="002B406A"/>
    <w:rsid w:val="002B41E2"/>
    <w:rsid w:val="002B41E5"/>
    <w:rsid w:val="002B426B"/>
    <w:rsid w:val="002B4275"/>
    <w:rsid w:val="002B42D6"/>
    <w:rsid w:val="002B42FC"/>
    <w:rsid w:val="002B4319"/>
    <w:rsid w:val="002B4352"/>
    <w:rsid w:val="002B4374"/>
    <w:rsid w:val="002B448D"/>
    <w:rsid w:val="002B44A2"/>
    <w:rsid w:val="002B44AF"/>
    <w:rsid w:val="002B452A"/>
    <w:rsid w:val="002B452E"/>
    <w:rsid w:val="002B4544"/>
    <w:rsid w:val="002B454C"/>
    <w:rsid w:val="002B4576"/>
    <w:rsid w:val="002B4617"/>
    <w:rsid w:val="002B4664"/>
    <w:rsid w:val="002B47C0"/>
    <w:rsid w:val="002B4934"/>
    <w:rsid w:val="002B4983"/>
    <w:rsid w:val="002B4B4F"/>
    <w:rsid w:val="002B4B92"/>
    <w:rsid w:val="002B4CF8"/>
    <w:rsid w:val="002B4DCC"/>
    <w:rsid w:val="002B4DE2"/>
    <w:rsid w:val="002B4DF6"/>
    <w:rsid w:val="002B4DF7"/>
    <w:rsid w:val="002B4E3B"/>
    <w:rsid w:val="002B4EA0"/>
    <w:rsid w:val="002B4EED"/>
    <w:rsid w:val="002B4EEF"/>
    <w:rsid w:val="002B503D"/>
    <w:rsid w:val="002B5099"/>
    <w:rsid w:val="002B50C7"/>
    <w:rsid w:val="002B511D"/>
    <w:rsid w:val="002B5121"/>
    <w:rsid w:val="002B5127"/>
    <w:rsid w:val="002B51A4"/>
    <w:rsid w:val="002B5202"/>
    <w:rsid w:val="002B542B"/>
    <w:rsid w:val="002B55BF"/>
    <w:rsid w:val="002B5610"/>
    <w:rsid w:val="002B5671"/>
    <w:rsid w:val="002B5785"/>
    <w:rsid w:val="002B58BF"/>
    <w:rsid w:val="002B596B"/>
    <w:rsid w:val="002B5994"/>
    <w:rsid w:val="002B59FC"/>
    <w:rsid w:val="002B5A76"/>
    <w:rsid w:val="002B5A93"/>
    <w:rsid w:val="002B5BF3"/>
    <w:rsid w:val="002B5C69"/>
    <w:rsid w:val="002B5CA2"/>
    <w:rsid w:val="002B5CAF"/>
    <w:rsid w:val="002B5D18"/>
    <w:rsid w:val="002B5DB8"/>
    <w:rsid w:val="002B5E40"/>
    <w:rsid w:val="002B5E6A"/>
    <w:rsid w:val="002B5E8B"/>
    <w:rsid w:val="002B5ED5"/>
    <w:rsid w:val="002B601F"/>
    <w:rsid w:val="002B6033"/>
    <w:rsid w:val="002B606B"/>
    <w:rsid w:val="002B606C"/>
    <w:rsid w:val="002B6112"/>
    <w:rsid w:val="002B61A6"/>
    <w:rsid w:val="002B621B"/>
    <w:rsid w:val="002B6222"/>
    <w:rsid w:val="002B63A3"/>
    <w:rsid w:val="002B645E"/>
    <w:rsid w:val="002B64E6"/>
    <w:rsid w:val="002B651C"/>
    <w:rsid w:val="002B6542"/>
    <w:rsid w:val="002B65C6"/>
    <w:rsid w:val="002B65E0"/>
    <w:rsid w:val="002B667E"/>
    <w:rsid w:val="002B672B"/>
    <w:rsid w:val="002B6760"/>
    <w:rsid w:val="002B6778"/>
    <w:rsid w:val="002B67A0"/>
    <w:rsid w:val="002B6836"/>
    <w:rsid w:val="002B68EA"/>
    <w:rsid w:val="002B69C2"/>
    <w:rsid w:val="002B6A15"/>
    <w:rsid w:val="002B6AF7"/>
    <w:rsid w:val="002B6B00"/>
    <w:rsid w:val="002B6BCF"/>
    <w:rsid w:val="002B6C0B"/>
    <w:rsid w:val="002B6C1D"/>
    <w:rsid w:val="002B6C5D"/>
    <w:rsid w:val="002B6D29"/>
    <w:rsid w:val="002B6D6B"/>
    <w:rsid w:val="002B6D72"/>
    <w:rsid w:val="002B6E90"/>
    <w:rsid w:val="002B70C7"/>
    <w:rsid w:val="002B7157"/>
    <w:rsid w:val="002B7187"/>
    <w:rsid w:val="002B7192"/>
    <w:rsid w:val="002B71AA"/>
    <w:rsid w:val="002B7275"/>
    <w:rsid w:val="002B72E1"/>
    <w:rsid w:val="002B7393"/>
    <w:rsid w:val="002B752F"/>
    <w:rsid w:val="002B766A"/>
    <w:rsid w:val="002B7756"/>
    <w:rsid w:val="002B7784"/>
    <w:rsid w:val="002B781F"/>
    <w:rsid w:val="002B7878"/>
    <w:rsid w:val="002B78CA"/>
    <w:rsid w:val="002B792D"/>
    <w:rsid w:val="002B7956"/>
    <w:rsid w:val="002B79CC"/>
    <w:rsid w:val="002B79EA"/>
    <w:rsid w:val="002B79FB"/>
    <w:rsid w:val="002B7A75"/>
    <w:rsid w:val="002B7AED"/>
    <w:rsid w:val="002B7B6C"/>
    <w:rsid w:val="002B7BA0"/>
    <w:rsid w:val="002B7BFC"/>
    <w:rsid w:val="002B7F3F"/>
    <w:rsid w:val="002B7FAA"/>
    <w:rsid w:val="002C0059"/>
    <w:rsid w:val="002C0074"/>
    <w:rsid w:val="002C00CC"/>
    <w:rsid w:val="002C01A8"/>
    <w:rsid w:val="002C022F"/>
    <w:rsid w:val="002C0265"/>
    <w:rsid w:val="002C0339"/>
    <w:rsid w:val="002C03AC"/>
    <w:rsid w:val="002C03EC"/>
    <w:rsid w:val="002C0545"/>
    <w:rsid w:val="002C0607"/>
    <w:rsid w:val="002C06CD"/>
    <w:rsid w:val="002C0744"/>
    <w:rsid w:val="002C07E7"/>
    <w:rsid w:val="002C0843"/>
    <w:rsid w:val="002C08B1"/>
    <w:rsid w:val="002C092F"/>
    <w:rsid w:val="002C09C8"/>
    <w:rsid w:val="002C0A30"/>
    <w:rsid w:val="002C0AB4"/>
    <w:rsid w:val="002C0ADA"/>
    <w:rsid w:val="002C0B0D"/>
    <w:rsid w:val="002C0B4D"/>
    <w:rsid w:val="002C0CC9"/>
    <w:rsid w:val="002C0DC5"/>
    <w:rsid w:val="002C0E46"/>
    <w:rsid w:val="002C0EF1"/>
    <w:rsid w:val="002C0F14"/>
    <w:rsid w:val="002C0F23"/>
    <w:rsid w:val="002C0FE4"/>
    <w:rsid w:val="002C107E"/>
    <w:rsid w:val="002C1151"/>
    <w:rsid w:val="002C11C5"/>
    <w:rsid w:val="002C13C5"/>
    <w:rsid w:val="002C148A"/>
    <w:rsid w:val="002C150C"/>
    <w:rsid w:val="002C1630"/>
    <w:rsid w:val="002C1631"/>
    <w:rsid w:val="002C166E"/>
    <w:rsid w:val="002C16E6"/>
    <w:rsid w:val="002C1712"/>
    <w:rsid w:val="002C1739"/>
    <w:rsid w:val="002C1770"/>
    <w:rsid w:val="002C17EE"/>
    <w:rsid w:val="002C18FC"/>
    <w:rsid w:val="002C19E5"/>
    <w:rsid w:val="002C1A17"/>
    <w:rsid w:val="002C1A86"/>
    <w:rsid w:val="002C1A91"/>
    <w:rsid w:val="002C1AFC"/>
    <w:rsid w:val="002C1B83"/>
    <w:rsid w:val="002C1BA4"/>
    <w:rsid w:val="002C1BAF"/>
    <w:rsid w:val="002C1BB7"/>
    <w:rsid w:val="002C1BE0"/>
    <w:rsid w:val="002C1BE8"/>
    <w:rsid w:val="002C1CAC"/>
    <w:rsid w:val="002C1CC5"/>
    <w:rsid w:val="002C1DE9"/>
    <w:rsid w:val="002C1E96"/>
    <w:rsid w:val="002C1F81"/>
    <w:rsid w:val="002C1FAD"/>
    <w:rsid w:val="002C1FE6"/>
    <w:rsid w:val="002C218A"/>
    <w:rsid w:val="002C219A"/>
    <w:rsid w:val="002C21E0"/>
    <w:rsid w:val="002C2201"/>
    <w:rsid w:val="002C2298"/>
    <w:rsid w:val="002C22EF"/>
    <w:rsid w:val="002C239E"/>
    <w:rsid w:val="002C23EE"/>
    <w:rsid w:val="002C2431"/>
    <w:rsid w:val="002C248F"/>
    <w:rsid w:val="002C256E"/>
    <w:rsid w:val="002C260B"/>
    <w:rsid w:val="002C26D5"/>
    <w:rsid w:val="002C271F"/>
    <w:rsid w:val="002C2769"/>
    <w:rsid w:val="002C27C0"/>
    <w:rsid w:val="002C2833"/>
    <w:rsid w:val="002C284C"/>
    <w:rsid w:val="002C28A2"/>
    <w:rsid w:val="002C29A1"/>
    <w:rsid w:val="002C2A1F"/>
    <w:rsid w:val="002C2A64"/>
    <w:rsid w:val="002C2AC5"/>
    <w:rsid w:val="002C2ACD"/>
    <w:rsid w:val="002C2B9B"/>
    <w:rsid w:val="002C2BCB"/>
    <w:rsid w:val="002C2C9A"/>
    <w:rsid w:val="002C2CAD"/>
    <w:rsid w:val="002C2DD7"/>
    <w:rsid w:val="002C2EC0"/>
    <w:rsid w:val="002C2EDB"/>
    <w:rsid w:val="002C2F4F"/>
    <w:rsid w:val="002C309A"/>
    <w:rsid w:val="002C30AD"/>
    <w:rsid w:val="002C3196"/>
    <w:rsid w:val="002C31DB"/>
    <w:rsid w:val="002C31E9"/>
    <w:rsid w:val="002C3413"/>
    <w:rsid w:val="002C3483"/>
    <w:rsid w:val="002C3570"/>
    <w:rsid w:val="002C3574"/>
    <w:rsid w:val="002C357C"/>
    <w:rsid w:val="002C3587"/>
    <w:rsid w:val="002C35CA"/>
    <w:rsid w:val="002C35EF"/>
    <w:rsid w:val="002C3603"/>
    <w:rsid w:val="002C3772"/>
    <w:rsid w:val="002C3885"/>
    <w:rsid w:val="002C38B9"/>
    <w:rsid w:val="002C39E3"/>
    <w:rsid w:val="002C3A81"/>
    <w:rsid w:val="002C3B49"/>
    <w:rsid w:val="002C3BF0"/>
    <w:rsid w:val="002C3C18"/>
    <w:rsid w:val="002C3C4B"/>
    <w:rsid w:val="002C3C7E"/>
    <w:rsid w:val="002C3D53"/>
    <w:rsid w:val="002C3D8C"/>
    <w:rsid w:val="002C3E31"/>
    <w:rsid w:val="002C3F49"/>
    <w:rsid w:val="002C401A"/>
    <w:rsid w:val="002C4037"/>
    <w:rsid w:val="002C4199"/>
    <w:rsid w:val="002C429B"/>
    <w:rsid w:val="002C42B1"/>
    <w:rsid w:val="002C4307"/>
    <w:rsid w:val="002C436E"/>
    <w:rsid w:val="002C4393"/>
    <w:rsid w:val="002C4467"/>
    <w:rsid w:val="002C45EA"/>
    <w:rsid w:val="002C4604"/>
    <w:rsid w:val="002C463D"/>
    <w:rsid w:val="002C46BE"/>
    <w:rsid w:val="002C4843"/>
    <w:rsid w:val="002C48D7"/>
    <w:rsid w:val="002C49D4"/>
    <w:rsid w:val="002C4A51"/>
    <w:rsid w:val="002C4AA7"/>
    <w:rsid w:val="002C4B24"/>
    <w:rsid w:val="002C4C06"/>
    <w:rsid w:val="002C4D6F"/>
    <w:rsid w:val="002C4D97"/>
    <w:rsid w:val="002C4DA6"/>
    <w:rsid w:val="002C4DE0"/>
    <w:rsid w:val="002C4EFA"/>
    <w:rsid w:val="002C4F0B"/>
    <w:rsid w:val="002C4FFE"/>
    <w:rsid w:val="002C500B"/>
    <w:rsid w:val="002C50F7"/>
    <w:rsid w:val="002C5113"/>
    <w:rsid w:val="002C52A8"/>
    <w:rsid w:val="002C52F9"/>
    <w:rsid w:val="002C532B"/>
    <w:rsid w:val="002C5347"/>
    <w:rsid w:val="002C53A3"/>
    <w:rsid w:val="002C5426"/>
    <w:rsid w:val="002C545B"/>
    <w:rsid w:val="002C558E"/>
    <w:rsid w:val="002C5662"/>
    <w:rsid w:val="002C5760"/>
    <w:rsid w:val="002C5767"/>
    <w:rsid w:val="002C5892"/>
    <w:rsid w:val="002C58EF"/>
    <w:rsid w:val="002C59D3"/>
    <w:rsid w:val="002C5AB5"/>
    <w:rsid w:val="002C5B40"/>
    <w:rsid w:val="002C5B73"/>
    <w:rsid w:val="002C5D50"/>
    <w:rsid w:val="002C5D85"/>
    <w:rsid w:val="002C5E67"/>
    <w:rsid w:val="002C5E9B"/>
    <w:rsid w:val="002C5EE4"/>
    <w:rsid w:val="002C5EE5"/>
    <w:rsid w:val="002C5EF3"/>
    <w:rsid w:val="002C5F50"/>
    <w:rsid w:val="002C5FB7"/>
    <w:rsid w:val="002C6127"/>
    <w:rsid w:val="002C61C5"/>
    <w:rsid w:val="002C6224"/>
    <w:rsid w:val="002C6284"/>
    <w:rsid w:val="002C62E1"/>
    <w:rsid w:val="002C637E"/>
    <w:rsid w:val="002C643B"/>
    <w:rsid w:val="002C64D1"/>
    <w:rsid w:val="002C6592"/>
    <w:rsid w:val="002C65FD"/>
    <w:rsid w:val="002C6640"/>
    <w:rsid w:val="002C66C9"/>
    <w:rsid w:val="002C66F5"/>
    <w:rsid w:val="002C6748"/>
    <w:rsid w:val="002C6820"/>
    <w:rsid w:val="002C68CC"/>
    <w:rsid w:val="002C68FE"/>
    <w:rsid w:val="002C6958"/>
    <w:rsid w:val="002C69DE"/>
    <w:rsid w:val="002C6A43"/>
    <w:rsid w:val="002C6D00"/>
    <w:rsid w:val="002C6D53"/>
    <w:rsid w:val="002C6DF9"/>
    <w:rsid w:val="002C6E3C"/>
    <w:rsid w:val="002C6E54"/>
    <w:rsid w:val="002C6E59"/>
    <w:rsid w:val="002C6EC8"/>
    <w:rsid w:val="002C7014"/>
    <w:rsid w:val="002C7081"/>
    <w:rsid w:val="002C7120"/>
    <w:rsid w:val="002C7166"/>
    <w:rsid w:val="002C71F2"/>
    <w:rsid w:val="002C7280"/>
    <w:rsid w:val="002C7281"/>
    <w:rsid w:val="002C732E"/>
    <w:rsid w:val="002C7435"/>
    <w:rsid w:val="002C75D8"/>
    <w:rsid w:val="002C76BA"/>
    <w:rsid w:val="002C76CC"/>
    <w:rsid w:val="002C7718"/>
    <w:rsid w:val="002C7764"/>
    <w:rsid w:val="002C7767"/>
    <w:rsid w:val="002C7780"/>
    <w:rsid w:val="002C7788"/>
    <w:rsid w:val="002C77BA"/>
    <w:rsid w:val="002C7852"/>
    <w:rsid w:val="002C78E1"/>
    <w:rsid w:val="002C7A31"/>
    <w:rsid w:val="002C7AFA"/>
    <w:rsid w:val="002C7B0D"/>
    <w:rsid w:val="002C7C25"/>
    <w:rsid w:val="002C7C40"/>
    <w:rsid w:val="002C7C77"/>
    <w:rsid w:val="002C7CE6"/>
    <w:rsid w:val="002C7D4D"/>
    <w:rsid w:val="002C7D6E"/>
    <w:rsid w:val="002C7E1F"/>
    <w:rsid w:val="002C7F7B"/>
    <w:rsid w:val="002C7FB1"/>
    <w:rsid w:val="002D003B"/>
    <w:rsid w:val="002D00A5"/>
    <w:rsid w:val="002D01E2"/>
    <w:rsid w:val="002D02EE"/>
    <w:rsid w:val="002D0381"/>
    <w:rsid w:val="002D03A9"/>
    <w:rsid w:val="002D04B3"/>
    <w:rsid w:val="002D05D0"/>
    <w:rsid w:val="002D063B"/>
    <w:rsid w:val="002D074A"/>
    <w:rsid w:val="002D0754"/>
    <w:rsid w:val="002D0767"/>
    <w:rsid w:val="002D07B1"/>
    <w:rsid w:val="002D0835"/>
    <w:rsid w:val="002D0886"/>
    <w:rsid w:val="002D08F4"/>
    <w:rsid w:val="002D0A02"/>
    <w:rsid w:val="002D0A4B"/>
    <w:rsid w:val="002D0A62"/>
    <w:rsid w:val="002D0A69"/>
    <w:rsid w:val="002D0A97"/>
    <w:rsid w:val="002D0B3D"/>
    <w:rsid w:val="002D0C00"/>
    <w:rsid w:val="002D0C1E"/>
    <w:rsid w:val="002D0C83"/>
    <w:rsid w:val="002D0D23"/>
    <w:rsid w:val="002D0D4A"/>
    <w:rsid w:val="002D0E6F"/>
    <w:rsid w:val="002D0E75"/>
    <w:rsid w:val="002D0EE9"/>
    <w:rsid w:val="002D0F17"/>
    <w:rsid w:val="002D0F1B"/>
    <w:rsid w:val="002D0F6F"/>
    <w:rsid w:val="002D1042"/>
    <w:rsid w:val="002D10A8"/>
    <w:rsid w:val="002D1131"/>
    <w:rsid w:val="002D11E9"/>
    <w:rsid w:val="002D1278"/>
    <w:rsid w:val="002D1287"/>
    <w:rsid w:val="002D12D9"/>
    <w:rsid w:val="002D13A8"/>
    <w:rsid w:val="002D14C2"/>
    <w:rsid w:val="002D1564"/>
    <w:rsid w:val="002D15D5"/>
    <w:rsid w:val="002D17C6"/>
    <w:rsid w:val="002D18B1"/>
    <w:rsid w:val="002D196C"/>
    <w:rsid w:val="002D1AB5"/>
    <w:rsid w:val="002D1BCD"/>
    <w:rsid w:val="002D1CB3"/>
    <w:rsid w:val="002D1E56"/>
    <w:rsid w:val="002D204E"/>
    <w:rsid w:val="002D20BB"/>
    <w:rsid w:val="002D2244"/>
    <w:rsid w:val="002D236F"/>
    <w:rsid w:val="002D23CA"/>
    <w:rsid w:val="002D2549"/>
    <w:rsid w:val="002D2595"/>
    <w:rsid w:val="002D259B"/>
    <w:rsid w:val="002D25D6"/>
    <w:rsid w:val="002D2619"/>
    <w:rsid w:val="002D26A9"/>
    <w:rsid w:val="002D26C5"/>
    <w:rsid w:val="002D2763"/>
    <w:rsid w:val="002D27A5"/>
    <w:rsid w:val="002D2830"/>
    <w:rsid w:val="002D289B"/>
    <w:rsid w:val="002D28F8"/>
    <w:rsid w:val="002D2930"/>
    <w:rsid w:val="002D2A3A"/>
    <w:rsid w:val="002D2A89"/>
    <w:rsid w:val="002D2AE3"/>
    <w:rsid w:val="002D2AEF"/>
    <w:rsid w:val="002D2C35"/>
    <w:rsid w:val="002D2C6A"/>
    <w:rsid w:val="002D2CC2"/>
    <w:rsid w:val="002D2DB2"/>
    <w:rsid w:val="002D2E6B"/>
    <w:rsid w:val="002D2E7D"/>
    <w:rsid w:val="002D2E9C"/>
    <w:rsid w:val="002D2F07"/>
    <w:rsid w:val="002D3028"/>
    <w:rsid w:val="002D3095"/>
    <w:rsid w:val="002D310B"/>
    <w:rsid w:val="002D312F"/>
    <w:rsid w:val="002D315E"/>
    <w:rsid w:val="002D31EB"/>
    <w:rsid w:val="002D3201"/>
    <w:rsid w:val="002D32D5"/>
    <w:rsid w:val="002D3328"/>
    <w:rsid w:val="002D3380"/>
    <w:rsid w:val="002D3571"/>
    <w:rsid w:val="002D3656"/>
    <w:rsid w:val="002D3744"/>
    <w:rsid w:val="002D375E"/>
    <w:rsid w:val="002D3768"/>
    <w:rsid w:val="002D37CA"/>
    <w:rsid w:val="002D37CE"/>
    <w:rsid w:val="002D3820"/>
    <w:rsid w:val="002D3859"/>
    <w:rsid w:val="002D3864"/>
    <w:rsid w:val="002D3876"/>
    <w:rsid w:val="002D38A7"/>
    <w:rsid w:val="002D38CB"/>
    <w:rsid w:val="002D392D"/>
    <w:rsid w:val="002D3954"/>
    <w:rsid w:val="002D3985"/>
    <w:rsid w:val="002D39AF"/>
    <w:rsid w:val="002D3A0A"/>
    <w:rsid w:val="002D3B8B"/>
    <w:rsid w:val="002D3BB1"/>
    <w:rsid w:val="002D3CAF"/>
    <w:rsid w:val="002D3CD3"/>
    <w:rsid w:val="002D3D43"/>
    <w:rsid w:val="002D3D5D"/>
    <w:rsid w:val="002D3E3E"/>
    <w:rsid w:val="002D3EAD"/>
    <w:rsid w:val="002D3EE9"/>
    <w:rsid w:val="002D3F18"/>
    <w:rsid w:val="002D3F4C"/>
    <w:rsid w:val="002D4079"/>
    <w:rsid w:val="002D4091"/>
    <w:rsid w:val="002D40AB"/>
    <w:rsid w:val="002D4317"/>
    <w:rsid w:val="002D4443"/>
    <w:rsid w:val="002D4501"/>
    <w:rsid w:val="002D452C"/>
    <w:rsid w:val="002D45BD"/>
    <w:rsid w:val="002D4605"/>
    <w:rsid w:val="002D46EA"/>
    <w:rsid w:val="002D47E5"/>
    <w:rsid w:val="002D4955"/>
    <w:rsid w:val="002D4BEE"/>
    <w:rsid w:val="002D4C23"/>
    <w:rsid w:val="002D4C27"/>
    <w:rsid w:val="002D4C4D"/>
    <w:rsid w:val="002D4EAC"/>
    <w:rsid w:val="002D4EB8"/>
    <w:rsid w:val="002D4F24"/>
    <w:rsid w:val="002D4FEF"/>
    <w:rsid w:val="002D5121"/>
    <w:rsid w:val="002D5157"/>
    <w:rsid w:val="002D515D"/>
    <w:rsid w:val="002D5222"/>
    <w:rsid w:val="002D52B9"/>
    <w:rsid w:val="002D52D2"/>
    <w:rsid w:val="002D5354"/>
    <w:rsid w:val="002D5396"/>
    <w:rsid w:val="002D53F8"/>
    <w:rsid w:val="002D555C"/>
    <w:rsid w:val="002D558D"/>
    <w:rsid w:val="002D56BA"/>
    <w:rsid w:val="002D56C3"/>
    <w:rsid w:val="002D58AD"/>
    <w:rsid w:val="002D5B42"/>
    <w:rsid w:val="002D5C30"/>
    <w:rsid w:val="002D5C7F"/>
    <w:rsid w:val="002D5D27"/>
    <w:rsid w:val="002D5E12"/>
    <w:rsid w:val="002D5E20"/>
    <w:rsid w:val="002D5EBE"/>
    <w:rsid w:val="002D5F32"/>
    <w:rsid w:val="002D609C"/>
    <w:rsid w:val="002D60AB"/>
    <w:rsid w:val="002D60AD"/>
    <w:rsid w:val="002D6163"/>
    <w:rsid w:val="002D6175"/>
    <w:rsid w:val="002D61E1"/>
    <w:rsid w:val="002D622B"/>
    <w:rsid w:val="002D62B3"/>
    <w:rsid w:val="002D636B"/>
    <w:rsid w:val="002D6370"/>
    <w:rsid w:val="002D63AA"/>
    <w:rsid w:val="002D63C6"/>
    <w:rsid w:val="002D63CE"/>
    <w:rsid w:val="002D6408"/>
    <w:rsid w:val="002D6463"/>
    <w:rsid w:val="002D6464"/>
    <w:rsid w:val="002D64AB"/>
    <w:rsid w:val="002D64C1"/>
    <w:rsid w:val="002D64E3"/>
    <w:rsid w:val="002D6519"/>
    <w:rsid w:val="002D656D"/>
    <w:rsid w:val="002D65FC"/>
    <w:rsid w:val="002D688C"/>
    <w:rsid w:val="002D6940"/>
    <w:rsid w:val="002D695B"/>
    <w:rsid w:val="002D69FD"/>
    <w:rsid w:val="002D6A83"/>
    <w:rsid w:val="002D6B73"/>
    <w:rsid w:val="002D6B92"/>
    <w:rsid w:val="002D6C6D"/>
    <w:rsid w:val="002D6DBB"/>
    <w:rsid w:val="002D6E91"/>
    <w:rsid w:val="002D6EF2"/>
    <w:rsid w:val="002D6EF4"/>
    <w:rsid w:val="002D705D"/>
    <w:rsid w:val="002D7108"/>
    <w:rsid w:val="002D710C"/>
    <w:rsid w:val="002D7175"/>
    <w:rsid w:val="002D7343"/>
    <w:rsid w:val="002D737D"/>
    <w:rsid w:val="002D7457"/>
    <w:rsid w:val="002D7478"/>
    <w:rsid w:val="002D74C1"/>
    <w:rsid w:val="002D74E3"/>
    <w:rsid w:val="002D74EF"/>
    <w:rsid w:val="002D7566"/>
    <w:rsid w:val="002D757F"/>
    <w:rsid w:val="002D764D"/>
    <w:rsid w:val="002D76CC"/>
    <w:rsid w:val="002D7708"/>
    <w:rsid w:val="002D7710"/>
    <w:rsid w:val="002D7846"/>
    <w:rsid w:val="002D7862"/>
    <w:rsid w:val="002D7981"/>
    <w:rsid w:val="002D7A5E"/>
    <w:rsid w:val="002D7B15"/>
    <w:rsid w:val="002D7B48"/>
    <w:rsid w:val="002D7B72"/>
    <w:rsid w:val="002D7BA6"/>
    <w:rsid w:val="002D7C86"/>
    <w:rsid w:val="002D7CDC"/>
    <w:rsid w:val="002D7E93"/>
    <w:rsid w:val="002E00F1"/>
    <w:rsid w:val="002E032D"/>
    <w:rsid w:val="002E03AF"/>
    <w:rsid w:val="002E0431"/>
    <w:rsid w:val="002E0458"/>
    <w:rsid w:val="002E047C"/>
    <w:rsid w:val="002E0491"/>
    <w:rsid w:val="002E04A9"/>
    <w:rsid w:val="002E053F"/>
    <w:rsid w:val="002E0592"/>
    <w:rsid w:val="002E0614"/>
    <w:rsid w:val="002E07DE"/>
    <w:rsid w:val="002E0806"/>
    <w:rsid w:val="002E0836"/>
    <w:rsid w:val="002E0896"/>
    <w:rsid w:val="002E094A"/>
    <w:rsid w:val="002E0969"/>
    <w:rsid w:val="002E0975"/>
    <w:rsid w:val="002E09A0"/>
    <w:rsid w:val="002E09DF"/>
    <w:rsid w:val="002E0ADF"/>
    <w:rsid w:val="002E0B47"/>
    <w:rsid w:val="002E0BF0"/>
    <w:rsid w:val="002E0C2C"/>
    <w:rsid w:val="002E0C60"/>
    <w:rsid w:val="002E0C80"/>
    <w:rsid w:val="002E0D09"/>
    <w:rsid w:val="002E0D56"/>
    <w:rsid w:val="002E0E6C"/>
    <w:rsid w:val="002E0ED1"/>
    <w:rsid w:val="002E0F1D"/>
    <w:rsid w:val="002E0F74"/>
    <w:rsid w:val="002E0FB6"/>
    <w:rsid w:val="002E1016"/>
    <w:rsid w:val="002E10A5"/>
    <w:rsid w:val="002E10D4"/>
    <w:rsid w:val="002E10EF"/>
    <w:rsid w:val="002E111D"/>
    <w:rsid w:val="002E1154"/>
    <w:rsid w:val="002E11F5"/>
    <w:rsid w:val="002E1276"/>
    <w:rsid w:val="002E130F"/>
    <w:rsid w:val="002E1315"/>
    <w:rsid w:val="002E138A"/>
    <w:rsid w:val="002E1448"/>
    <w:rsid w:val="002E149D"/>
    <w:rsid w:val="002E159D"/>
    <w:rsid w:val="002E16C2"/>
    <w:rsid w:val="002E16C8"/>
    <w:rsid w:val="002E16F3"/>
    <w:rsid w:val="002E18CC"/>
    <w:rsid w:val="002E1936"/>
    <w:rsid w:val="002E194F"/>
    <w:rsid w:val="002E19F2"/>
    <w:rsid w:val="002E1A99"/>
    <w:rsid w:val="002E1B56"/>
    <w:rsid w:val="002E1B5F"/>
    <w:rsid w:val="002E1BC4"/>
    <w:rsid w:val="002E1D64"/>
    <w:rsid w:val="002E1D90"/>
    <w:rsid w:val="002E1E9F"/>
    <w:rsid w:val="002E1ECA"/>
    <w:rsid w:val="002E1F98"/>
    <w:rsid w:val="002E1FB2"/>
    <w:rsid w:val="002E200E"/>
    <w:rsid w:val="002E2027"/>
    <w:rsid w:val="002E20BC"/>
    <w:rsid w:val="002E2289"/>
    <w:rsid w:val="002E2344"/>
    <w:rsid w:val="002E2457"/>
    <w:rsid w:val="002E253F"/>
    <w:rsid w:val="002E2567"/>
    <w:rsid w:val="002E259C"/>
    <w:rsid w:val="002E2650"/>
    <w:rsid w:val="002E2712"/>
    <w:rsid w:val="002E2747"/>
    <w:rsid w:val="002E2780"/>
    <w:rsid w:val="002E279D"/>
    <w:rsid w:val="002E2822"/>
    <w:rsid w:val="002E28AA"/>
    <w:rsid w:val="002E29CD"/>
    <w:rsid w:val="002E2ABD"/>
    <w:rsid w:val="002E2B68"/>
    <w:rsid w:val="002E2BC4"/>
    <w:rsid w:val="002E2C96"/>
    <w:rsid w:val="002E2CB8"/>
    <w:rsid w:val="002E2CC3"/>
    <w:rsid w:val="002E2CE2"/>
    <w:rsid w:val="002E2D10"/>
    <w:rsid w:val="002E2DD7"/>
    <w:rsid w:val="002E2E03"/>
    <w:rsid w:val="002E2EC2"/>
    <w:rsid w:val="002E2F01"/>
    <w:rsid w:val="002E2F17"/>
    <w:rsid w:val="002E3015"/>
    <w:rsid w:val="002E3074"/>
    <w:rsid w:val="002E3086"/>
    <w:rsid w:val="002E30F8"/>
    <w:rsid w:val="002E311B"/>
    <w:rsid w:val="002E3266"/>
    <w:rsid w:val="002E328F"/>
    <w:rsid w:val="002E329E"/>
    <w:rsid w:val="002E32F5"/>
    <w:rsid w:val="002E3325"/>
    <w:rsid w:val="002E334A"/>
    <w:rsid w:val="002E342B"/>
    <w:rsid w:val="002E3481"/>
    <w:rsid w:val="002E34E7"/>
    <w:rsid w:val="002E351A"/>
    <w:rsid w:val="002E3670"/>
    <w:rsid w:val="002E3815"/>
    <w:rsid w:val="002E38EF"/>
    <w:rsid w:val="002E39AA"/>
    <w:rsid w:val="002E39C1"/>
    <w:rsid w:val="002E39E3"/>
    <w:rsid w:val="002E3B5E"/>
    <w:rsid w:val="002E3C37"/>
    <w:rsid w:val="002E3CB6"/>
    <w:rsid w:val="002E3CEA"/>
    <w:rsid w:val="002E3CF4"/>
    <w:rsid w:val="002E3DB9"/>
    <w:rsid w:val="002E3DC3"/>
    <w:rsid w:val="002E3DF4"/>
    <w:rsid w:val="002E3E03"/>
    <w:rsid w:val="002E3E25"/>
    <w:rsid w:val="002E3E3D"/>
    <w:rsid w:val="002E3FD2"/>
    <w:rsid w:val="002E3FD9"/>
    <w:rsid w:val="002E3FF8"/>
    <w:rsid w:val="002E4052"/>
    <w:rsid w:val="002E41ED"/>
    <w:rsid w:val="002E41FB"/>
    <w:rsid w:val="002E4269"/>
    <w:rsid w:val="002E428F"/>
    <w:rsid w:val="002E43DB"/>
    <w:rsid w:val="002E43FC"/>
    <w:rsid w:val="002E4489"/>
    <w:rsid w:val="002E44E5"/>
    <w:rsid w:val="002E454C"/>
    <w:rsid w:val="002E45E9"/>
    <w:rsid w:val="002E463B"/>
    <w:rsid w:val="002E46C1"/>
    <w:rsid w:val="002E4754"/>
    <w:rsid w:val="002E4799"/>
    <w:rsid w:val="002E48E5"/>
    <w:rsid w:val="002E48FC"/>
    <w:rsid w:val="002E491C"/>
    <w:rsid w:val="002E4936"/>
    <w:rsid w:val="002E49B9"/>
    <w:rsid w:val="002E49CA"/>
    <w:rsid w:val="002E49D1"/>
    <w:rsid w:val="002E4AE6"/>
    <w:rsid w:val="002E4AF8"/>
    <w:rsid w:val="002E4B26"/>
    <w:rsid w:val="002E4B2A"/>
    <w:rsid w:val="002E4B5A"/>
    <w:rsid w:val="002E4B95"/>
    <w:rsid w:val="002E4BE8"/>
    <w:rsid w:val="002E4BFF"/>
    <w:rsid w:val="002E4CDE"/>
    <w:rsid w:val="002E4D1B"/>
    <w:rsid w:val="002E4D7A"/>
    <w:rsid w:val="002E4DD3"/>
    <w:rsid w:val="002E4E25"/>
    <w:rsid w:val="002E4E67"/>
    <w:rsid w:val="002E4F10"/>
    <w:rsid w:val="002E4FC0"/>
    <w:rsid w:val="002E5031"/>
    <w:rsid w:val="002E5036"/>
    <w:rsid w:val="002E507D"/>
    <w:rsid w:val="002E5191"/>
    <w:rsid w:val="002E51D6"/>
    <w:rsid w:val="002E525B"/>
    <w:rsid w:val="002E52AA"/>
    <w:rsid w:val="002E52D6"/>
    <w:rsid w:val="002E53DD"/>
    <w:rsid w:val="002E5474"/>
    <w:rsid w:val="002E54A2"/>
    <w:rsid w:val="002E556E"/>
    <w:rsid w:val="002E562C"/>
    <w:rsid w:val="002E57FF"/>
    <w:rsid w:val="002E5879"/>
    <w:rsid w:val="002E5929"/>
    <w:rsid w:val="002E598A"/>
    <w:rsid w:val="002E5A39"/>
    <w:rsid w:val="002E5AF5"/>
    <w:rsid w:val="002E5B32"/>
    <w:rsid w:val="002E5CC2"/>
    <w:rsid w:val="002E5CFB"/>
    <w:rsid w:val="002E5D0A"/>
    <w:rsid w:val="002E5DB2"/>
    <w:rsid w:val="002E5E83"/>
    <w:rsid w:val="002E5EE0"/>
    <w:rsid w:val="002E5FD1"/>
    <w:rsid w:val="002E600E"/>
    <w:rsid w:val="002E6118"/>
    <w:rsid w:val="002E615F"/>
    <w:rsid w:val="002E6180"/>
    <w:rsid w:val="002E61A7"/>
    <w:rsid w:val="002E629A"/>
    <w:rsid w:val="002E62EE"/>
    <w:rsid w:val="002E6309"/>
    <w:rsid w:val="002E6315"/>
    <w:rsid w:val="002E64E7"/>
    <w:rsid w:val="002E64F1"/>
    <w:rsid w:val="002E6578"/>
    <w:rsid w:val="002E657C"/>
    <w:rsid w:val="002E6591"/>
    <w:rsid w:val="002E65AB"/>
    <w:rsid w:val="002E65B8"/>
    <w:rsid w:val="002E65C3"/>
    <w:rsid w:val="002E66E6"/>
    <w:rsid w:val="002E6736"/>
    <w:rsid w:val="002E68EA"/>
    <w:rsid w:val="002E6933"/>
    <w:rsid w:val="002E6B6B"/>
    <w:rsid w:val="002E6C10"/>
    <w:rsid w:val="002E6C6E"/>
    <w:rsid w:val="002E6C7F"/>
    <w:rsid w:val="002E6D80"/>
    <w:rsid w:val="002E6D92"/>
    <w:rsid w:val="002E6E5B"/>
    <w:rsid w:val="002E6E69"/>
    <w:rsid w:val="002E6EFC"/>
    <w:rsid w:val="002E6F9B"/>
    <w:rsid w:val="002E6FAA"/>
    <w:rsid w:val="002E6FCE"/>
    <w:rsid w:val="002E7028"/>
    <w:rsid w:val="002E7072"/>
    <w:rsid w:val="002E7198"/>
    <w:rsid w:val="002E71C3"/>
    <w:rsid w:val="002E7304"/>
    <w:rsid w:val="002E73A9"/>
    <w:rsid w:val="002E754B"/>
    <w:rsid w:val="002E75E6"/>
    <w:rsid w:val="002E769C"/>
    <w:rsid w:val="002E771B"/>
    <w:rsid w:val="002E7723"/>
    <w:rsid w:val="002E77CC"/>
    <w:rsid w:val="002E781D"/>
    <w:rsid w:val="002E7879"/>
    <w:rsid w:val="002E78BB"/>
    <w:rsid w:val="002E79CF"/>
    <w:rsid w:val="002E7A52"/>
    <w:rsid w:val="002E7AD7"/>
    <w:rsid w:val="002E7AF7"/>
    <w:rsid w:val="002E7B05"/>
    <w:rsid w:val="002E7B06"/>
    <w:rsid w:val="002E7B1A"/>
    <w:rsid w:val="002E7CD7"/>
    <w:rsid w:val="002E7CF0"/>
    <w:rsid w:val="002E7D6D"/>
    <w:rsid w:val="002E7DEF"/>
    <w:rsid w:val="002E7DF4"/>
    <w:rsid w:val="002E7E32"/>
    <w:rsid w:val="002E7E55"/>
    <w:rsid w:val="002E7E76"/>
    <w:rsid w:val="002E7EA6"/>
    <w:rsid w:val="002E7EB5"/>
    <w:rsid w:val="002E7EEE"/>
    <w:rsid w:val="002F00F0"/>
    <w:rsid w:val="002F00F9"/>
    <w:rsid w:val="002F0137"/>
    <w:rsid w:val="002F0184"/>
    <w:rsid w:val="002F0240"/>
    <w:rsid w:val="002F0341"/>
    <w:rsid w:val="002F039C"/>
    <w:rsid w:val="002F04DE"/>
    <w:rsid w:val="002F0591"/>
    <w:rsid w:val="002F0677"/>
    <w:rsid w:val="002F073D"/>
    <w:rsid w:val="002F0756"/>
    <w:rsid w:val="002F0859"/>
    <w:rsid w:val="002F0949"/>
    <w:rsid w:val="002F09E4"/>
    <w:rsid w:val="002F0A1B"/>
    <w:rsid w:val="002F0A34"/>
    <w:rsid w:val="002F0B05"/>
    <w:rsid w:val="002F0B4D"/>
    <w:rsid w:val="002F0B5A"/>
    <w:rsid w:val="002F0B82"/>
    <w:rsid w:val="002F0BCA"/>
    <w:rsid w:val="002F0BF2"/>
    <w:rsid w:val="002F0C7B"/>
    <w:rsid w:val="002F0E85"/>
    <w:rsid w:val="002F0ECA"/>
    <w:rsid w:val="002F0F2F"/>
    <w:rsid w:val="002F0F43"/>
    <w:rsid w:val="002F10C2"/>
    <w:rsid w:val="002F1187"/>
    <w:rsid w:val="002F127A"/>
    <w:rsid w:val="002F12DF"/>
    <w:rsid w:val="002F12E1"/>
    <w:rsid w:val="002F139C"/>
    <w:rsid w:val="002F13F1"/>
    <w:rsid w:val="002F144D"/>
    <w:rsid w:val="002F1480"/>
    <w:rsid w:val="002F1508"/>
    <w:rsid w:val="002F151F"/>
    <w:rsid w:val="002F166C"/>
    <w:rsid w:val="002F195A"/>
    <w:rsid w:val="002F1964"/>
    <w:rsid w:val="002F1996"/>
    <w:rsid w:val="002F19FA"/>
    <w:rsid w:val="002F1BC9"/>
    <w:rsid w:val="002F1BED"/>
    <w:rsid w:val="002F1D3A"/>
    <w:rsid w:val="002F1D81"/>
    <w:rsid w:val="002F1DAD"/>
    <w:rsid w:val="002F1DE0"/>
    <w:rsid w:val="002F1E12"/>
    <w:rsid w:val="002F1E54"/>
    <w:rsid w:val="002F1E74"/>
    <w:rsid w:val="002F1EAD"/>
    <w:rsid w:val="002F1F58"/>
    <w:rsid w:val="002F205D"/>
    <w:rsid w:val="002F2097"/>
    <w:rsid w:val="002F20CD"/>
    <w:rsid w:val="002F2131"/>
    <w:rsid w:val="002F21D8"/>
    <w:rsid w:val="002F225F"/>
    <w:rsid w:val="002F23E4"/>
    <w:rsid w:val="002F2521"/>
    <w:rsid w:val="002F25B6"/>
    <w:rsid w:val="002F25CA"/>
    <w:rsid w:val="002F2638"/>
    <w:rsid w:val="002F26A4"/>
    <w:rsid w:val="002F281F"/>
    <w:rsid w:val="002F2840"/>
    <w:rsid w:val="002F28EA"/>
    <w:rsid w:val="002F2A79"/>
    <w:rsid w:val="002F2B57"/>
    <w:rsid w:val="002F2B6B"/>
    <w:rsid w:val="002F2B7E"/>
    <w:rsid w:val="002F2C16"/>
    <w:rsid w:val="002F2C21"/>
    <w:rsid w:val="002F2D25"/>
    <w:rsid w:val="002F2F37"/>
    <w:rsid w:val="002F30B9"/>
    <w:rsid w:val="002F3245"/>
    <w:rsid w:val="002F3348"/>
    <w:rsid w:val="002F338C"/>
    <w:rsid w:val="002F33B2"/>
    <w:rsid w:val="002F33D5"/>
    <w:rsid w:val="002F3454"/>
    <w:rsid w:val="002F345B"/>
    <w:rsid w:val="002F36DD"/>
    <w:rsid w:val="002F3711"/>
    <w:rsid w:val="002F371B"/>
    <w:rsid w:val="002F37B4"/>
    <w:rsid w:val="002F3851"/>
    <w:rsid w:val="002F38A2"/>
    <w:rsid w:val="002F3937"/>
    <w:rsid w:val="002F399F"/>
    <w:rsid w:val="002F39CB"/>
    <w:rsid w:val="002F3B1A"/>
    <w:rsid w:val="002F3C0A"/>
    <w:rsid w:val="002F3D32"/>
    <w:rsid w:val="002F3D51"/>
    <w:rsid w:val="002F3D5C"/>
    <w:rsid w:val="002F3F0E"/>
    <w:rsid w:val="002F3FD2"/>
    <w:rsid w:val="002F3FE1"/>
    <w:rsid w:val="002F3FF5"/>
    <w:rsid w:val="002F4001"/>
    <w:rsid w:val="002F410B"/>
    <w:rsid w:val="002F41A5"/>
    <w:rsid w:val="002F432A"/>
    <w:rsid w:val="002F433C"/>
    <w:rsid w:val="002F4357"/>
    <w:rsid w:val="002F43AA"/>
    <w:rsid w:val="002F43C4"/>
    <w:rsid w:val="002F4416"/>
    <w:rsid w:val="002F45A9"/>
    <w:rsid w:val="002F45F3"/>
    <w:rsid w:val="002F469B"/>
    <w:rsid w:val="002F46D6"/>
    <w:rsid w:val="002F4711"/>
    <w:rsid w:val="002F4824"/>
    <w:rsid w:val="002F4889"/>
    <w:rsid w:val="002F48FE"/>
    <w:rsid w:val="002F4978"/>
    <w:rsid w:val="002F4A8E"/>
    <w:rsid w:val="002F4AF1"/>
    <w:rsid w:val="002F4B4C"/>
    <w:rsid w:val="002F4B5F"/>
    <w:rsid w:val="002F4BA3"/>
    <w:rsid w:val="002F4C78"/>
    <w:rsid w:val="002F4CFE"/>
    <w:rsid w:val="002F4D00"/>
    <w:rsid w:val="002F4DF3"/>
    <w:rsid w:val="002F4E22"/>
    <w:rsid w:val="002F4EC3"/>
    <w:rsid w:val="002F4F8E"/>
    <w:rsid w:val="002F505A"/>
    <w:rsid w:val="002F509E"/>
    <w:rsid w:val="002F5192"/>
    <w:rsid w:val="002F51A3"/>
    <w:rsid w:val="002F51D0"/>
    <w:rsid w:val="002F525B"/>
    <w:rsid w:val="002F52CE"/>
    <w:rsid w:val="002F535D"/>
    <w:rsid w:val="002F551A"/>
    <w:rsid w:val="002F5532"/>
    <w:rsid w:val="002F5535"/>
    <w:rsid w:val="002F567A"/>
    <w:rsid w:val="002F5698"/>
    <w:rsid w:val="002F56F6"/>
    <w:rsid w:val="002F5707"/>
    <w:rsid w:val="002F5774"/>
    <w:rsid w:val="002F57A8"/>
    <w:rsid w:val="002F58A6"/>
    <w:rsid w:val="002F5905"/>
    <w:rsid w:val="002F592C"/>
    <w:rsid w:val="002F594A"/>
    <w:rsid w:val="002F594C"/>
    <w:rsid w:val="002F59FA"/>
    <w:rsid w:val="002F5A6C"/>
    <w:rsid w:val="002F5A76"/>
    <w:rsid w:val="002F5AE9"/>
    <w:rsid w:val="002F5C24"/>
    <w:rsid w:val="002F5C7E"/>
    <w:rsid w:val="002F5DAD"/>
    <w:rsid w:val="002F5E39"/>
    <w:rsid w:val="002F5EEE"/>
    <w:rsid w:val="002F5F52"/>
    <w:rsid w:val="002F5F76"/>
    <w:rsid w:val="002F5F8B"/>
    <w:rsid w:val="002F617F"/>
    <w:rsid w:val="002F61E3"/>
    <w:rsid w:val="002F62C9"/>
    <w:rsid w:val="002F634F"/>
    <w:rsid w:val="002F63B6"/>
    <w:rsid w:val="002F63B9"/>
    <w:rsid w:val="002F6428"/>
    <w:rsid w:val="002F64F0"/>
    <w:rsid w:val="002F66F9"/>
    <w:rsid w:val="002F67AD"/>
    <w:rsid w:val="002F67E0"/>
    <w:rsid w:val="002F6858"/>
    <w:rsid w:val="002F6918"/>
    <w:rsid w:val="002F6B5C"/>
    <w:rsid w:val="002F6BB4"/>
    <w:rsid w:val="002F6D2A"/>
    <w:rsid w:val="002F6F12"/>
    <w:rsid w:val="002F6FFA"/>
    <w:rsid w:val="002F7034"/>
    <w:rsid w:val="002F7099"/>
    <w:rsid w:val="002F7146"/>
    <w:rsid w:val="002F7228"/>
    <w:rsid w:val="002F7254"/>
    <w:rsid w:val="002F72A8"/>
    <w:rsid w:val="002F7303"/>
    <w:rsid w:val="002F7328"/>
    <w:rsid w:val="002F7329"/>
    <w:rsid w:val="002F7382"/>
    <w:rsid w:val="002F73EB"/>
    <w:rsid w:val="002F7419"/>
    <w:rsid w:val="002F74C7"/>
    <w:rsid w:val="002F7646"/>
    <w:rsid w:val="002F768B"/>
    <w:rsid w:val="002F76FC"/>
    <w:rsid w:val="002F777C"/>
    <w:rsid w:val="002F7794"/>
    <w:rsid w:val="002F77A4"/>
    <w:rsid w:val="002F7815"/>
    <w:rsid w:val="002F781F"/>
    <w:rsid w:val="002F79F6"/>
    <w:rsid w:val="002F7A14"/>
    <w:rsid w:val="002F7A4D"/>
    <w:rsid w:val="002F7B81"/>
    <w:rsid w:val="002F7BCC"/>
    <w:rsid w:val="002F7BD1"/>
    <w:rsid w:val="002F7D4D"/>
    <w:rsid w:val="002F7F73"/>
    <w:rsid w:val="002F7F94"/>
    <w:rsid w:val="00300034"/>
    <w:rsid w:val="003000C6"/>
    <w:rsid w:val="00300109"/>
    <w:rsid w:val="00300142"/>
    <w:rsid w:val="0030014C"/>
    <w:rsid w:val="00300151"/>
    <w:rsid w:val="00300198"/>
    <w:rsid w:val="00300576"/>
    <w:rsid w:val="00300672"/>
    <w:rsid w:val="003006F6"/>
    <w:rsid w:val="00300727"/>
    <w:rsid w:val="00300734"/>
    <w:rsid w:val="00300A1B"/>
    <w:rsid w:val="00300AF1"/>
    <w:rsid w:val="00300B13"/>
    <w:rsid w:val="00300BD8"/>
    <w:rsid w:val="00300C91"/>
    <w:rsid w:val="00300CFA"/>
    <w:rsid w:val="00300D1E"/>
    <w:rsid w:val="00300D2A"/>
    <w:rsid w:val="00300D3E"/>
    <w:rsid w:val="00300D7E"/>
    <w:rsid w:val="00300DA7"/>
    <w:rsid w:val="00300F91"/>
    <w:rsid w:val="0030105B"/>
    <w:rsid w:val="00301060"/>
    <w:rsid w:val="00301174"/>
    <w:rsid w:val="0030128F"/>
    <w:rsid w:val="00301343"/>
    <w:rsid w:val="00301420"/>
    <w:rsid w:val="00301452"/>
    <w:rsid w:val="00301472"/>
    <w:rsid w:val="003015C0"/>
    <w:rsid w:val="003015FA"/>
    <w:rsid w:val="00301754"/>
    <w:rsid w:val="00301755"/>
    <w:rsid w:val="003017C8"/>
    <w:rsid w:val="0030185D"/>
    <w:rsid w:val="0030187E"/>
    <w:rsid w:val="003018D1"/>
    <w:rsid w:val="003018DF"/>
    <w:rsid w:val="00301AC7"/>
    <w:rsid w:val="00301B61"/>
    <w:rsid w:val="00301CC7"/>
    <w:rsid w:val="00301D24"/>
    <w:rsid w:val="00301D63"/>
    <w:rsid w:val="00301E18"/>
    <w:rsid w:val="00301E42"/>
    <w:rsid w:val="00301F96"/>
    <w:rsid w:val="003020A1"/>
    <w:rsid w:val="003021A5"/>
    <w:rsid w:val="003021F3"/>
    <w:rsid w:val="00302206"/>
    <w:rsid w:val="00302301"/>
    <w:rsid w:val="00302363"/>
    <w:rsid w:val="003023C4"/>
    <w:rsid w:val="0030241F"/>
    <w:rsid w:val="00302537"/>
    <w:rsid w:val="003025F2"/>
    <w:rsid w:val="003026BA"/>
    <w:rsid w:val="00302715"/>
    <w:rsid w:val="0030274C"/>
    <w:rsid w:val="003027CB"/>
    <w:rsid w:val="00302817"/>
    <w:rsid w:val="00302881"/>
    <w:rsid w:val="0030290D"/>
    <w:rsid w:val="00302966"/>
    <w:rsid w:val="00302AC9"/>
    <w:rsid w:val="00302B2C"/>
    <w:rsid w:val="00302B62"/>
    <w:rsid w:val="00302B9E"/>
    <w:rsid w:val="00302BBC"/>
    <w:rsid w:val="00302BDA"/>
    <w:rsid w:val="00302CBD"/>
    <w:rsid w:val="00302F7E"/>
    <w:rsid w:val="00302FE1"/>
    <w:rsid w:val="00303001"/>
    <w:rsid w:val="00303297"/>
    <w:rsid w:val="00303383"/>
    <w:rsid w:val="00303444"/>
    <w:rsid w:val="0030348A"/>
    <w:rsid w:val="003034F2"/>
    <w:rsid w:val="0030358E"/>
    <w:rsid w:val="0030358F"/>
    <w:rsid w:val="00303672"/>
    <w:rsid w:val="003036D4"/>
    <w:rsid w:val="00303705"/>
    <w:rsid w:val="0030371A"/>
    <w:rsid w:val="00303832"/>
    <w:rsid w:val="0030388E"/>
    <w:rsid w:val="003038BD"/>
    <w:rsid w:val="003038C3"/>
    <w:rsid w:val="003038E6"/>
    <w:rsid w:val="00303A3E"/>
    <w:rsid w:val="00303A9E"/>
    <w:rsid w:val="00303AD2"/>
    <w:rsid w:val="00303AE5"/>
    <w:rsid w:val="00303B50"/>
    <w:rsid w:val="00303BAE"/>
    <w:rsid w:val="00303BE7"/>
    <w:rsid w:val="00303C4A"/>
    <w:rsid w:val="00303CA5"/>
    <w:rsid w:val="00303CC2"/>
    <w:rsid w:val="00303CE4"/>
    <w:rsid w:val="00303D7D"/>
    <w:rsid w:val="00303DDA"/>
    <w:rsid w:val="00303DE8"/>
    <w:rsid w:val="00303E39"/>
    <w:rsid w:val="00303FBB"/>
    <w:rsid w:val="00303FD0"/>
    <w:rsid w:val="00304194"/>
    <w:rsid w:val="00304246"/>
    <w:rsid w:val="0030437E"/>
    <w:rsid w:val="003043CB"/>
    <w:rsid w:val="00304558"/>
    <w:rsid w:val="0030455B"/>
    <w:rsid w:val="0030455F"/>
    <w:rsid w:val="003045B1"/>
    <w:rsid w:val="00304691"/>
    <w:rsid w:val="003046A2"/>
    <w:rsid w:val="003046AD"/>
    <w:rsid w:val="003046E8"/>
    <w:rsid w:val="00304773"/>
    <w:rsid w:val="00304783"/>
    <w:rsid w:val="003048CA"/>
    <w:rsid w:val="003048D0"/>
    <w:rsid w:val="00304A94"/>
    <w:rsid w:val="00304AAE"/>
    <w:rsid w:val="00304AD0"/>
    <w:rsid w:val="00304B0D"/>
    <w:rsid w:val="00304B75"/>
    <w:rsid w:val="00304BE2"/>
    <w:rsid w:val="00304C8D"/>
    <w:rsid w:val="00304DAC"/>
    <w:rsid w:val="00304E59"/>
    <w:rsid w:val="003050A1"/>
    <w:rsid w:val="003050AC"/>
    <w:rsid w:val="003050C7"/>
    <w:rsid w:val="003050CC"/>
    <w:rsid w:val="00305169"/>
    <w:rsid w:val="003051E0"/>
    <w:rsid w:val="00305377"/>
    <w:rsid w:val="00305441"/>
    <w:rsid w:val="00305515"/>
    <w:rsid w:val="0030553E"/>
    <w:rsid w:val="0030563E"/>
    <w:rsid w:val="00305660"/>
    <w:rsid w:val="00305665"/>
    <w:rsid w:val="003056B5"/>
    <w:rsid w:val="003056BC"/>
    <w:rsid w:val="003056CE"/>
    <w:rsid w:val="00305912"/>
    <w:rsid w:val="00305959"/>
    <w:rsid w:val="003059E3"/>
    <w:rsid w:val="00305A4F"/>
    <w:rsid w:val="00305A97"/>
    <w:rsid w:val="00305AB7"/>
    <w:rsid w:val="00305AE0"/>
    <w:rsid w:val="00305B32"/>
    <w:rsid w:val="00305DAE"/>
    <w:rsid w:val="00305EEF"/>
    <w:rsid w:val="00305EF5"/>
    <w:rsid w:val="00306099"/>
    <w:rsid w:val="003060E6"/>
    <w:rsid w:val="0030610E"/>
    <w:rsid w:val="003061A7"/>
    <w:rsid w:val="003061CF"/>
    <w:rsid w:val="00306248"/>
    <w:rsid w:val="003062FB"/>
    <w:rsid w:val="00306316"/>
    <w:rsid w:val="00306384"/>
    <w:rsid w:val="003063D2"/>
    <w:rsid w:val="0030640F"/>
    <w:rsid w:val="00306421"/>
    <w:rsid w:val="0030649B"/>
    <w:rsid w:val="003064E3"/>
    <w:rsid w:val="003064FF"/>
    <w:rsid w:val="0030665E"/>
    <w:rsid w:val="003067B6"/>
    <w:rsid w:val="00306894"/>
    <w:rsid w:val="003068F6"/>
    <w:rsid w:val="0030696E"/>
    <w:rsid w:val="00306A1D"/>
    <w:rsid w:val="00306ABF"/>
    <w:rsid w:val="00306B69"/>
    <w:rsid w:val="00306B7A"/>
    <w:rsid w:val="00306B81"/>
    <w:rsid w:val="00306B9D"/>
    <w:rsid w:val="00306C0C"/>
    <w:rsid w:val="00306C59"/>
    <w:rsid w:val="00306EF8"/>
    <w:rsid w:val="00306F80"/>
    <w:rsid w:val="00306FB4"/>
    <w:rsid w:val="0030706E"/>
    <w:rsid w:val="003070A2"/>
    <w:rsid w:val="003070F1"/>
    <w:rsid w:val="0030714F"/>
    <w:rsid w:val="00307197"/>
    <w:rsid w:val="0030724C"/>
    <w:rsid w:val="00307417"/>
    <w:rsid w:val="00307461"/>
    <w:rsid w:val="0030754B"/>
    <w:rsid w:val="00307585"/>
    <w:rsid w:val="00307588"/>
    <w:rsid w:val="003075AA"/>
    <w:rsid w:val="00307621"/>
    <w:rsid w:val="003077C5"/>
    <w:rsid w:val="00307813"/>
    <w:rsid w:val="0030785F"/>
    <w:rsid w:val="00307882"/>
    <w:rsid w:val="003078F8"/>
    <w:rsid w:val="003079E4"/>
    <w:rsid w:val="003079EE"/>
    <w:rsid w:val="003079FC"/>
    <w:rsid w:val="00307D44"/>
    <w:rsid w:val="00307D6F"/>
    <w:rsid w:val="00307D9C"/>
    <w:rsid w:val="00307E0F"/>
    <w:rsid w:val="00307E26"/>
    <w:rsid w:val="00307E53"/>
    <w:rsid w:val="00307EEB"/>
    <w:rsid w:val="00307F1F"/>
    <w:rsid w:val="00307F76"/>
    <w:rsid w:val="00307F7D"/>
    <w:rsid w:val="00307FD9"/>
    <w:rsid w:val="00310068"/>
    <w:rsid w:val="003101BD"/>
    <w:rsid w:val="00310243"/>
    <w:rsid w:val="00310325"/>
    <w:rsid w:val="0031033D"/>
    <w:rsid w:val="00310350"/>
    <w:rsid w:val="00310365"/>
    <w:rsid w:val="00310492"/>
    <w:rsid w:val="00310649"/>
    <w:rsid w:val="003106E0"/>
    <w:rsid w:val="003106F3"/>
    <w:rsid w:val="003106F8"/>
    <w:rsid w:val="00310835"/>
    <w:rsid w:val="003108AC"/>
    <w:rsid w:val="00310948"/>
    <w:rsid w:val="0031099B"/>
    <w:rsid w:val="00310A32"/>
    <w:rsid w:val="00310A93"/>
    <w:rsid w:val="00310BC1"/>
    <w:rsid w:val="00310D25"/>
    <w:rsid w:val="00310DF6"/>
    <w:rsid w:val="00310E18"/>
    <w:rsid w:val="00310E7C"/>
    <w:rsid w:val="00310E85"/>
    <w:rsid w:val="00310EA4"/>
    <w:rsid w:val="00310EF1"/>
    <w:rsid w:val="00310F77"/>
    <w:rsid w:val="00310FB6"/>
    <w:rsid w:val="0031108B"/>
    <w:rsid w:val="003111DD"/>
    <w:rsid w:val="003112B8"/>
    <w:rsid w:val="00311445"/>
    <w:rsid w:val="003114F6"/>
    <w:rsid w:val="00311539"/>
    <w:rsid w:val="00311598"/>
    <w:rsid w:val="003115A5"/>
    <w:rsid w:val="003115B7"/>
    <w:rsid w:val="003115EB"/>
    <w:rsid w:val="003116DB"/>
    <w:rsid w:val="00311746"/>
    <w:rsid w:val="003117E8"/>
    <w:rsid w:val="0031182C"/>
    <w:rsid w:val="003119B4"/>
    <w:rsid w:val="003119B5"/>
    <w:rsid w:val="00311A72"/>
    <w:rsid w:val="00311A87"/>
    <w:rsid w:val="00311C39"/>
    <w:rsid w:val="00311CBC"/>
    <w:rsid w:val="00311DD0"/>
    <w:rsid w:val="00311ED6"/>
    <w:rsid w:val="00311F92"/>
    <w:rsid w:val="0031206C"/>
    <w:rsid w:val="0031208B"/>
    <w:rsid w:val="003120C6"/>
    <w:rsid w:val="003121E6"/>
    <w:rsid w:val="003122F4"/>
    <w:rsid w:val="0031234D"/>
    <w:rsid w:val="0031245F"/>
    <w:rsid w:val="003124B0"/>
    <w:rsid w:val="00312562"/>
    <w:rsid w:val="003125A7"/>
    <w:rsid w:val="003125AD"/>
    <w:rsid w:val="003125C2"/>
    <w:rsid w:val="00312617"/>
    <w:rsid w:val="00312626"/>
    <w:rsid w:val="00312651"/>
    <w:rsid w:val="00312838"/>
    <w:rsid w:val="00312841"/>
    <w:rsid w:val="0031289F"/>
    <w:rsid w:val="0031293B"/>
    <w:rsid w:val="00312970"/>
    <w:rsid w:val="00312A0E"/>
    <w:rsid w:val="00312A10"/>
    <w:rsid w:val="00312B4F"/>
    <w:rsid w:val="00312B77"/>
    <w:rsid w:val="00312D61"/>
    <w:rsid w:val="00312DAB"/>
    <w:rsid w:val="00312E0F"/>
    <w:rsid w:val="00312E78"/>
    <w:rsid w:val="00312F2B"/>
    <w:rsid w:val="00312FBF"/>
    <w:rsid w:val="00312FD0"/>
    <w:rsid w:val="00312FE9"/>
    <w:rsid w:val="0031307F"/>
    <w:rsid w:val="00313232"/>
    <w:rsid w:val="00313242"/>
    <w:rsid w:val="003132A6"/>
    <w:rsid w:val="003132CA"/>
    <w:rsid w:val="003132FC"/>
    <w:rsid w:val="003134C0"/>
    <w:rsid w:val="003134F0"/>
    <w:rsid w:val="00313544"/>
    <w:rsid w:val="00313658"/>
    <w:rsid w:val="00313667"/>
    <w:rsid w:val="003137A9"/>
    <w:rsid w:val="00313843"/>
    <w:rsid w:val="003138B6"/>
    <w:rsid w:val="00313996"/>
    <w:rsid w:val="00313A2A"/>
    <w:rsid w:val="00313BF8"/>
    <w:rsid w:val="00313C64"/>
    <w:rsid w:val="00313CBD"/>
    <w:rsid w:val="00313E46"/>
    <w:rsid w:val="00313EE2"/>
    <w:rsid w:val="00313F6C"/>
    <w:rsid w:val="00313F7A"/>
    <w:rsid w:val="00313F9E"/>
    <w:rsid w:val="00314014"/>
    <w:rsid w:val="0031401D"/>
    <w:rsid w:val="0031404C"/>
    <w:rsid w:val="00314053"/>
    <w:rsid w:val="0031406F"/>
    <w:rsid w:val="003140EB"/>
    <w:rsid w:val="003140F5"/>
    <w:rsid w:val="00314119"/>
    <w:rsid w:val="0031422F"/>
    <w:rsid w:val="00314250"/>
    <w:rsid w:val="0031430A"/>
    <w:rsid w:val="003144CE"/>
    <w:rsid w:val="00314685"/>
    <w:rsid w:val="0031482C"/>
    <w:rsid w:val="003149B9"/>
    <w:rsid w:val="003149E7"/>
    <w:rsid w:val="00314B41"/>
    <w:rsid w:val="00314C81"/>
    <w:rsid w:val="00314E85"/>
    <w:rsid w:val="00314E8D"/>
    <w:rsid w:val="00314F1B"/>
    <w:rsid w:val="00314F92"/>
    <w:rsid w:val="00314FD3"/>
    <w:rsid w:val="00315010"/>
    <w:rsid w:val="003150A6"/>
    <w:rsid w:val="003150FC"/>
    <w:rsid w:val="0031517D"/>
    <w:rsid w:val="003152C8"/>
    <w:rsid w:val="00315304"/>
    <w:rsid w:val="00315428"/>
    <w:rsid w:val="003155E6"/>
    <w:rsid w:val="003156D7"/>
    <w:rsid w:val="0031572E"/>
    <w:rsid w:val="003157BE"/>
    <w:rsid w:val="003158A0"/>
    <w:rsid w:val="00315A8F"/>
    <w:rsid w:val="00315AC2"/>
    <w:rsid w:val="00315B77"/>
    <w:rsid w:val="00315B7A"/>
    <w:rsid w:val="00315CE5"/>
    <w:rsid w:val="00315D29"/>
    <w:rsid w:val="00315DBA"/>
    <w:rsid w:val="00315F85"/>
    <w:rsid w:val="00316019"/>
    <w:rsid w:val="003160BA"/>
    <w:rsid w:val="00316158"/>
    <w:rsid w:val="00316194"/>
    <w:rsid w:val="003161A8"/>
    <w:rsid w:val="003161EB"/>
    <w:rsid w:val="0031620E"/>
    <w:rsid w:val="00316426"/>
    <w:rsid w:val="00316446"/>
    <w:rsid w:val="00316451"/>
    <w:rsid w:val="0031647B"/>
    <w:rsid w:val="00316489"/>
    <w:rsid w:val="003164CA"/>
    <w:rsid w:val="003164F3"/>
    <w:rsid w:val="0031655F"/>
    <w:rsid w:val="0031656C"/>
    <w:rsid w:val="003165E3"/>
    <w:rsid w:val="00316699"/>
    <w:rsid w:val="0031677E"/>
    <w:rsid w:val="003167A4"/>
    <w:rsid w:val="003167CF"/>
    <w:rsid w:val="0031684F"/>
    <w:rsid w:val="00316911"/>
    <w:rsid w:val="0031694A"/>
    <w:rsid w:val="00316B02"/>
    <w:rsid w:val="00316B1F"/>
    <w:rsid w:val="00316B43"/>
    <w:rsid w:val="00316C3C"/>
    <w:rsid w:val="00316C44"/>
    <w:rsid w:val="00316C89"/>
    <w:rsid w:val="00316CA1"/>
    <w:rsid w:val="00316CDD"/>
    <w:rsid w:val="00316D57"/>
    <w:rsid w:val="00316DA2"/>
    <w:rsid w:val="00316E1E"/>
    <w:rsid w:val="00316EAF"/>
    <w:rsid w:val="00316F2D"/>
    <w:rsid w:val="00316FF0"/>
    <w:rsid w:val="003170C8"/>
    <w:rsid w:val="003170F4"/>
    <w:rsid w:val="0031711A"/>
    <w:rsid w:val="0031718D"/>
    <w:rsid w:val="003171A9"/>
    <w:rsid w:val="0031728D"/>
    <w:rsid w:val="00317369"/>
    <w:rsid w:val="00317373"/>
    <w:rsid w:val="00317383"/>
    <w:rsid w:val="003173A6"/>
    <w:rsid w:val="00317415"/>
    <w:rsid w:val="0031741D"/>
    <w:rsid w:val="0031754A"/>
    <w:rsid w:val="00317601"/>
    <w:rsid w:val="00317703"/>
    <w:rsid w:val="003177EC"/>
    <w:rsid w:val="00317837"/>
    <w:rsid w:val="00317A67"/>
    <w:rsid w:val="00317B1D"/>
    <w:rsid w:val="00317B4B"/>
    <w:rsid w:val="00317BEE"/>
    <w:rsid w:val="00317CC1"/>
    <w:rsid w:val="00317D3C"/>
    <w:rsid w:val="00317EB9"/>
    <w:rsid w:val="00317F22"/>
    <w:rsid w:val="00317F90"/>
    <w:rsid w:val="00317FE3"/>
    <w:rsid w:val="00320072"/>
    <w:rsid w:val="003200A7"/>
    <w:rsid w:val="00320174"/>
    <w:rsid w:val="0032019C"/>
    <w:rsid w:val="00320276"/>
    <w:rsid w:val="003202F6"/>
    <w:rsid w:val="0032038C"/>
    <w:rsid w:val="003203AA"/>
    <w:rsid w:val="003203ED"/>
    <w:rsid w:val="003203F4"/>
    <w:rsid w:val="0032041D"/>
    <w:rsid w:val="00320421"/>
    <w:rsid w:val="00320488"/>
    <w:rsid w:val="003204D6"/>
    <w:rsid w:val="00320564"/>
    <w:rsid w:val="003205AB"/>
    <w:rsid w:val="00320631"/>
    <w:rsid w:val="003206AB"/>
    <w:rsid w:val="003208C2"/>
    <w:rsid w:val="003208E8"/>
    <w:rsid w:val="003208F0"/>
    <w:rsid w:val="0032091B"/>
    <w:rsid w:val="00320922"/>
    <w:rsid w:val="00320A1E"/>
    <w:rsid w:val="00320B18"/>
    <w:rsid w:val="00320BD5"/>
    <w:rsid w:val="00320BF7"/>
    <w:rsid w:val="00320C3D"/>
    <w:rsid w:val="00320CDE"/>
    <w:rsid w:val="00320EED"/>
    <w:rsid w:val="00320F10"/>
    <w:rsid w:val="00320F95"/>
    <w:rsid w:val="0032107E"/>
    <w:rsid w:val="003210B2"/>
    <w:rsid w:val="003212CC"/>
    <w:rsid w:val="003213FD"/>
    <w:rsid w:val="0032156A"/>
    <w:rsid w:val="003215F5"/>
    <w:rsid w:val="00321850"/>
    <w:rsid w:val="00321889"/>
    <w:rsid w:val="003218C1"/>
    <w:rsid w:val="00321987"/>
    <w:rsid w:val="003219AA"/>
    <w:rsid w:val="003219AD"/>
    <w:rsid w:val="003219C1"/>
    <w:rsid w:val="00321A28"/>
    <w:rsid w:val="00321A9B"/>
    <w:rsid w:val="00321AFC"/>
    <w:rsid w:val="00321B09"/>
    <w:rsid w:val="00321BB2"/>
    <w:rsid w:val="00321BB4"/>
    <w:rsid w:val="00321CC0"/>
    <w:rsid w:val="00321CEE"/>
    <w:rsid w:val="00321E08"/>
    <w:rsid w:val="00321E2D"/>
    <w:rsid w:val="00321EEC"/>
    <w:rsid w:val="00321F28"/>
    <w:rsid w:val="00322089"/>
    <w:rsid w:val="0032208D"/>
    <w:rsid w:val="0032212F"/>
    <w:rsid w:val="0032217C"/>
    <w:rsid w:val="003221B6"/>
    <w:rsid w:val="0032233A"/>
    <w:rsid w:val="003223E0"/>
    <w:rsid w:val="00322541"/>
    <w:rsid w:val="0032260C"/>
    <w:rsid w:val="00322668"/>
    <w:rsid w:val="0032267A"/>
    <w:rsid w:val="003226A8"/>
    <w:rsid w:val="003227A7"/>
    <w:rsid w:val="00322841"/>
    <w:rsid w:val="003228E5"/>
    <w:rsid w:val="0032294C"/>
    <w:rsid w:val="003229DF"/>
    <w:rsid w:val="00322ACD"/>
    <w:rsid w:val="00322B3C"/>
    <w:rsid w:val="00322B4C"/>
    <w:rsid w:val="00322B75"/>
    <w:rsid w:val="00322B7A"/>
    <w:rsid w:val="00322C0B"/>
    <w:rsid w:val="00322CC6"/>
    <w:rsid w:val="00322D79"/>
    <w:rsid w:val="00322EA0"/>
    <w:rsid w:val="00322EB8"/>
    <w:rsid w:val="00322F79"/>
    <w:rsid w:val="00322FC1"/>
    <w:rsid w:val="00322FF4"/>
    <w:rsid w:val="00323080"/>
    <w:rsid w:val="00323128"/>
    <w:rsid w:val="00323148"/>
    <w:rsid w:val="003231B6"/>
    <w:rsid w:val="00323275"/>
    <w:rsid w:val="003233E4"/>
    <w:rsid w:val="003234E6"/>
    <w:rsid w:val="00323516"/>
    <w:rsid w:val="00323582"/>
    <w:rsid w:val="003235AC"/>
    <w:rsid w:val="003235B6"/>
    <w:rsid w:val="003235EC"/>
    <w:rsid w:val="00323655"/>
    <w:rsid w:val="00323684"/>
    <w:rsid w:val="0032369F"/>
    <w:rsid w:val="003236BA"/>
    <w:rsid w:val="003236CB"/>
    <w:rsid w:val="003236FF"/>
    <w:rsid w:val="0032379B"/>
    <w:rsid w:val="0032379E"/>
    <w:rsid w:val="00323812"/>
    <w:rsid w:val="003238E2"/>
    <w:rsid w:val="0032393F"/>
    <w:rsid w:val="003239CB"/>
    <w:rsid w:val="00323A16"/>
    <w:rsid w:val="00323A8C"/>
    <w:rsid w:val="00323AF2"/>
    <w:rsid w:val="00323B0F"/>
    <w:rsid w:val="00323B6D"/>
    <w:rsid w:val="00323C19"/>
    <w:rsid w:val="00323D3D"/>
    <w:rsid w:val="00323EA3"/>
    <w:rsid w:val="00323EB1"/>
    <w:rsid w:val="00323FDF"/>
    <w:rsid w:val="00324086"/>
    <w:rsid w:val="00324232"/>
    <w:rsid w:val="00324379"/>
    <w:rsid w:val="0032437F"/>
    <w:rsid w:val="0032444B"/>
    <w:rsid w:val="003244AA"/>
    <w:rsid w:val="0032456E"/>
    <w:rsid w:val="003245B0"/>
    <w:rsid w:val="003245B8"/>
    <w:rsid w:val="003245F3"/>
    <w:rsid w:val="003245F9"/>
    <w:rsid w:val="00324689"/>
    <w:rsid w:val="0032476F"/>
    <w:rsid w:val="003247A6"/>
    <w:rsid w:val="00324841"/>
    <w:rsid w:val="00324967"/>
    <w:rsid w:val="00324A7E"/>
    <w:rsid w:val="00324ABE"/>
    <w:rsid w:val="00324B3E"/>
    <w:rsid w:val="00324BBE"/>
    <w:rsid w:val="00324CFA"/>
    <w:rsid w:val="00324D53"/>
    <w:rsid w:val="00324E2D"/>
    <w:rsid w:val="00324EAC"/>
    <w:rsid w:val="00324F1B"/>
    <w:rsid w:val="00324F28"/>
    <w:rsid w:val="00324FBB"/>
    <w:rsid w:val="0032505D"/>
    <w:rsid w:val="00325070"/>
    <w:rsid w:val="0032507A"/>
    <w:rsid w:val="00325094"/>
    <w:rsid w:val="00325189"/>
    <w:rsid w:val="003251B0"/>
    <w:rsid w:val="00325208"/>
    <w:rsid w:val="00325298"/>
    <w:rsid w:val="00325332"/>
    <w:rsid w:val="003253DB"/>
    <w:rsid w:val="003253FD"/>
    <w:rsid w:val="00325477"/>
    <w:rsid w:val="003254B6"/>
    <w:rsid w:val="00325652"/>
    <w:rsid w:val="0032566E"/>
    <w:rsid w:val="0032568E"/>
    <w:rsid w:val="003256D6"/>
    <w:rsid w:val="003256F9"/>
    <w:rsid w:val="00325810"/>
    <w:rsid w:val="00325876"/>
    <w:rsid w:val="00325896"/>
    <w:rsid w:val="003259FE"/>
    <w:rsid w:val="00325A06"/>
    <w:rsid w:val="00325AB2"/>
    <w:rsid w:val="00325AD4"/>
    <w:rsid w:val="00325AF8"/>
    <w:rsid w:val="00325CAB"/>
    <w:rsid w:val="00325D33"/>
    <w:rsid w:val="00325D76"/>
    <w:rsid w:val="00325D8A"/>
    <w:rsid w:val="00325D91"/>
    <w:rsid w:val="00325E15"/>
    <w:rsid w:val="00325E78"/>
    <w:rsid w:val="00325F15"/>
    <w:rsid w:val="00326072"/>
    <w:rsid w:val="003260B6"/>
    <w:rsid w:val="003260C9"/>
    <w:rsid w:val="0032615D"/>
    <w:rsid w:val="00326181"/>
    <w:rsid w:val="003261D2"/>
    <w:rsid w:val="0032622B"/>
    <w:rsid w:val="0032629E"/>
    <w:rsid w:val="0032633D"/>
    <w:rsid w:val="00326397"/>
    <w:rsid w:val="003263D4"/>
    <w:rsid w:val="003264DC"/>
    <w:rsid w:val="003265DD"/>
    <w:rsid w:val="003265FC"/>
    <w:rsid w:val="003266A7"/>
    <w:rsid w:val="0032672E"/>
    <w:rsid w:val="003267E1"/>
    <w:rsid w:val="00326805"/>
    <w:rsid w:val="00326816"/>
    <w:rsid w:val="0032685B"/>
    <w:rsid w:val="003268D5"/>
    <w:rsid w:val="00326947"/>
    <w:rsid w:val="00326AD5"/>
    <w:rsid w:val="00326AF5"/>
    <w:rsid w:val="00326B16"/>
    <w:rsid w:val="00326BA5"/>
    <w:rsid w:val="00326BFD"/>
    <w:rsid w:val="00326C02"/>
    <w:rsid w:val="00326E51"/>
    <w:rsid w:val="00326E99"/>
    <w:rsid w:val="00326E9D"/>
    <w:rsid w:val="00327003"/>
    <w:rsid w:val="00327041"/>
    <w:rsid w:val="00327086"/>
    <w:rsid w:val="003270D1"/>
    <w:rsid w:val="003270DA"/>
    <w:rsid w:val="003272AD"/>
    <w:rsid w:val="00327372"/>
    <w:rsid w:val="0032745E"/>
    <w:rsid w:val="0032763E"/>
    <w:rsid w:val="00327677"/>
    <w:rsid w:val="003276E3"/>
    <w:rsid w:val="00327815"/>
    <w:rsid w:val="0032798D"/>
    <w:rsid w:val="003279AF"/>
    <w:rsid w:val="003279C5"/>
    <w:rsid w:val="00327A26"/>
    <w:rsid w:val="00327A39"/>
    <w:rsid w:val="00327A6E"/>
    <w:rsid w:val="00327A80"/>
    <w:rsid w:val="00327B11"/>
    <w:rsid w:val="00327C1C"/>
    <w:rsid w:val="00327C8F"/>
    <w:rsid w:val="00327CD9"/>
    <w:rsid w:val="00327CDE"/>
    <w:rsid w:val="00327D6E"/>
    <w:rsid w:val="00327E6D"/>
    <w:rsid w:val="00327E78"/>
    <w:rsid w:val="00327FA2"/>
    <w:rsid w:val="00330046"/>
    <w:rsid w:val="00330064"/>
    <w:rsid w:val="003300B7"/>
    <w:rsid w:val="003301C8"/>
    <w:rsid w:val="00330217"/>
    <w:rsid w:val="0033029D"/>
    <w:rsid w:val="003303F6"/>
    <w:rsid w:val="0033041B"/>
    <w:rsid w:val="00330492"/>
    <w:rsid w:val="0033049C"/>
    <w:rsid w:val="003304B7"/>
    <w:rsid w:val="003305BF"/>
    <w:rsid w:val="0033065B"/>
    <w:rsid w:val="00330719"/>
    <w:rsid w:val="0033077B"/>
    <w:rsid w:val="00330799"/>
    <w:rsid w:val="00330836"/>
    <w:rsid w:val="003308C5"/>
    <w:rsid w:val="0033091B"/>
    <w:rsid w:val="00330A3E"/>
    <w:rsid w:val="00330A6B"/>
    <w:rsid w:val="00330A7F"/>
    <w:rsid w:val="00330B1A"/>
    <w:rsid w:val="00330BB9"/>
    <w:rsid w:val="00330BE7"/>
    <w:rsid w:val="00330C92"/>
    <w:rsid w:val="00330CD3"/>
    <w:rsid w:val="00330E44"/>
    <w:rsid w:val="00330EDC"/>
    <w:rsid w:val="00330F1A"/>
    <w:rsid w:val="00330FCF"/>
    <w:rsid w:val="00331025"/>
    <w:rsid w:val="00331066"/>
    <w:rsid w:val="003310EE"/>
    <w:rsid w:val="0033114D"/>
    <w:rsid w:val="003311AC"/>
    <w:rsid w:val="0033129F"/>
    <w:rsid w:val="003312AA"/>
    <w:rsid w:val="003314BC"/>
    <w:rsid w:val="00331584"/>
    <w:rsid w:val="003315B0"/>
    <w:rsid w:val="0033170B"/>
    <w:rsid w:val="0033175A"/>
    <w:rsid w:val="00331809"/>
    <w:rsid w:val="00331914"/>
    <w:rsid w:val="0033192B"/>
    <w:rsid w:val="00331975"/>
    <w:rsid w:val="00331B04"/>
    <w:rsid w:val="00331B88"/>
    <w:rsid w:val="00331BAE"/>
    <w:rsid w:val="00331BFA"/>
    <w:rsid w:val="00331CE6"/>
    <w:rsid w:val="00331F04"/>
    <w:rsid w:val="00331F2E"/>
    <w:rsid w:val="00331FAE"/>
    <w:rsid w:val="00331FB0"/>
    <w:rsid w:val="00331FC9"/>
    <w:rsid w:val="00331FF9"/>
    <w:rsid w:val="00332065"/>
    <w:rsid w:val="00332093"/>
    <w:rsid w:val="003321BF"/>
    <w:rsid w:val="00332210"/>
    <w:rsid w:val="00332311"/>
    <w:rsid w:val="00332314"/>
    <w:rsid w:val="00332333"/>
    <w:rsid w:val="00332373"/>
    <w:rsid w:val="00332428"/>
    <w:rsid w:val="00332434"/>
    <w:rsid w:val="0033247D"/>
    <w:rsid w:val="0033249A"/>
    <w:rsid w:val="00332623"/>
    <w:rsid w:val="00332728"/>
    <w:rsid w:val="00332778"/>
    <w:rsid w:val="003327D0"/>
    <w:rsid w:val="003327D3"/>
    <w:rsid w:val="003327EF"/>
    <w:rsid w:val="00332889"/>
    <w:rsid w:val="0033289A"/>
    <w:rsid w:val="003328E0"/>
    <w:rsid w:val="00332A6F"/>
    <w:rsid w:val="00332B51"/>
    <w:rsid w:val="00332B79"/>
    <w:rsid w:val="00332B91"/>
    <w:rsid w:val="00332D64"/>
    <w:rsid w:val="00332DDC"/>
    <w:rsid w:val="00332EEF"/>
    <w:rsid w:val="00332EF7"/>
    <w:rsid w:val="00332F64"/>
    <w:rsid w:val="00333054"/>
    <w:rsid w:val="003330DD"/>
    <w:rsid w:val="003330EB"/>
    <w:rsid w:val="00333230"/>
    <w:rsid w:val="00333299"/>
    <w:rsid w:val="00333362"/>
    <w:rsid w:val="003333E9"/>
    <w:rsid w:val="00333431"/>
    <w:rsid w:val="00333482"/>
    <w:rsid w:val="003334B1"/>
    <w:rsid w:val="003334C1"/>
    <w:rsid w:val="00333552"/>
    <w:rsid w:val="0033368D"/>
    <w:rsid w:val="003337C4"/>
    <w:rsid w:val="003337C5"/>
    <w:rsid w:val="00333820"/>
    <w:rsid w:val="00333891"/>
    <w:rsid w:val="003338B0"/>
    <w:rsid w:val="003338B1"/>
    <w:rsid w:val="00333935"/>
    <w:rsid w:val="00333A9E"/>
    <w:rsid w:val="00333AD3"/>
    <w:rsid w:val="00333B6E"/>
    <w:rsid w:val="00333DFD"/>
    <w:rsid w:val="00333E31"/>
    <w:rsid w:val="00333E69"/>
    <w:rsid w:val="00333F4A"/>
    <w:rsid w:val="00333F92"/>
    <w:rsid w:val="00333F97"/>
    <w:rsid w:val="00333FDD"/>
    <w:rsid w:val="00334014"/>
    <w:rsid w:val="00334019"/>
    <w:rsid w:val="0033407F"/>
    <w:rsid w:val="003340EC"/>
    <w:rsid w:val="00334182"/>
    <w:rsid w:val="003341F1"/>
    <w:rsid w:val="00334209"/>
    <w:rsid w:val="00334274"/>
    <w:rsid w:val="003342F6"/>
    <w:rsid w:val="00334308"/>
    <w:rsid w:val="0033438F"/>
    <w:rsid w:val="003343E3"/>
    <w:rsid w:val="003344B5"/>
    <w:rsid w:val="003344E7"/>
    <w:rsid w:val="003345A1"/>
    <w:rsid w:val="003345D9"/>
    <w:rsid w:val="00334600"/>
    <w:rsid w:val="003347A2"/>
    <w:rsid w:val="0033482B"/>
    <w:rsid w:val="0033482C"/>
    <w:rsid w:val="0033488C"/>
    <w:rsid w:val="00334952"/>
    <w:rsid w:val="00334A42"/>
    <w:rsid w:val="00334A95"/>
    <w:rsid w:val="00334B86"/>
    <w:rsid w:val="00334D1B"/>
    <w:rsid w:val="00334D3A"/>
    <w:rsid w:val="00334D4F"/>
    <w:rsid w:val="00334DD2"/>
    <w:rsid w:val="00334E43"/>
    <w:rsid w:val="00334E72"/>
    <w:rsid w:val="00334E7B"/>
    <w:rsid w:val="00335076"/>
    <w:rsid w:val="0033509E"/>
    <w:rsid w:val="003350A8"/>
    <w:rsid w:val="003350D7"/>
    <w:rsid w:val="00335198"/>
    <w:rsid w:val="003351F6"/>
    <w:rsid w:val="003351FE"/>
    <w:rsid w:val="0033523C"/>
    <w:rsid w:val="00335256"/>
    <w:rsid w:val="003352AD"/>
    <w:rsid w:val="0033532D"/>
    <w:rsid w:val="00335646"/>
    <w:rsid w:val="00335748"/>
    <w:rsid w:val="003357D7"/>
    <w:rsid w:val="003358EF"/>
    <w:rsid w:val="00335BFD"/>
    <w:rsid w:val="00335C3F"/>
    <w:rsid w:val="00335D99"/>
    <w:rsid w:val="00335DC5"/>
    <w:rsid w:val="00335DF0"/>
    <w:rsid w:val="00335E84"/>
    <w:rsid w:val="00335E8B"/>
    <w:rsid w:val="00335EA6"/>
    <w:rsid w:val="00335F64"/>
    <w:rsid w:val="00335FE1"/>
    <w:rsid w:val="00336005"/>
    <w:rsid w:val="0033603A"/>
    <w:rsid w:val="003360C6"/>
    <w:rsid w:val="003360EF"/>
    <w:rsid w:val="00336166"/>
    <w:rsid w:val="00336278"/>
    <w:rsid w:val="00336331"/>
    <w:rsid w:val="003364B1"/>
    <w:rsid w:val="003364B9"/>
    <w:rsid w:val="0033658A"/>
    <w:rsid w:val="00336629"/>
    <w:rsid w:val="00336706"/>
    <w:rsid w:val="003367B3"/>
    <w:rsid w:val="003367C5"/>
    <w:rsid w:val="0033681B"/>
    <w:rsid w:val="00336B28"/>
    <w:rsid w:val="00336BFC"/>
    <w:rsid w:val="00336C77"/>
    <w:rsid w:val="00336C96"/>
    <w:rsid w:val="00336D31"/>
    <w:rsid w:val="00336D99"/>
    <w:rsid w:val="00336E6C"/>
    <w:rsid w:val="00336EB4"/>
    <w:rsid w:val="00336EF4"/>
    <w:rsid w:val="00336F9B"/>
    <w:rsid w:val="0033708C"/>
    <w:rsid w:val="003370A5"/>
    <w:rsid w:val="0033716C"/>
    <w:rsid w:val="003371B7"/>
    <w:rsid w:val="00337290"/>
    <w:rsid w:val="003372AE"/>
    <w:rsid w:val="0033732E"/>
    <w:rsid w:val="00337436"/>
    <w:rsid w:val="0033748D"/>
    <w:rsid w:val="003375AE"/>
    <w:rsid w:val="003375D2"/>
    <w:rsid w:val="0033766C"/>
    <w:rsid w:val="003376AF"/>
    <w:rsid w:val="00337785"/>
    <w:rsid w:val="0033788D"/>
    <w:rsid w:val="003378F4"/>
    <w:rsid w:val="00337968"/>
    <w:rsid w:val="003379C6"/>
    <w:rsid w:val="00337A16"/>
    <w:rsid w:val="00337B02"/>
    <w:rsid w:val="00337B1A"/>
    <w:rsid w:val="00337BF4"/>
    <w:rsid w:val="00337C38"/>
    <w:rsid w:val="00337CA3"/>
    <w:rsid w:val="00337D93"/>
    <w:rsid w:val="00337E5B"/>
    <w:rsid w:val="00337ECB"/>
    <w:rsid w:val="00337F4D"/>
    <w:rsid w:val="00337F6E"/>
    <w:rsid w:val="00337FBE"/>
    <w:rsid w:val="003400D6"/>
    <w:rsid w:val="0034015A"/>
    <w:rsid w:val="00340184"/>
    <w:rsid w:val="003401CB"/>
    <w:rsid w:val="003403CF"/>
    <w:rsid w:val="003403FA"/>
    <w:rsid w:val="0034044D"/>
    <w:rsid w:val="003404E2"/>
    <w:rsid w:val="00340579"/>
    <w:rsid w:val="0034057F"/>
    <w:rsid w:val="00340592"/>
    <w:rsid w:val="003406E0"/>
    <w:rsid w:val="0034072A"/>
    <w:rsid w:val="00340971"/>
    <w:rsid w:val="00340A2C"/>
    <w:rsid w:val="00340AA6"/>
    <w:rsid w:val="00340B33"/>
    <w:rsid w:val="00340BB6"/>
    <w:rsid w:val="00340C8B"/>
    <w:rsid w:val="00340CC5"/>
    <w:rsid w:val="00340D0C"/>
    <w:rsid w:val="00340D73"/>
    <w:rsid w:val="00340E17"/>
    <w:rsid w:val="00340F31"/>
    <w:rsid w:val="00340F5E"/>
    <w:rsid w:val="003410EA"/>
    <w:rsid w:val="00341183"/>
    <w:rsid w:val="00341228"/>
    <w:rsid w:val="00341328"/>
    <w:rsid w:val="00341391"/>
    <w:rsid w:val="003413F6"/>
    <w:rsid w:val="003417AE"/>
    <w:rsid w:val="00341943"/>
    <w:rsid w:val="00341994"/>
    <w:rsid w:val="00341A63"/>
    <w:rsid w:val="00341B04"/>
    <w:rsid w:val="00341CC6"/>
    <w:rsid w:val="00341DDC"/>
    <w:rsid w:val="00341E9C"/>
    <w:rsid w:val="00341F19"/>
    <w:rsid w:val="00341FA0"/>
    <w:rsid w:val="00342074"/>
    <w:rsid w:val="003420E1"/>
    <w:rsid w:val="00342202"/>
    <w:rsid w:val="00342246"/>
    <w:rsid w:val="00342327"/>
    <w:rsid w:val="0034233A"/>
    <w:rsid w:val="0034247A"/>
    <w:rsid w:val="003424D4"/>
    <w:rsid w:val="003425F2"/>
    <w:rsid w:val="00342616"/>
    <w:rsid w:val="0034262E"/>
    <w:rsid w:val="00342678"/>
    <w:rsid w:val="0034267F"/>
    <w:rsid w:val="003426D7"/>
    <w:rsid w:val="0034280B"/>
    <w:rsid w:val="0034289A"/>
    <w:rsid w:val="003428EC"/>
    <w:rsid w:val="00342924"/>
    <w:rsid w:val="00342AD5"/>
    <w:rsid w:val="00342AEE"/>
    <w:rsid w:val="00342AF4"/>
    <w:rsid w:val="00342AF9"/>
    <w:rsid w:val="00342B80"/>
    <w:rsid w:val="00342C71"/>
    <w:rsid w:val="00342CCC"/>
    <w:rsid w:val="00342D14"/>
    <w:rsid w:val="00342D57"/>
    <w:rsid w:val="00342D5D"/>
    <w:rsid w:val="00342E63"/>
    <w:rsid w:val="00342E98"/>
    <w:rsid w:val="00342ECE"/>
    <w:rsid w:val="00342EDE"/>
    <w:rsid w:val="00342F0F"/>
    <w:rsid w:val="00342F18"/>
    <w:rsid w:val="00342F81"/>
    <w:rsid w:val="00342FAC"/>
    <w:rsid w:val="003431B1"/>
    <w:rsid w:val="003432CE"/>
    <w:rsid w:val="00343306"/>
    <w:rsid w:val="003433B5"/>
    <w:rsid w:val="003433EE"/>
    <w:rsid w:val="003433F8"/>
    <w:rsid w:val="0034345E"/>
    <w:rsid w:val="00343514"/>
    <w:rsid w:val="0034352C"/>
    <w:rsid w:val="00343646"/>
    <w:rsid w:val="0034366C"/>
    <w:rsid w:val="003436E4"/>
    <w:rsid w:val="003437BC"/>
    <w:rsid w:val="003437D8"/>
    <w:rsid w:val="00343A0A"/>
    <w:rsid w:val="00343A24"/>
    <w:rsid w:val="00343C98"/>
    <w:rsid w:val="00343D12"/>
    <w:rsid w:val="00343EA6"/>
    <w:rsid w:val="00343EC6"/>
    <w:rsid w:val="00343ECA"/>
    <w:rsid w:val="00343F3E"/>
    <w:rsid w:val="00343F63"/>
    <w:rsid w:val="00343F74"/>
    <w:rsid w:val="00343F8A"/>
    <w:rsid w:val="0034418B"/>
    <w:rsid w:val="00344309"/>
    <w:rsid w:val="003444B4"/>
    <w:rsid w:val="003445F3"/>
    <w:rsid w:val="0034469D"/>
    <w:rsid w:val="003447C2"/>
    <w:rsid w:val="003447EC"/>
    <w:rsid w:val="00344849"/>
    <w:rsid w:val="003448F6"/>
    <w:rsid w:val="003448FB"/>
    <w:rsid w:val="00344913"/>
    <w:rsid w:val="00344939"/>
    <w:rsid w:val="0034496E"/>
    <w:rsid w:val="003449DC"/>
    <w:rsid w:val="00344A85"/>
    <w:rsid w:val="00344B21"/>
    <w:rsid w:val="00344C45"/>
    <w:rsid w:val="00344C96"/>
    <w:rsid w:val="00344D57"/>
    <w:rsid w:val="00344D8F"/>
    <w:rsid w:val="00344D91"/>
    <w:rsid w:val="00344E15"/>
    <w:rsid w:val="00344E6E"/>
    <w:rsid w:val="00344EF3"/>
    <w:rsid w:val="00344F81"/>
    <w:rsid w:val="00344FBE"/>
    <w:rsid w:val="00345086"/>
    <w:rsid w:val="003450B3"/>
    <w:rsid w:val="003451C5"/>
    <w:rsid w:val="00345255"/>
    <w:rsid w:val="0034535B"/>
    <w:rsid w:val="0034539B"/>
    <w:rsid w:val="003453D8"/>
    <w:rsid w:val="003456A6"/>
    <w:rsid w:val="003456FF"/>
    <w:rsid w:val="0034571F"/>
    <w:rsid w:val="0034583E"/>
    <w:rsid w:val="003458B2"/>
    <w:rsid w:val="00345ABE"/>
    <w:rsid w:val="00345AE6"/>
    <w:rsid w:val="00345BEE"/>
    <w:rsid w:val="00345BF2"/>
    <w:rsid w:val="00345CBF"/>
    <w:rsid w:val="00345D80"/>
    <w:rsid w:val="00345E37"/>
    <w:rsid w:val="00345E4D"/>
    <w:rsid w:val="00345E4F"/>
    <w:rsid w:val="00345E63"/>
    <w:rsid w:val="00345ECE"/>
    <w:rsid w:val="00345F38"/>
    <w:rsid w:val="00345FE0"/>
    <w:rsid w:val="0034608A"/>
    <w:rsid w:val="003460F1"/>
    <w:rsid w:val="00346160"/>
    <w:rsid w:val="003461E0"/>
    <w:rsid w:val="00346314"/>
    <w:rsid w:val="00346397"/>
    <w:rsid w:val="0034653D"/>
    <w:rsid w:val="003465A0"/>
    <w:rsid w:val="0034663A"/>
    <w:rsid w:val="003467E1"/>
    <w:rsid w:val="00346823"/>
    <w:rsid w:val="0034698D"/>
    <w:rsid w:val="003469A0"/>
    <w:rsid w:val="003469C6"/>
    <w:rsid w:val="00346A03"/>
    <w:rsid w:val="00346B68"/>
    <w:rsid w:val="00346BB9"/>
    <w:rsid w:val="00346BC1"/>
    <w:rsid w:val="00346C1C"/>
    <w:rsid w:val="00346C60"/>
    <w:rsid w:val="00346CFF"/>
    <w:rsid w:val="00346D96"/>
    <w:rsid w:val="00346FE8"/>
    <w:rsid w:val="00347011"/>
    <w:rsid w:val="0034715B"/>
    <w:rsid w:val="0034728F"/>
    <w:rsid w:val="003472A5"/>
    <w:rsid w:val="00347310"/>
    <w:rsid w:val="0034733A"/>
    <w:rsid w:val="00347381"/>
    <w:rsid w:val="0034745B"/>
    <w:rsid w:val="00347490"/>
    <w:rsid w:val="00347665"/>
    <w:rsid w:val="00347794"/>
    <w:rsid w:val="003477F4"/>
    <w:rsid w:val="00347819"/>
    <w:rsid w:val="0034783D"/>
    <w:rsid w:val="003479C7"/>
    <w:rsid w:val="003479F0"/>
    <w:rsid w:val="00347A5A"/>
    <w:rsid w:val="00347B0F"/>
    <w:rsid w:val="00347B23"/>
    <w:rsid w:val="00347B6E"/>
    <w:rsid w:val="00347B8F"/>
    <w:rsid w:val="00347B98"/>
    <w:rsid w:val="00347C19"/>
    <w:rsid w:val="00347C45"/>
    <w:rsid w:val="00347CF1"/>
    <w:rsid w:val="00347D10"/>
    <w:rsid w:val="00347D2A"/>
    <w:rsid w:val="00347D49"/>
    <w:rsid w:val="00347DD4"/>
    <w:rsid w:val="00347E12"/>
    <w:rsid w:val="00347ECF"/>
    <w:rsid w:val="00347F8D"/>
    <w:rsid w:val="00350098"/>
    <w:rsid w:val="003500E2"/>
    <w:rsid w:val="00350146"/>
    <w:rsid w:val="00350176"/>
    <w:rsid w:val="00350303"/>
    <w:rsid w:val="0035031E"/>
    <w:rsid w:val="0035033A"/>
    <w:rsid w:val="003503A2"/>
    <w:rsid w:val="0035044B"/>
    <w:rsid w:val="003504C0"/>
    <w:rsid w:val="003504DD"/>
    <w:rsid w:val="0035050D"/>
    <w:rsid w:val="003505B1"/>
    <w:rsid w:val="00350616"/>
    <w:rsid w:val="003506F8"/>
    <w:rsid w:val="00350714"/>
    <w:rsid w:val="00350759"/>
    <w:rsid w:val="003507E2"/>
    <w:rsid w:val="00350886"/>
    <w:rsid w:val="003508D6"/>
    <w:rsid w:val="003509EF"/>
    <w:rsid w:val="003509F6"/>
    <w:rsid w:val="00350AD1"/>
    <w:rsid w:val="00350C38"/>
    <w:rsid w:val="00350D6C"/>
    <w:rsid w:val="00350E99"/>
    <w:rsid w:val="00350FA0"/>
    <w:rsid w:val="00351017"/>
    <w:rsid w:val="00351181"/>
    <w:rsid w:val="003512C7"/>
    <w:rsid w:val="0035137B"/>
    <w:rsid w:val="00351410"/>
    <w:rsid w:val="00351490"/>
    <w:rsid w:val="003514CB"/>
    <w:rsid w:val="003515B8"/>
    <w:rsid w:val="003517AE"/>
    <w:rsid w:val="003517F3"/>
    <w:rsid w:val="00351860"/>
    <w:rsid w:val="00351872"/>
    <w:rsid w:val="0035187D"/>
    <w:rsid w:val="00351A0E"/>
    <w:rsid w:val="00351B17"/>
    <w:rsid w:val="00351C22"/>
    <w:rsid w:val="00351C30"/>
    <w:rsid w:val="00351C85"/>
    <w:rsid w:val="00351C97"/>
    <w:rsid w:val="00351CBC"/>
    <w:rsid w:val="00351D8F"/>
    <w:rsid w:val="00351DF4"/>
    <w:rsid w:val="00351E3E"/>
    <w:rsid w:val="00351E45"/>
    <w:rsid w:val="00351E5A"/>
    <w:rsid w:val="00351E67"/>
    <w:rsid w:val="00351F2B"/>
    <w:rsid w:val="00351F60"/>
    <w:rsid w:val="00351FB8"/>
    <w:rsid w:val="0035209C"/>
    <w:rsid w:val="00352110"/>
    <w:rsid w:val="00352126"/>
    <w:rsid w:val="0035223D"/>
    <w:rsid w:val="003522B9"/>
    <w:rsid w:val="003522BD"/>
    <w:rsid w:val="0035230F"/>
    <w:rsid w:val="0035235A"/>
    <w:rsid w:val="003523D7"/>
    <w:rsid w:val="003523E4"/>
    <w:rsid w:val="003523FD"/>
    <w:rsid w:val="00352407"/>
    <w:rsid w:val="0035247B"/>
    <w:rsid w:val="003524AC"/>
    <w:rsid w:val="0035262A"/>
    <w:rsid w:val="003526B4"/>
    <w:rsid w:val="0035274A"/>
    <w:rsid w:val="00352804"/>
    <w:rsid w:val="003528EA"/>
    <w:rsid w:val="003528FA"/>
    <w:rsid w:val="003528FB"/>
    <w:rsid w:val="00352959"/>
    <w:rsid w:val="0035298D"/>
    <w:rsid w:val="00352A3B"/>
    <w:rsid w:val="00352B0C"/>
    <w:rsid w:val="00352BE7"/>
    <w:rsid w:val="00352BED"/>
    <w:rsid w:val="00352C01"/>
    <w:rsid w:val="00352D57"/>
    <w:rsid w:val="00352DA3"/>
    <w:rsid w:val="00352DD2"/>
    <w:rsid w:val="00352EA8"/>
    <w:rsid w:val="00352FA2"/>
    <w:rsid w:val="00353085"/>
    <w:rsid w:val="003530C9"/>
    <w:rsid w:val="0035314C"/>
    <w:rsid w:val="00353162"/>
    <w:rsid w:val="00353168"/>
    <w:rsid w:val="00353236"/>
    <w:rsid w:val="0035331A"/>
    <w:rsid w:val="00353323"/>
    <w:rsid w:val="003533FD"/>
    <w:rsid w:val="00353469"/>
    <w:rsid w:val="00353497"/>
    <w:rsid w:val="0035349E"/>
    <w:rsid w:val="00353537"/>
    <w:rsid w:val="0035355F"/>
    <w:rsid w:val="0035361F"/>
    <w:rsid w:val="00353638"/>
    <w:rsid w:val="00353747"/>
    <w:rsid w:val="003537A8"/>
    <w:rsid w:val="003537D4"/>
    <w:rsid w:val="0035395E"/>
    <w:rsid w:val="00353A33"/>
    <w:rsid w:val="00353A36"/>
    <w:rsid w:val="00353AB8"/>
    <w:rsid w:val="00353AC4"/>
    <w:rsid w:val="00353AF3"/>
    <w:rsid w:val="00353B43"/>
    <w:rsid w:val="00353C7F"/>
    <w:rsid w:val="00353CF4"/>
    <w:rsid w:val="00353DA2"/>
    <w:rsid w:val="00353DBD"/>
    <w:rsid w:val="00353DE2"/>
    <w:rsid w:val="00353E4F"/>
    <w:rsid w:val="00353E61"/>
    <w:rsid w:val="00353E89"/>
    <w:rsid w:val="00353EF5"/>
    <w:rsid w:val="00354092"/>
    <w:rsid w:val="0035409A"/>
    <w:rsid w:val="003540D8"/>
    <w:rsid w:val="00354103"/>
    <w:rsid w:val="00354187"/>
    <w:rsid w:val="0035423B"/>
    <w:rsid w:val="00354330"/>
    <w:rsid w:val="0035438F"/>
    <w:rsid w:val="00354391"/>
    <w:rsid w:val="003543E5"/>
    <w:rsid w:val="003544B1"/>
    <w:rsid w:val="00354782"/>
    <w:rsid w:val="003547AB"/>
    <w:rsid w:val="0035495D"/>
    <w:rsid w:val="003549E3"/>
    <w:rsid w:val="00354BB0"/>
    <w:rsid w:val="00354C48"/>
    <w:rsid w:val="00354CEF"/>
    <w:rsid w:val="00354D27"/>
    <w:rsid w:val="00354D94"/>
    <w:rsid w:val="00354EB6"/>
    <w:rsid w:val="00354EB7"/>
    <w:rsid w:val="00355124"/>
    <w:rsid w:val="00355145"/>
    <w:rsid w:val="0035514B"/>
    <w:rsid w:val="00355195"/>
    <w:rsid w:val="00355198"/>
    <w:rsid w:val="003551B8"/>
    <w:rsid w:val="0035537A"/>
    <w:rsid w:val="003554CB"/>
    <w:rsid w:val="003554CF"/>
    <w:rsid w:val="00355557"/>
    <w:rsid w:val="003555EA"/>
    <w:rsid w:val="0035568F"/>
    <w:rsid w:val="00355905"/>
    <w:rsid w:val="00355943"/>
    <w:rsid w:val="00355A09"/>
    <w:rsid w:val="00355B81"/>
    <w:rsid w:val="00355C21"/>
    <w:rsid w:val="00355C80"/>
    <w:rsid w:val="00355CE7"/>
    <w:rsid w:val="00355D76"/>
    <w:rsid w:val="00355D8E"/>
    <w:rsid w:val="00355E31"/>
    <w:rsid w:val="00355E4F"/>
    <w:rsid w:val="0035606D"/>
    <w:rsid w:val="003560D0"/>
    <w:rsid w:val="003560D4"/>
    <w:rsid w:val="003561DB"/>
    <w:rsid w:val="003561DF"/>
    <w:rsid w:val="0035633C"/>
    <w:rsid w:val="00356451"/>
    <w:rsid w:val="0035660E"/>
    <w:rsid w:val="00356649"/>
    <w:rsid w:val="003566B7"/>
    <w:rsid w:val="00356916"/>
    <w:rsid w:val="00356932"/>
    <w:rsid w:val="00356937"/>
    <w:rsid w:val="00356939"/>
    <w:rsid w:val="00356A67"/>
    <w:rsid w:val="00356B1A"/>
    <w:rsid w:val="00356B74"/>
    <w:rsid w:val="00356BCD"/>
    <w:rsid w:val="00356BCE"/>
    <w:rsid w:val="00356BDD"/>
    <w:rsid w:val="00356C36"/>
    <w:rsid w:val="00356CAE"/>
    <w:rsid w:val="00356D88"/>
    <w:rsid w:val="00356D8D"/>
    <w:rsid w:val="00356DBD"/>
    <w:rsid w:val="00356FCA"/>
    <w:rsid w:val="00356FCB"/>
    <w:rsid w:val="00356FE1"/>
    <w:rsid w:val="00356FE8"/>
    <w:rsid w:val="00357060"/>
    <w:rsid w:val="003570BB"/>
    <w:rsid w:val="003570DB"/>
    <w:rsid w:val="0035720F"/>
    <w:rsid w:val="0035730C"/>
    <w:rsid w:val="0035738A"/>
    <w:rsid w:val="00357454"/>
    <w:rsid w:val="00357516"/>
    <w:rsid w:val="0035753C"/>
    <w:rsid w:val="0035760D"/>
    <w:rsid w:val="00357743"/>
    <w:rsid w:val="003577FA"/>
    <w:rsid w:val="0035783E"/>
    <w:rsid w:val="0035788A"/>
    <w:rsid w:val="00357890"/>
    <w:rsid w:val="0035791B"/>
    <w:rsid w:val="00357929"/>
    <w:rsid w:val="003579C7"/>
    <w:rsid w:val="00357BB6"/>
    <w:rsid w:val="00357C42"/>
    <w:rsid w:val="00357D39"/>
    <w:rsid w:val="00357D78"/>
    <w:rsid w:val="00357EEF"/>
    <w:rsid w:val="00357F78"/>
    <w:rsid w:val="00357FEC"/>
    <w:rsid w:val="00360058"/>
    <w:rsid w:val="0036016B"/>
    <w:rsid w:val="003602E6"/>
    <w:rsid w:val="003603DB"/>
    <w:rsid w:val="0036041F"/>
    <w:rsid w:val="00360444"/>
    <w:rsid w:val="003604B6"/>
    <w:rsid w:val="00360552"/>
    <w:rsid w:val="003605F9"/>
    <w:rsid w:val="00360718"/>
    <w:rsid w:val="00360755"/>
    <w:rsid w:val="0036090C"/>
    <w:rsid w:val="00360A10"/>
    <w:rsid w:val="00360A89"/>
    <w:rsid w:val="00360A9D"/>
    <w:rsid w:val="00360B35"/>
    <w:rsid w:val="00360B44"/>
    <w:rsid w:val="00360BCB"/>
    <w:rsid w:val="00360C4F"/>
    <w:rsid w:val="00360D3D"/>
    <w:rsid w:val="00360DD8"/>
    <w:rsid w:val="00360F08"/>
    <w:rsid w:val="00360F34"/>
    <w:rsid w:val="00360F41"/>
    <w:rsid w:val="00360F65"/>
    <w:rsid w:val="0036111E"/>
    <w:rsid w:val="0036117B"/>
    <w:rsid w:val="00361253"/>
    <w:rsid w:val="00361274"/>
    <w:rsid w:val="003612B8"/>
    <w:rsid w:val="00361320"/>
    <w:rsid w:val="00361518"/>
    <w:rsid w:val="003615E4"/>
    <w:rsid w:val="003615F4"/>
    <w:rsid w:val="0036162F"/>
    <w:rsid w:val="00361635"/>
    <w:rsid w:val="00361636"/>
    <w:rsid w:val="0036163C"/>
    <w:rsid w:val="00361659"/>
    <w:rsid w:val="00361671"/>
    <w:rsid w:val="003616B2"/>
    <w:rsid w:val="003616C9"/>
    <w:rsid w:val="00361777"/>
    <w:rsid w:val="0036183C"/>
    <w:rsid w:val="00361880"/>
    <w:rsid w:val="003618D5"/>
    <w:rsid w:val="00361A0D"/>
    <w:rsid w:val="00361AFE"/>
    <w:rsid w:val="00361B69"/>
    <w:rsid w:val="00361CDA"/>
    <w:rsid w:val="00361FD3"/>
    <w:rsid w:val="00361FD6"/>
    <w:rsid w:val="0036201F"/>
    <w:rsid w:val="0036212C"/>
    <w:rsid w:val="00362171"/>
    <w:rsid w:val="0036219F"/>
    <w:rsid w:val="003621C5"/>
    <w:rsid w:val="003621ED"/>
    <w:rsid w:val="00362206"/>
    <w:rsid w:val="00362292"/>
    <w:rsid w:val="00362351"/>
    <w:rsid w:val="003623B4"/>
    <w:rsid w:val="00362420"/>
    <w:rsid w:val="0036245C"/>
    <w:rsid w:val="0036252F"/>
    <w:rsid w:val="00362552"/>
    <w:rsid w:val="003625D3"/>
    <w:rsid w:val="00362603"/>
    <w:rsid w:val="0036268E"/>
    <w:rsid w:val="003627C0"/>
    <w:rsid w:val="0036280B"/>
    <w:rsid w:val="0036284A"/>
    <w:rsid w:val="00362AB2"/>
    <w:rsid w:val="00362B33"/>
    <w:rsid w:val="00362B6C"/>
    <w:rsid w:val="00362BB7"/>
    <w:rsid w:val="00362C41"/>
    <w:rsid w:val="00362C58"/>
    <w:rsid w:val="00362C62"/>
    <w:rsid w:val="00362CB6"/>
    <w:rsid w:val="00362D95"/>
    <w:rsid w:val="00362E4F"/>
    <w:rsid w:val="00362E59"/>
    <w:rsid w:val="00362E79"/>
    <w:rsid w:val="00362E83"/>
    <w:rsid w:val="00362EFA"/>
    <w:rsid w:val="00362F4B"/>
    <w:rsid w:val="00362F69"/>
    <w:rsid w:val="00362FB3"/>
    <w:rsid w:val="00362FC1"/>
    <w:rsid w:val="003630BD"/>
    <w:rsid w:val="00363142"/>
    <w:rsid w:val="003631BC"/>
    <w:rsid w:val="00363223"/>
    <w:rsid w:val="00363242"/>
    <w:rsid w:val="003632B0"/>
    <w:rsid w:val="003632B2"/>
    <w:rsid w:val="003632CE"/>
    <w:rsid w:val="003635BD"/>
    <w:rsid w:val="0036364F"/>
    <w:rsid w:val="00363653"/>
    <w:rsid w:val="003637F8"/>
    <w:rsid w:val="003637FA"/>
    <w:rsid w:val="003638EF"/>
    <w:rsid w:val="00363994"/>
    <w:rsid w:val="0036399B"/>
    <w:rsid w:val="003639A4"/>
    <w:rsid w:val="003639B9"/>
    <w:rsid w:val="00363A01"/>
    <w:rsid w:val="00363A7F"/>
    <w:rsid w:val="00363B0C"/>
    <w:rsid w:val="00363B6D"/>
    <w:rsid w:val="00363B72"/>
    <w:rsid w:val="00363C7E"/>
    <w:rsid w:val="00363CD5"/>
    <w:rsid w:val="00363D5A"/>
    <w:rsid w:val="00363FB2"/>
    <w:rsid w:val="00363FC6"/>
    <w:rsid w:val="00363FC7"/>
    <w:rsid w:val="003640B9"/>
    <w:rsid w:val="00364100"/>
    <w:rsid w:val="00364113"/>
    <w:rsid w:val="003641E3"/>
    <w:rsid w:val="003641F6"/>
    <w:rsid w:val="00364227"/>
    <w:rsid w:val="00364273"/>
    <w:rsid w:val="003642BF"/>
    <w:rsid w:val="0036438A"/>
    <w:rsid w:val="003643A3"/>
    <w:rsid w:val="00364486"/>
    <w:rsid w:val="00364535"/>
    <w:rsid w:val="003646BD"/>
    <w:rsid w:val="0036472B"/>
    <w:rsid w:val="00364773"/>
    <w:rsid w:val="003647F0"/>
    <w:rsid w:val="00364841"/>
    <w:rsid w:val="003648E7"/>
    <w:rsid w:val="00364981"/>
    <w:rsid w:val="00364993"/>
    <w:rsid w:val="00364994"/>
    <w:rsid w:val="00364A43"/>
    <w:rsid w:val="00364BE4"/>
    <w:rsid w:val="00364C02"/>
    <w:rsid w:val="00364D29"/>
    <w:rsid w:val="00364D3A"/>
    <w:rsid w:val="00364D55"/>
    <w:rsid w:val="00364EBB"/>
    <w:rsid w:val="00364EBF"/>
    <w:rsid w:val="00364FD4"/>
    <w:rsid w:val="00365121"/>
    <w:rsid w:val="0036519E"/>
    <w:rsid w:val="003651D3"/>
    <w:rsid w:val="0036522A"/>
    <w:rsid w:val="0036524B"/>
    <w:rsid w:val="0036524F"/>
    <w:rsid w:val="0036531A"/>
    <w:rsid w:val="00365380"/>
    <w:rsid w:val="003654D8"/>
    <w:rsid w:val="00365636"/>
    <w:rsid w:val="003656E5"/>
    <w:rsid w:val="003656F1"/>
    <w:rsid w:val="0036582F"/>
    <w:rsid w:val="00365883"/>
    <w:rsid w:val="0036596F"/>
    <w:rsid w:val="003659EB"/>
    <w:rsid w:val="00365AAC"/>
    <w:rsid w:val="00365B07"/>
    <w:rsid w:val="00365BA7"/>
    <w:rsid w:val="00365BD4"/>
    <w:rsid w:val="00365C0B"/>
    <w:rsid w:val="00365C88"/>
    <w:rsid w:val="00365CC1"/>
    <w:rsid w:val="00365CCF"/>
    <w:rsid w:val="00365D45"/>
    <w:rsid w:val="00365DDB"/>
    <w:rsid w:val="00365EE3"/>
    <w:rsid w:val="00365F1D"/>
    <w:rsid w:val="00365FE6"/>
    <w:rsid w:val="00366179"/>
    <w:rsid w:val="00366201"/>
    <w:rsid w:val="0036633D"/>
    <w:rsid w:val="003663F8"/>
    <w:rsid w:val="00366446"/>
    <w:rsid w:val="0036647B"/>
    <w:rsid w:val="003664D7"/>
    <w:rsid w:val="00366582"/>
    <w:rsid w:val="0036658D"/>
    <w:rsid w:val="00366630"/>
    <w:rsid w:val="003666A9"/>
    <w:rsid w:val="003666F2"/>
    <w:rsid w:val="003667B0"/>
    <w:rsid w:val="0036680B"/>
    <w:rsid w:val="00366838"/>
    <w:rsid w:val="003668ED"/>
    <w:rsid w:val="00366962"/>
    <w:rsid w:val="00366AE1"/>
    <w:rsid w:val="00366B8B"/>
    <w:rsid w:val="00366BC4"/>
    <w:rsid w:val="00366D1D"/>
    <w:rsid w:val="00366D94"/>
    <w:rsid w:val="00366DAD"/>
    <w:rsid w:val="00366E10"/>
    <w:rsid w:val="00366E12"/>
    <w:rsid w:val="00366E42"/>
    <w:rsid w:val="00366F68"/>
    <w:rsid w:val="00366F89"/>
    <w:rsid w:val="00366F8D"/>
    <w:rsid w:val="00367093"/>
    <w:rsid w:val="003670D2"/>
    <w:rsid w:val="003671B5"/>
    <w:rsid w:val="003671BA"/>
    <w:rsid w:val="0036722D"/>
    <w:rsid w:val="00367244"/>
    <w:rsid w:val="0036724B"/>
    <w:rsid w:val="00367289"/>
    <w:rsid w:val="0036736D"/>
    <w:rsid w:val="0036737E"/>
    <w:rsid w:val="00367380"/>
    <w:rsid w:val="00367456"/>
    <w:rsid w:val="003674AC"/>
    <w:rsid w:val="0036754D"/>
    <w:rsid w:val="00367630"/>
    <w:rsid w:val="0036777C"/>
    <w:rsid w:val="003677F3"/>
    <w:rsid w:val="003678A5"/>
    <w:rsid w:val="00367AC5"/>
    <w:rsid w:val="00367AD2"/>
    <w:rsid w:val="00367B83"/>
    <w:rsid w:val="00367BE1"/>
    <w:rsid w:val="00367C0F"/>
    <w:rsid w:val="00367C4D"/>
    <w:rsid w:val="00367D78"/>
    <w:rsid w:val="00367DAA"/>
    <w:rsid w:val="00367DE5"/>
    <w:rsid w:val="00367EBE"/>
    <w:rsid w:val="00367F42"/>
    <w:rsid w:val="00367F5F"/>
    <w:rsid w:val="003701FB"/>
    <w:rsid w:val="003702EE"/>
    <w:rsid w:val="00370333"/>
    <w:rsid w:val="0037037C"/>
    <w:rsid w:val="0037064D"/>
    <w:rsid w:val="003707EF"/>
    <w:rsid w:val="0037080D"/>
    <w:rsid w:val="00370869"/>
    <w:rsid w:val="0037088B"/>
    <w:rsid w:val="003708F4"/>
    <w:rsid w:val="00370A4C"/>
    <w:rsid w:val="00370A87"/>
    <w:rsid w:val="00370AC0"/>
    <w:rsid w:val="00370BC3"/>
    <w:rsid w:val="00370C46"/>
    <w:rsid w:val="00370C9E"/>
    <w:rsid w:val="00370DA1"/>
    <w:rsid w:val="00370EA3"/>
    <w:rsid w:val="00370EB8"/>
    <w:rsid w:val="00370F54"/>
    <w:rsid w:val="00370F6B"/>
    <w:rsid w:val="00370F93"/>
    <w:rsid w:val="00370FEC"/>
    <w:rsid w:val="00371035"/>
    <w:rsid w:val="00371064"/>
    <w:rsid w:val="00371190"/>
    <w:rsid w:val="0037119C"/>
    <w:rsid w:val="003711DB"/>
    <w:rsid w:val="00371214"/>
    <w:rsid w:val="0037129E"/>
    <w:rsid w:val="0037139F"/>
    <w:rsid w:val="003713A4"/>
    <w:rsid w:val="003713CB"/>
    <w:rsid w:val="00371463"/>
    <w:rsid w:val="00371464"/>
    <w:rsid w:val="00371490"/>
    <w:rsid w:val="003715FF"/>
    <w:rsid w:val="003717B4"/>
    <w:rsid w:val="00371831"/>
    <w:rsid w:val="00371924"/>
    <w:rsid w:val="0037192A"/>
    <w:rsid w:val="00371A08"/>
    <w:rsid w:val="00371ADF"/>
    <w:rsid w:val="00371B90"/>
    <w:rsid w:val="00371BA0"/>
    <w:rsid w:val="00371C26"/>
    <w:rsid w:val="00371C62"/>
    <w:rsid w:val="00371CA0"/>
    <w:rsid w:val="00371D78"/>
    <w:rsid w:val="00371E5B"/>
    <w:rsid w:val="00371E7C"/>
    <w:rsid w:val="00371EE3"/>
    <w:rsid w:val="00371F29"/>
    <w:rsid w:val="00371F66"/>
    <w:rsid w:val="003720BA"/>
    <w:rsid w:val="0037213D"/>
    <w:rsid w:val="00372196"/>
    <w:rsid w:val="00372351"/>
    <w:rsid w:val="00372562"/>
    <w:rsid w:val="003725A4"/>
    <w:rsid w:val="00372606"/>
    <w:rsid w:val="003726AF"/>
    <w:rsid w:val="003726E4"/>
    <w:rsid w:val="003726F0"/>
    <w:rsid w:val="0037276E"/>
    <w:rsid w:val="003727A2"/>
    <w:rsid w:val="003728DA"/>
    <w:rsid w:val="00372A75"/>
    <w:rsid w:val="00372AD8"/>
    <w:rsid w:val="00372ADE"/>
    <w:rsid w:val="00372B0D"/>
    <w:rsid w:val="00372B5C"/>
    <w:rsid w:val="00372BFF"/>
    <w:rsid w:val="00372C8A"/>
    <w:rsid w:val="00372E6A"/>
    <w:rsid w:val="00372F60"/>
    <w:rsid w:val="00372FAF"/>
    <w:rsid w:val="00373090"/>
    <w:rsid w:val="003730E5"/>
    <w:rsid w:val="0037312F"/>
    <w:rsid w:val="00373168"/>
    <w:rsid w:val="00373178"/>
    <w:rsid w:val="00373213"/>
    <w:rsid w:val="00373264"/>
    <w:rsid w:val="0037335B"/>
    <w:rsid w:val="00373399"/>
    <w:rsid w:val="00373417"/>
    <w:rsid w:val="00373421"/>
    <w:rsid w:val="0037347D"/>
    <w:rsid w:val="003734FE"/>
    <w:rsid w:val="003736F1"/>
    <w:rsid w:val="003737ED"/>
    <w:rsid w:val="0037385C"/>
    <w:rsid w:val="0037388A"/>
    <w:rsid w:val="003739A0"/>
    <w:rsid w:val="00373A19"/>
    <w:rsid w:val="00373AD3"/>
    <w:rsid w:val="00373AEE"/>
    <w:rsid w:val="00373B86"/>
    <w:rsid w:val="00373BBE"/>
    <w:rsid w:val="00373CA2"/>
    <w:rsid w:val="00373CAF"/>
    <w:rsid w:val="00373CCB"/>
    <w:rsid w:val="00373D07"/>
    <w:rsid w:val="00373DC3"/>
    <w:rsid w:val="00373DD3"/>
    <w:rsid w:val="00373E8D"/>
    <w:rsid w:val="00373EBA"/>
    <w:rsid w:val="00373EBD"/>
    <w:rsid w:val="00373F58"/>
    <w:rsid w:val="00373FEB"/>
    <w:rsid w:val="0037402E"/>
    <w:rsid w:val="00374278"/>
    <w:rsid w:val="00374286"/>
    <w:rsid w:val="00374319"/>
    <w:rsid w:val="0037432B"/>
    <w:rsid w:val="0037432E"/>
    <w:rsid w:val="0037444E"/>
    <w:rsid w:val="003744C9"/>
    <w:rsid w:val="00374588"/>
    <w:rsid w:val="003745D5"/>
    <w:rsid w:val="003745FB"/>
    <w:rsid w:val="00374646"/>
    <w:rsid w:val="0037467F"/>
    <w:rsid w:val="00374716"/>
    <w:rsid w:val="00374733"/>
    <w:rsid w:val="00374759"/>
    <w:rsid w:val="00374771"/>
    <w:rsid w:val="003747B7"/>
    <w:rsid w:val="00374828"/>
    <w:rsid w:val="00374861"/>
    <w:rsid w:val="003748F8"/>
    <w:rsid w:val="00374982"/>
    <w:rsid w:val="003749F9"/>
    <w:rsid w:val="00374B8C"/>
    <w:rsid w:val="00374D82"/>
    <w:rsid w:val="00374DA9"/>
    <w:rsid w:val="00374F15"/>
    <w:rsid w:val="00374F25"/>
    <w:rsid w:val="00374F34"/>
    <w:rsid w:val="00374F44"/>
    <w:rsid w:val="00374FD3"/>
    <w:rsid w:val="00375077"/>
    <w:rsid w:val="00375087"/>
    <w:rsid w:val="003750A7"/>
    <w:rsid w:val="003750B9"/>
    <w:rsid w:val="00375141"/>
    <w:rsid w:val="00375269"/>
    <w:rsid w:val="00375385"/>
    <w:rsid w:val="00375448"/>
    <w:rsid w:val="00375524"/>
    <w:rsid w:val="00375687"/>
    <w:rsid w:val="00375769"/>
    <w:rsid w:val="00375770"/>
    <w:rsid w:val="00375899"/>
    <w:rsid w:val="003759D5"/>
    <w:rsid w:val="00375A14"/>
    <w:rsid w:val="00375AAA"/>
    <w:rsid w:val="00375B2F"/>
    <w:rsid w:val="00375B79"/>
    <w:rsid w:val="00375C55"/>
    <w:rsid w:val="00375CA7"/>
    <w:rsid w:val="00375CED"/>
    <w:rsid w:val="00375DFD"/>
    <w:rsid w:val="00375E9E"/>
    <w:rsid w:val="00375F9E"/>
    <w:rsid w:val="00375FDF"/>
    <w:rsid w:val="00376127"/>
    <w:rsid w:val="003762A0"/>
    <w:rsid w:val="0037631C"/>
    <w:rsid w:val="0037647E"/>
    <w:rsid w:val="003765B7"/>
    <w:rsid w:val="003765DF"/>
    <w:rsid w:val="00376601"/>
    <w:rsid w:val="00376838"/>
    <w:rsid w:val="003768CE"/>
    <w:rsid w:val="0037697D"/>
    <w:rsid w:val="00376985"/>
    <w:rsid w:val="003769CF"/>
    <w:rsid w:val="00376A8F"/>
    <w:rsid w:val="00376BB9"/>
    <w:rsid w:val="00376BC1"/>
    <w:rsid w:val="00376C06"/>
    <w:rsid w:val="00376C8B"/>
    <w:rsid w:val="00376D4A"/>
    <w:rsid w:val="00376E76"/>
    <w:rsid w:val="00376F0C"/>
    <w:rsid w:val="00376F26"/>
    <w:rsid w:val="00376F33"/>
    <w:rsid w:val="00376F37"/>
    <w:rsid w:val="00376F5B"/>
    <w:rsid w:val="00377062"/>
    <w:rsid w:val="00377151"/>
    <w:rsid w:val="00377165"/>
    <w:rsid w:val="003771DC"/>
    <w:rsid w:val="00377335"/>
    <w:rsid w:val="00377367"/>
    <w:rsid w:val="00377429"/>
    <w:rsid w:val="003774D7"/>
    <w:rsid w:val="003775B0"/>
    <w:rsid w:val="00377619"/>
    <w:rsid w:val="00377725"/>
    <w:rsid w:val="00377740"/>
    <w:rsid w:val="00377833"/>
    <w:rsid w:val="003778F5"/>
    <w:rsid w:val="00377984"/>
    <w:rsid w:val="003779A1"/>
    <w:rsid w:val="00377A58"/>
    <w:rsid w:val="00377BFC"/>
    <w:rsid w:val="00377C31"/>
    <w:rsid w:val="00377C96"/>
    <w:rsid w:val="00377D0C"/>
    <w:rsid w:val="00377D3E"/>
    <w:rsid w:val="00377E2B"/>
    <w:rsid w:val="00377E91"/>
    <w:rsid w:val="00377EE5"/>
    <w:rsid w:val="00380281"/>
    <w:rsid w:val="0038029A"/>
    <w:rsid w:val="0038030B"/>
    <w:rsid w:val="00380314"/>
    <w:rsid w:val="00380342"/>
    <w:rsid w:val="00380352"/>
    <w:rsid w:val="003803D4"/>
    <w:rsid w:val="00380409"/>
    <w:rsid w:val="00380508"/>
    <w:rsid w:val="00380590"/>
    <w:rsid w:val="003805C9"/>
    <w:rsid w:val="00380688"/>
    <w:rsid w:val="00380727"/>
    <w:rsid w:val="003808AD"/>
    <w:rsid w:val="003808FE"/>
    <w:rsid w:val="0038091B"/>
    <w:rsid w:val="0038096D"/>
    <w:rsid w:val="0038097C"/>
    <w:rsid w:val="0038098B"/>
    <w:rsid w:val="0038099F"/>
    <w:rsid w:val="003809A0"/>
    <w:rsid w:val="003809F0"/>
    <w:rsid w:val="00380A76"/>
    <w:rsid w:val="00380AC1"/>
    <w:rsid w:val="00380BA1"/>
    <w:rsid w:val="00380F70"/>
    <w:rsid w:val="00380FE0"/>
    <w:rsid w:val="003810B5"/>
    <w:rsid w:val="0038120B"/>
    <w:rsid w:val="00381228"/>
    <w:rsid w:val="0038126A"/>
    <w:rsid w:val="00381277"/>
    <w:rsid w:val="00381306"/>
    <w:rsid w:val="003813B9"/>
    <w:rsid w:val="00381432"/>
    <w:rsid w:val="003817EB"/>
    <w:rsid w:val="003817F1"/>
    <w:rsid w:val="00381813"/>
    <w:rsid w:val="00381927"/>
    <w:rsid w:val="0038193D"/>
    <w:rsid w:val="003819E0"/>
    <w:rsid w:val="00381AEE"/>
    <w:rsid w:val="00381B49"/>
    <w:rsid w:val="00381BB4"/>
    <w:rsid w:val="00381CAA"/>
    <w:rsid w:val="00381CC6"/>
    <w:rsid w:val="00381CD9"/>
    <w:rsid w:val="00381D1D"/>
    <w:rsid w:val="00381D7E"/>
    <w:rsid w:val="00381D7F"/>
    <w:rsid w:val="00381FE0"/>
    <w:rsid w:val="00381FE8"/>
    <w:rsid w:val="00382022"/>
    <w:rsid w:val="0038219E"/>
    <w:rsid w:val="0038222A"/>
    <w:rsid w:val="00382305"/>
    <w:rsid w:val="00382339"/>
    <w:rsid w:val="0038237E"/>
    <w:rsid w:val="003823D6"/>
    <w:rsid w:val="00382444"/>
    <w:rsid w:val="00382494"/>
    <w:rsid w:val="003824C4"/>
    <w:rsid w:val="00382501"/>
    <w:rsid w:val="0038254E"/>
    <w:rsid w:val="0038256E"/>
    <w:rsid w:val="003825AA"/>
    <w:rsid w:val="00382652"/>
    <w:rsid w:val="0038269D"/>
    <w:rsid w:val="003826B8"/>
    <w:rsid w:val="003826E3"/>
    <w:rsid w:val="00382787"/>
    <w:rsid w:val="003827A1"/>
    <w:rsid w:val="003827C7"/>
    <w:rsid w:val="00382815"/>
    <w:rsid w:val="00382854"/>
    <w:rsid w:val="003829D8"/>
    <w:rsid w:val="00382A2F"/>
    <w:rsid w:val="00382A56"/>
    <w:rsid w:val="00382AF5"/>
    <w:rsid w:val="00382B93"/>
    <w:rsid w:val="00382BF2"/>
    <w:rsid w:val="00382C0B"/>
    <w:rsid w:val="00382C13"/>
    <w:rsid w:val="00382D3A"/>
    <w:rsid w:val="00382E0A"/>
    <w:rsid w:val="00382E48"/>
    <w:rsid w:val="00382E9F"/>
    <w:rsid w:val="00382EF7"/>
    <w:rsid w:val="00382F5D"/>
    <w:rsid w:val="00382F90"/>
    <w:rsid w:val="0038301B"/>
    <w:rsid w:val="0038303E"/>
    <w:rsid w:val="00383048"/>
    <w:rsid w:val="003830AB"/>
    <w:rsid w:val="003830B7"/>
    <w:rsid w:val="0038314B"/>
    <w:rsid w:val="003831E5"/>
    <w:rsid w:val="003832F7"/>
    <w:rsid w:val="0038335D"/>
    <w:rsid w:val="003835C4"/>
    <w:rsid w:val="003838E6"/>
    <w:rsid w:val="0038395D"/>
    <w:rsid w:val="0038398C"/>
    <w:rsid w:val="0038398E"/>
    <w:rsid w:val="00383994"/>
    <w:rsid w:val="003839D2"/>
    <w:rsid w:val="00383B83"/>
    <w:rsid w:val="00383C19"/>
    <w:rsid w:val="00383D1F"/>
    <w:rsid w:val="00383D2B"/>
    <w:rsid w:val="00383D6B"/>
    <w:rsid w:val="00383DBB"/>
    <w:rsid w:val="00383FAE"/>
    <w:rsid w:val="00383FBA"/>
    <w:rsid w:val="003840E0"/>
    <w:rsid w:val="00384162"/>
    <w:rsid w:val="003841A0"/>
    <w:rsid w:val="00384212"/>
    <w:rsid w:val="003842E8"/>
    <w:rsid w:val="003842FA"/>
    <w:rsid w:val="0038440E"/>
    <w:rsid w:val="00384446"/>
    <w:rsid w:val="00384570"/>
    <w:rsid w:val="00384609"/>
    <w:rsid w:val="00384644"/>
    <w:rsid w:val="00384728"/>
    <w:rsid w:val="0038475C"/>
    <w:rsid w:val="003847CC"/>
    <w:rsid w:val="003847D4"/>
    <w:rsid w:val="003847F3"/>
    <w:rsid w:val="00384841"/>
    <w:rsid w:val="003848B1"/>
    <w:rsid w:val="003849C1"/>
    <w:rsid w:val="00384AF5"/>
    <w:rsid w:val="00384B1A"/>
    <w:rsid w:val="00384C2A"/>
    <w:rsid w:val="00384D14"/>
    <w:rsid w:val="00384D5F"/>
    <w:rsid w:val="00384E01"/>
    <w:rsid w:val="00384F47"/>
    <w:rsid w:val="00384FB3"/>
    <w:rsid w:val="00385083"/>
    <w:rsid w:val="00385169"/>
    <w:rsid w:val="003851E1"/>
    <w:rsid w:val="0038520C"/>
    <w:rsid w:val="0038532D"/>
    <w:rsid w:val="0038533B"/>
    <w:rsid w:val="00385342"/>
    <w:rsid w:val="00385504"/>
    <w:rsid w:val="0038550A"/>
    <w:rsid w:val="00385539"/>
    <w:rsid w:val="0038555A"/>
    <w:rsid w:val="00385616"/>
    <w:rsid w:val="00385621"/>
    <w:rsid w:val="00385859"/>
    <w:rsid w:val="0038586A"/>
    <w:rsid w:val="003858A6"/>
    <w:rsid w:val="003858AA"/>
    <w:rsid w:val="003859CE"/>
    <w:rsid w:val="003859F0"/>
    <w:rsid w:val="00385A46"/>
    <w:rsid w:val="00385A9D"/>
    <w:rsid w:val="00385B0E"/>
    <w:rsid w:val="00385B77"/>
    <w:rsid w:val="00385B79"/>
    <w:rsid w:val="00385BA3"/>
    <w:rsid w:val="00385C37"/>
    <w:rsid w:val="00385DC6"/>
    <w:rsid w:val="00385E49"/>
    <w:rsid w:val="00385EEF"/>
    <w:rsid w:val="00386022"/>
    <w:rsid w:val="00386090"/>
    <w:rsid w:val="003860B6"/>
    <w:rsid w:val="0038614F"/>
    <w:rsid w:val="00386239"/>
    <w:rsid w:val="003862BF"/>
    <w:rsid w:val="003862E6"/>
    <w:rsid w:val="0038637F"/>
    <w:rsid w:val="00386446"/>
    <w:rsid w:val="00386579"/>
    <w:rsid w:val="003866B4"/>
    <w:rsid w:val="00386789"/>
    <w:rsid w:val="00386790"/>
    <w:rsid w:val="00386883"/>
    <w:rsid w:val="00386912"/>
    <w:rsid w:val="0038692A"/>
    <w:rsid w:val="00386965"/>
    <w:rsid w:val="003869F6"/>
    <w:rsid w:val="00386BE8"/>
    <w:rsid w:val="00386C79"/>
    <w:rsid w:val="00386CE3"/>
    <w:rsid w:val="00386D8C"/>
    <w:rsid w:val="00386EC0"/>
    <w:rsid w:val="00386F59"/>
    <w:rsid w:val="00386FE8"/>
    <w:rsid w:val="00387041"/>
    <w:rsid w:val="00387077"/>
    <w:rsid w:val="003870D4"/>
    <w:rsid w:val="00387121"/>
    <w:rsid w:val="00387277"/>
    <w:rsid w:val="003872A8"/>
    <w:rsid w:val="00387357"/>
    <w:rsid w:val="003873C8"/>
    <w:rsid w:val="00387417"/>
    <w:rsid w:val="0038742B"/>
    <w:rsid w:val="00387645"/>
    <w:rsid w:val="003876F5"/>
    <w:rsid w:val="00387707"/>
    <w:rsid w:val="00387756"/>
    <w:rsid w:val="0038777A"/>
    <w:rsid w:val="00387905"/>
    <w:rsid w:val="00387A48"/>
    <w:rsid w:val="00387A72"/>
    <w:rsid w:val="00387A97"/>
    <w:rsid w:val="00387ADB"/>
    <w:rsid w:val="00387B0A"/>
    <w:rsid w:val="00387B71"/>
    <w:rsid w:val="00387BB7"/>
    <w:rsid w:val="00387BD3"/>
    <w:rsid w:val="00387C46"/>
    <w:rsid w:val="00387D11"/>
    <w:rsid w:val="00387DBA"/>
    <w:rsid w:val="00387E9E"/>
    <w:rsid w:val="00387ECC"/>
    <w:rsid w:val="00387F14"/>
    <w:rsid w:val="00387F20"/>
    <w:rsid w:val="00387F25"/>
    <w:rsid w:val="00387F3D"/>
    <w:rsid w:val="00387F51"/>
    <w:rsid w:val="00387F81"/>
    <w:rsid w:val="00387F9E"/>
    <w:rsid w:val="00387FF1"/>
    <w:rsid w:val="00390049"/>
    <w:rsid w:val="00390099"/>
    <w:rsid w:val="003900E8"/>
    <w:rsid w:val="00390178"/>
    <w:rsid w:val="003901AD"/>
    <w:rsid w:val="00390274"/>
    <w:rsid w:val="003902A8"/>
    <w:rsid w:val="00390329"/>
    <w:rsid w:val="003903A5"/>
    <w:rsid w:val="003903D7"/>
    <w:rsid w:val="003903FD"/>
    <w:rsid w:val="0039041E"/>
    <w:rsid w:val="00390578"/>
    <w:rsid w:val="0039068A"/>
    <w:rsid w:val="003906E7"/>
    <w:rsid w:val="0039076D"/>
    <w:rsid w:val="00390791"/>
    <w:rsid w:val="003907AD"/>
    <w:rsid w:val="003908FE"/>
    <w:rsid w:val="003909CB"/>
    <w:rsid w:val="00390A23"/>
    <w:rsid w:val="00390A8C"/>
    <w:rsid w:val="00390AA6"/>
    <w:rsid w:val="00390ACC"/>
    <w:rsid w:val="00390BDE"/>
    <w:rsid w:val="00390BFA"/>
    <w:rsid w:val="00390D18"/>
    <w:rsid w:val="00390D84"/>
    <w:rsid w:val="00390DAF"/>
    <w:rsid w:val="00390E39"/>
    <w:rsid w:val="00390E56"/>
    <w:rsid w:val="00390F15"/>
    <w:rsid w:val="00390FE8"/>
    <w:rsid w:val="0039111D"/>
    <w:rsid w:val="003911AB"/>
    <w:rsid w:val="003911E2"/>
    <w:rsid w:val="0039129A"/>
    <w:rsid w:val="003912AA"/>
    <w:rsid w:val="003912C9"/>
    <w:rsid w:val="0039133D"/>
    <w:rsid w:val="0039135B"/>
    <w:rsid w:val="003913E6"/>
    <w:rsid w:val="00391446"/>
    <w:rsid w:val="00391471"/>
    <w:rsid w:val="0039155C"/>
    <w:rsid w:val="00391595"/>
    <w:rsid w:val="003915D2"/>
    <w:rsid w:val="003916A7"/>
    <w:rsid w:val="003916B6"/>
    <w:rsid w:val="00391707"/>
    <w:rsid w:val="0039172B"/>
    <w:rsid w:val="00391756"/>
    <w:rsid w:val="003919DD"/>
    <w:rsid w:val="00391A05"/>
    <w:rsid w:val="00391A7D"/>
    <w:rsid w:val="00391B45"/>
    <w:rsid w:val="00391B84"/>
    <w:rsid w:val="00391C13"/>
    <w:rsid w:val="00391C2C"/>
    <w:rsid w:val="00391C50"/>
    <w:rsid w:val="00391E72"/>
    <w:rsid w:val="00391F2A"/>
    <w:rsid w:val="00392049"/>
    <w:rsid w:val="00392098"/>
    <w:rsid w:val="0039209A"/>
    <w:rsid w:val="003920A6"/>
    <w:rsid w:val="00392214"/>
    <w:rsid w:val="003922AF"/>
    <w:rsid w:val="003922BF"/>
    <w:rsid w:val="00392317"/>
    <w:rsid w:val="003923B7"/>
    <w:rsid w:val="003923E3"/>
    <w:rsid w:val="00392468"/>
    <w:rsid w:val="00392560"/>
    <w:rsid w:val="003925E6"/>
    <w:rsid w:val="003927A8"/>
    <w:rsid w:val="00392844"/>
    <w:rsid w:val="0039284D"/>
    <w:rsid w:val="0039288F"/>
    <w:rsid w:val="003928D3"/>
    <w:rsid w:val="00392924"/>
    <w:rsid w:val="00392A0F"/>
    <w:rsid w:val="00392B67"/>
    <w:rsid w:val="00392BE1"/>
    <w:rsid w:val="00392C19"/>
    <w:rsid w:val="00392C20"/>
    <w:rsid w:val="00392C4A"/>
    <w:rsid w:val="00392C75"/>
    <w:rsid w:val="00392C98"/>
    <w:rsid w:val="00392CEF"/>
    <w:rsid w:val="00392D42"/>
    <w:rsid w:val="00392DCC"/>
    <w:rsid w:val="00392E22"/>
    <w:rsid w:val="00392E32"/>
    <w:rsid w:val="00392F8E"/>
    <w:rsid w:val="00392FEB"/>
    <w:rsid w:val="00393019"/>
    <w:rsid w:val="00393035"/>
    <w:rsid w:val="003930F4"/>
    <w:rsid w:val="00393454"/>
    <w:rsid w:val="003934CA"/>
    <w:rsid w:val="003936AC"/>
    <w:rsid w:val="00393801"/>
    <w:rsid w:val="00393942"/>
    <w:rsid w:val="0039396F"/>
    <w:rsid w:val="003939B9"/>
    <w:rsid w:val="00393A30"/>
    <w:rsid w:val="00393A55"/>
    <w:rsid w:val="00393B59"/>
    <w:rsid w:val="00393B62"/>
    <w:rsid w:val="00393B7A"/>
    <w:rsid w:val="00393C07"/>
    <w:rsid w:val="00393C32"/>
    <w:rsid w:val="00393C5F"/>
    <w:rsid w:val="00393C7D"/>
    <w:rsid w:val="00393E28"/>
    <w:rsid w:val="00393E56"/>
    <w:rsid w:val="00393E97"/>
    <w:rsid w:val="00393EB3"/>
    <w:rsid w:val="00393EDC"/>
    <w:rsid w:val="00393F18"/>
    <w:rsid w:val="00393F30"/>
    <w:rsid w:val="00393F6D"/>
    <w:rsid w:val="00394194"/>
    <w:rsid w:val="003942A8"/>
    <w:rsid w:val="003942A9"/>
    <w:rsid w:val="003942E3"/>
    <w:rsid w:val="00394456"/>
    <w:rsid w:val="003944C3"/>
    <w:rsid w:val="003944D7"/>
    <w:rsid w:val="003945D7"/>
    <w:rsid w:val="00394668"/>
    <w:rsid w:val="0039474E"/>
    <w:rsid w:val="0039480D"/>
    <w:rsid w:val="00394880"/>
    <w:rsid w:val="00394882"/>
    <w:rsid w:val="003948A5"/>
    <w:rsid w:val="003948B6"/>
    <w:rsid w:val="00394917"/>
    <w:rsid w:val="00394926"/>
    <w:rsid w:val="0039492A"/>
    <w:rsid w:val="00394A30"/>
    <w:rsid w:val="00394AF7"/>
    <w:rsid w:val="00394AFA"/>
    <w:rsid w:val="00394BD3"/>
    <w:rsid w:val="00394BE4"/>
    <w:rsid w:val="00394BE5"/>
    <w:rsid w:val="00394BFE"/>
    <w:rsid w:val="00394D63"/>
    <w:rsid w:val="00394D83"/>
    <w:rsid w:val="00394DC1"/>
    <w:rsid w:val="00394E2A"/>
    <w:rsid w:val="00394E7C"/>
    <w:rsid w:val="00394E81"/>
    <w:rsid w:val="00394ED1"/>
    <w:rsid w:val="00394F4E"/>
    <w:rsid w:val="00394F4F"/>
    <w:rsid w:val="0039503A"/>
    <w:rsid w:val="00395155"/>
    <w:rsid w:val="0039517E"/>
    <w:rsid w:val="003951C4"/>
    <w:rsid w:val="003951C9"/>
    <w:rsid w:val="003952D1"/>
    <w:rsid w:val="00395319"/>
    <w:rsid w:val="00395372"/>
    <w:rsid w:val="00395380"/>
    <w:rsid w:val="0039542A"/>
    <w:rsid w:val="00395442"/>
    <w:rsid w:val="0039549A"/>
    <w:rsid w:val="00395585"/>
    <w:rsid w:val="003955D5"/>
    <w:rsid w:val="003955EB"/>
    <w:rsid w:val="00395759"/>
    <w:rsid w:val="00395795"/>
    <w:rsid w:val="003957F9"/>
    <w:rsid w:val="003957FF"/>
    <w:rsid w:val="003958D9"/>
    <w:rsid w:val="003959D4"/>
    <w:rsid w:val="003959D8"/>
    <w:rsid w:val="003959E5"/>
    <w:rsid w:val="00395A48"/>
    <w:rsid w:val="00395A54"/>
    <w:rsid w:val="00395A59"/>
    <w:rsid w:val="00395AC9"/>
    <w:rsid w:val="00395BBE"/>
    <w:rsid w:val="00395C88"/>
    <w:rsid w:val="00395D66"/>
    <w:rsid w:val="00395D8D"/>
    <w:rsid w:val="00395DD8"/>
    <w:rsid w:val="00395DD9"/>
    <w:rsid w:val="00395F64"/>
    <w:rsid w:val="00395FD7"/>
    <w:rsid w:val="00395FDD"/>
    <w:rsid w:val="00396054"/>
    <w:rsid w:val="00396100"/>
    <w:rsid w:val="00396131"/>
    <w:rsid w:val="00396140"/>
    <w:rsid w:val="00396166"/>
    <w:rsid w:val="0039629C"/>
    <w:rsid w:val="003962B8"/>
    <w:rsid w:val="003962BD"/>
    <w:rsid w:val="003963BA"/>
    <w:rsid w:val="00396537"/>
    <w:rsid w:val="0039670F"/>
    <w:rsid w:val="00396741"/>
    <w:rsid w:val="00396744"/>
    <w:rsid w:val="00396785"/>
    <w:rsid w:val="003968A2"/>
    <w:rsid w:val="003968AA"/>
    <w:rsid w:val="00396909"/>
    <w:rsid w:val="00396911"/>
    <w:rsid w:val="00396998"/>
    <w:rsid w:val="003969DE"/>
    <w:rsid w:val="003969EB"/>
    <w:rsid w:val="00396BB2"/>
    <w:rsid w:val="00396BC7"/>
    <w:rsid w:val="00396CA1"/>
    <w:rsid w:val="00396CA4"/>
    <w:rsid w:val="00396CE6"/>
    <w:rsid w:val="00396D02"/>
    <w:rsid w:val="00396D59"/>
    <w:rsid w:val="00396DA7"/>
    <w:rsid w:val="00396DBD"/>
    <w:rsid w:val="00396DCC"/>
    <w:rsid w:val="00396DE3"/>
    <w:rsid w:val="00396E34"/>
    <w:rsid w:val="00396E64"/>
    <w:rsid w:val="00396F1D"/>
    <w:rsid w:val="00396F85"/>
    <w:rsid w:val="00396FDF"/>
    <w:rsid w:val="00397014"/>
    <w:rsid w:val="00397146"/>
    <w:rsid w:val="00397162"/>
    <w:rsid w:val="003971BF"/>
    <w:rsid w:val="003973A8"/>
    <w:rsid w:val="00397473"/>
    <w:rsid w:val="00397493"/>
    <w:rsid w:val="003974BA"/>
    <w:rsid w:val="003974EC"/>
    <w:rsid w:val="0039763D"/>
    <w:rsid w:val="00397874"/>
    <w:rsid w:val="00397895"/>
    <w:rsid w:val="0039789C"/>
    <w:rsid w:val="003978C3"/>
    <w:rsid w:val="003978EE"/>
    <w:rsid w:val="00397A88"/>
    <w:rsid w:val="00397ACC"/>
    <w:rsid w:val="00397B8F"/>
    <w:rsid w:val="00397BA1"/>
    <w:rsid w:val="00397C2C"/>
    <w:rsid w:val="00397C41"/>
    <w:rsid w:val="00397CF6"/>
    <w:rsid w:val="00397D23"/>
    <w:rsid w:val="00397D7D"/>
    <w:rsid w:val="00397D97"/>
    <w:rsid w:val="00397DED"/>
    <w:rsid w:val="00397EA2"/>
    <w:rsid w:val="00397F25"/>
    <w:rsid w:val="00397FAC"/>
    <w:rsid w:val="003A0077"/>
    <w:rsid w:val="003A00DB"/>
    <w:rsid w:val="003A010B"/>
    <w:rsid w:val="003A0113"/>
    <w:rsid w:val="003A0132"/>
    <w:rsid w:val="003A0185"/>
    <w:rsid w:val="003A01CF"/>
    <w:rsid w:val="003A0254"/>
    <w:rsid w:val="003A026C"/>
    <w:rsid w:val="003A029D"/>
    <w:rsid w:val="003A029F"/>
    <w:rsid w:val="003A0427"/>
    <w:rsid w:val="003A04AC"/>
    <w:rsid w:val="003A0582"/>
    <w:rsid w:val="003A0666"/>
    <w:rsid w:val="003A072C"/>
    <w:rsid w:val="003A0899"/>
    <w:rsid w:val="003A08CF"/>
    <w:rsid w:val="003A0A81"/>
    <w:rsid w:val="003A0B61"/>
    <w:rsid w:val="003A0B98"/>
    <w:rsid w:val="003A0BAA"/>
    <w:rsid w:val="003A0BC6"/>
    <w:rsid w:val="003A0CD4"/>
    <w:rsid w:val="003A0D5D"/>
    <w:rsid w:val="003A0ECB"/>
    <w:rsid w:val="003A0F44"/>
    <w:rsid w:val="003A0F6C"/>
    <w:rsid w:val="003A0FC0"/>
    <w:rsid w:val="003A0FC6"/>
    <w:rsid w:val="003A10E0"/>
    <w:rsid w:val="003A11A5"/>
    <w:rsid w:val="003A11F4"/>
    <w:rsid w:val="003A13C8"/>
    <w:rsid w:val="003A1502"/>
    <w:rsid w:val="003A166E"/>
    <w:rsid w:val="003A16A2"/>
    <w:rsid w:val="003A1757"/>
    <w:rsid w:val="003A17AD"/>
    <w:rsid w:val="003A1838"/>
    <w:rsid w:val="003A191A"/>
    <w:rsid w:val="003A19CD"/>
    <w:rsid w:val="003A19DB"/>
    <w:rsid w:val="003A1A88"/>
    <w:rsid w:val="003A1A8E"/>
    <w:rsid w:val="003A1AB9"/>
    <w:rsid w:val="003A1AC5"/>
    <w:rsid w:val="003A1AFD"/>
    <w:rsid w:val="003A1B02"/>
    <w:rsid w:val="003A1B39"/>
    <w:rsid w:val="003A1BF8"/>
    <w:rsid w:val="003A1D16"/>
    <w:rsid w:val="003A1DE4"/>
    <w:rsid w:val="003A1EC7"/>
    <w:rsid w:val="003A1ECA"/>
    <w:rsid w:val="003A1FC1"/>
    <w:rsid w:val="003A2012"/>
    <w:rsid w:val="003A2077"/>
    <w:rsid w:val="003A2224"/>
    <w:rsid w:val="003A2277"/>
    <w:rsid w:val="003A22A0"/>
    <w:rsid w:val="003A22DD"/>
    <w:rsid w:val="003A2328"/>
    <w:rsid w:val="003A2378"/>
    <w:rsid w:val="003A24F0"/>
    <w:rsid w:val="003A24FD"/>
    <w:rsid w:val="003A258A"/>
    <w:rsid w:val="003A25C7"/>
    <w:rsid w:val="003A2630"/>
    <w:rsid w:val="003A264A"/>
    <w:rsid w:val="003A26C3"/>
    <w:rsid w:val="003A270B"/>
    <w:rsid w:val="003A2719"/>
    <w:rsid w:val="003A271B"/>
    <w:rsid w:val="003A27B9"/>
    <w:rsid w:val="003A2868"/>
    <w:rsid w:val="003A289B"/>
    <w:rsid w:val="003A28EC"/>
    <w:rsid w:val="003A295B"/>
    <w:rsid w:val="003A2A76"/>
    <w:rsid w:val="003A2A9C"/>
    <w:rsid w:val="003A2AB4"/>
    <w:rsid w:val="003A2AF6"/>
    <w:rsid w:val="003A2B0B"/>
    <w:rsid w:val="003A2B59"/>
    <w:rsid w:val="003A2B99"/>
    <w:rsid w:val="003A2CE2"/>
    <w:rsid w:val="003A2E35"/>
    <w:rsid w:val="003A2E8C"/>
    <w:rsid w:val="003A2EE0"/>
    <w:rsid w:val="003A2F23"/>
    <w:rsid w:val="003A3246"/>
    <w:rsid w:val="003A32A6"/>
    <w:rsid w:val="003A32DC"/>
    <w:rsid w:val="003A332A"/>
    <w:rsid w:val="003A33BF"/>
    <w:rsid w:val="003A3451"/>
    <w:rsid w:val="003A3506"/>
    <w:rsid w:val="003A3697"/>
    <w:rsid w:val="003A37D0"/>
    <w:rsid w:val="003A3864"/>
    <w:rsid w:val="003A3889"/>
    <w:rsid w:val="003A3A40"/>
    <w:rsid w:val="003A3B1D"/>
    <w:rsid w:val="003A3C8D"/>
    <w:rsid w:val="003A3D31"/>
    <w:rsid w:val="003A3D9A"/>
    <w:rsid w:val="003A3DEB"/>
    <w:rsid w:val="003A3DF1"/>
    <w:rsid w:val="003A3E04"/>
    <w:rsid w:val="003A3EA4"/>
    <w:rsid w:val="003A3F23"/>
    <w:rsid w:val="003A3F4E"/>
    <w:rsid w:val="003A4026"/>
    <w:rsid w:val="003A40E6"/>
    <w:rsid w:val="003A42A7"/>
    <w:rsid w:val="003A443F"/>
    <w:rsid w:val="003A4459"/>
    <w:rsid w:val="003A448E"/>
    <w:rsid w:val="003A4500"/>
    <w:rsid w:val="003A453E"/>
    <w:rsid w:val="003A4546"/>
    <w:rsid w:val="003A458D"/>
    <w:rsid w:val="003A4702"/>
    <w:rsid w:val="003A47BF"/>
    <w:rsid w:val="003A4806"/>
    <w:rsid w:val="003A48A9"/>
    <w:rsid w:val="003A48D2"/>
    <w:rsid w:val="003A4953"/>
    <w:rsid w:val="003A49A1"/>
    <w:rsid w:val="003A4B2B"/>
    <w:rsid w:val="003A4B36"/>
    <w:rsid w:val="003A4B77"/>
    <w:rsid w:val="003A4BCA"/>
    <w:rsid w:val="003A4C16"/>
    <w:rsid w:val="003A4C1C"/>
    <w:rsid w:val="003A4CE3"/>
    <w:rsid w:val="003A4D77"/>
    <w:rsid w:val="003A4D88"/>
    <w:rsid w:val="003A4DA5"/>
    <w:rsid w:val="003A4DA9"/>
    <w:rsid w:val="003A4DEF"/>
    <w:rsid w:val="003A4E3B"/>
    <w:rsid w:val="003A4E83"/>
    <w:rsid w:val="003A4EE0"/>
    <w:rsid w:val="003A4F68"/>
    <w:rsid w:val="003A4F6D"/>
    <w:rsid w:val="003A50EA"/>
    <w:rsid w:val="003A512A"/>
    <w:rsid w:val="003A5160"/>
    <w:rsid w:val="003A5161"/>
    <w:rsid w:val="003A51AD"/>
    <w:rsid w:val="003A5256"/>
    <w:rsid w:val="003A5269"/>
    <w:rsid w:val="003A534C"/>
    <w:rsid w:val="003A54D8"/>
    <w:rsid w:val="003A55B5"/>
    <w:rsid w:val="003A56A4"/>
    <w:rsid w:val="003A5799"/>
    <w:rsid w:val="003A5855"/>
    <w:rsid w:val="003A589F"/>
    <w:rsid w:val="003A596C"/>
    <w:rsid w:val="003A597E"/>
    <w:rsid w:val="003A5AAA"/>
    <w:rsid w:val="003A5B0C"/>
    <w:rsid w:val="003A5B36"/>
    <w:rsid w:val="003A5B47"/>
    <w:rsid w:val="003A5BAD"/>
    <w:rsid w:val="003A5CC3"/>
    <w:rsid w:val="003A5D00"/>
    <w:rsid w:val="003A5D8A"/>
    <w:rsid w:val="003A5E05"/>
    <w:rsid w:val="003A5EAF"/>
    <w:rsid w:val="003A5FAA"/>
    <w:rsid w:val="003A6070"/>
    <w:rsid w:val="003A607C"/>
    <w:rsid w:val="003A60A8"/>
    <w:rsid w:val="003A60A9"/>
    <w:rsid w:val="003A610A"/>
    <w:rsid w:val="003A6135"/>
    <w:rsid w:val="003A6205"/>
    <w:rsid w:val="003A620C"/>
    <w:rsid w:val="003A6231"/>
    <w:rsid w:val="003A62E0"/>
    <w:rsid w:val="003A633D"/>
    <w:rsid w:val="003A63D8"/>
    <w:rsid w:val="003A657B"/>
    <w:rsid w:val="003A6583"/>
    <w:rsid w:val="003A660B"/>
    <w:rsid w:val="003A6638"/>
    <w:rsid w:val="003A66F8"/>
    <w:rsid w:val="003A6823"/>
    <w:rsid w:val="003A6895"/>
    <w:rsid w:val="003A68A4"/>
    <w:rsid w:val="003A69C0"/>
    <w:rsid w:val="003A6A1C"/>
    <w:rsid w:val="003A6B6E"/>
    <w:rsid w:val="003A6BB6"/>
    <w:rsid w:val="003A6C4B"/>
    <w:rsid w:val="003A6C78"/>
    <w:rsid w:val="003A6D2A"/>
    <w:rsid w:val="003A6DD5"/>
    <w:rsid w:val="003A6DE1"/>
    <w:rsid w:val="003A6DFB"/>
    <w:rsid w:val="003A6EC5"/>
    <w:rsid w:val="003A6F5D"/>
    <w:rsid w:val="003A6F6A"/>
    <w:rsid w:val="003A6FF6"/>
    <w:rsid w:val="003A7018"/>
    <w:rsid w:val="003A7040"/>
    <w:rsid w:val="003A70D4"/>
    <w:rsid w:val="003A7128"/>
    <w:rsid w:val="003A724D"/>
    <w:rsid w:val="003A72D1"/>
    <w:rsid w:val="003A7370"/>
    <w:rsid w:val="003A7521"/>
    <w:rsid w:val="003A75F3"/>
    <w:rsid w:val="003A76B2"/>
    <w:rsid w:val="003A7769"/>
    <w:rsid w:val="003A7824"/>
    <w:rsid w:val="003A783A"/>
    <w:rsid w:val="003A7896"/>
    <w:rsid w:val="003A7928"/>
    <w:rsid w:val="003A7A25"/>
    <w:rsid w:val="003A7C51"/>
    <w:rsid w:val="003A7C91"/>
    <w:rsid w:val="003A7CC1"/>
    <w:rsid w:val="003A7CD5"/>
    <w:rsid w:val="003A7D66"/>
    <w:rsid w:val="003A7DDE"/>
    <w:rsid w:val="003A7E58"/>
    <w:rsid w:val="003A7F51"/>
    <w:rsid w:val="003B001A"/>
    <w:rsid w:val="003B00F5"/>
    <w:rsid w:val="003B0317"/>
    <w:rsid w:val="003B0339"/>
    <w:rsid w:val="003B06AA"/>
    <w:rsid w:val="003B06E1"/>
    <w:rsid w:val="003B0849"/>
    <w:rsid w:val="003B0879"/>
    <w:rsid w:val="003B0923"/>
    <w:rsid w:val="003B0D45"/>
    <w:rsid w:val="003B0D69"/>
    <w:rsid w:val="003B0DBC"/>
    <w:rsid w:val="003B0E2C"/>
    <w:rsid w:val="003B0F0F"/>
    <w:rsid w:val="003B0FA4"/>
    <w:rsid w:val="003B0FB0"/>
    <w:rsid w:val="003B0FB3"/>
    <w:rsid w:val="003B1112"/>
    <w:rsid w:val="003B1122"/>
    <w:rsid w:val="003B118D"/>
    <w:rsid w:val="003B1245"/>
    <w:rsid w:val="003B140F"/>
    <w:rsid w:val="003B1460"/>
    <w:rsid w:val="003B1490"/>
    <w:rsid w:val="003B1547"/>
    <w:rsid w:val="003B15DC"/>
    <w:rsid w:val="003B1660"/>
    <w:rsid w:val="003B1662"/>
    <w:rsid w:val="003B169D"/>
    <w:rsid w:val="003B16A9"/>
    <w:rsid w:val="003B16E2"/>
    <w:rsid w:val="003B177B"/>
    <w:rsid w:val="003B1830"/>
    <w:rsid w:val="003B188F"/>
    <w:rsid w:val="003B18A7"/>
    <w:rsid w:val="003B1917"/>
    <w:rsid w:val="003B1991"/>
    <w:rsid w:val="003B19BD"/>
    <w:rsid w:val="003B19D5"/>
    <w:rsid w:val="003B1A05"/>
    <w:rsid w:val="003B1AB6"/>
    <w:rsid w:val="003B1B57"/>
    <w:rsid w:val="003B1BA0"/>
    <w:rsid w:val="003B1C7D"/>
    <w:rsid w:val="003B1C7E"/>
    <w:rsid w:val="003B1CA9"/>
    <w:rsid w:val="003B1D1F"/>
    <w:rsid w:val="003B1D34"/>
    <w:rsid w:val="003B1D8E"/>
    <w:rsid w:val="003B1DF6"/>
    <w:rsid w:val="003B1F5A"/>
    <w:rsid w:val="003B2015"/>
    <w:rsid w:val="003B205D"/>
    <w:rsid w:val="003B2121"/>
    <w:rsid w:val="003B214F"/>
    <w:rsid w:val="003B2368"/>
    <w:rsid w:val="003B239F"/>
    <w:rsid w:val="003B244A"/>
    <w:rsid w:val="003B24BB"/>
    <w:rsid w:val="003B2572"/>
    <w:rsid w:val="003B2653"/>
    <w:rsid w:val="003B26FA"/>
    <w:rsid w:val="003B2751"/>
    <w:rsid w:val="003B2753"/>
    <w:rsid w:val="003B2962"/>
    <w:rsid w:val="003B29A1"/>
    <w:rsid w:val="003B29C3"/>
    <w:rsid w:val="003B29FC"/>
    <w:rsid w:val="003B2A18"/>
    <w:rsid w:val="003B2A8F"/>
    <w:rsid w:val="003B2B20"/>
    <w:rsid w:val="003B2B8A"/>
    <w:rsid w:val="003B2C25"/>
    <w:rsid w:val="003B2D04"/>
    <w:rsid w:val="003B2D59"/>
    <w:rsid w:val="003B2D60"/>
    <w:rsid w:val="003B2DD2"/>
    <w:rsid w:val="003B2F9F"/>
    <w:rsid w:val="003B2FF0"/>
    <w:rsid w:val="003B3033"/>
    <w:rsid w:val="003B3072"/>
    <w:rsid w:val="003B311E"/>
    <w:rsid w:val="003B3216"/>
    <w:rsid w:val="003B3284"/>
    <w:rsid w:val="003B3287"/>
    <w:rsid w:val="003B3432"/>
    <w:rsid w:val="003B3516"/>
    <w:rsid w:val="003B354A"/>
    <w:rsid w:val="003B36A6"/>
    <w:rsid w:val="003B3762"/>
    <w:rsid w:val="003B37F2"/>
    <w:rsid w:val="003B3890"/>
    <w:rsid w:val="003B3913"/>
    <w:rsid w:val="003B39A1"/>
    <w:rsid w:val="003B3AFB"/>
    <w:rsid w:val="003B3C99"/>
    <w:rsid w:val="003B3CA1"/>
    <w:rsid w:val="003B3DA6"/>
    <w:rsid w:val="003B3E84"/>
    <w:rsid w:val="003B3F67"/>
    <w:rsid w:val="003B3FFB"/>
    <w:rsid w:val="003B40DA"/>
    <w:rsid w:val="003B40E3"/>
    <w:rsid w:val="003B428E"/>
    <w:rsid w:val="003B4294"/>
    <w:rsid w:val="003B42BF"/>
    <w:rsid w:val="003B42E7"/>
    <w:rsid w:val="003B43FD"/>
    <w:rsid w:val="003B43FE"/>
    <w:rsid w:val="003B440F"/>
    <w:rsid w:val="003B4422"/>
    <w:rsid w:val="003B445B"/>
    <w:rsid w:val="003B4474"/>
    <w:rsid w:val="003B44D0"/>
    <w:rsid w:val="003B4591"/>
    <w:rsid w:val="003B45FE"/>
    <w:rsid w:val="003B4607"/>
    <w:rsid w:val="003B4663"/>
    <w:rsid w:val="003B4774"/>
    <w:rsid w:val="003B47F8"/>
    <w:rsid w:val="003B4844"/>
    <w:rsid w:val="003B48EA"/>
    <w:rsid w:val="003B4930"/>
    <w:rsid w:val="003B493F"/>
    <w:rsid w:val="003B4A8F"/>
    <w:rsid w:val="003B4B3F"/>
    <w:rsid w:val="003B4B46"/>
    <w:rsid w:val="003B4BFB"/>
    <w:rsid w:val="003B4C90"/>
    <w:rsid w:val="003B4DB4"/>
    <w:rsid w:val="003B4DFF"/>
    <w:rsid w:val="003B4E32"/>
    <w:rsid w:val="003B4E66"/>
    <w:rsid w:val="003B4E98"/>
    <w:rsid w:val="003B5158"/>
    <w:rsid w:val="003B516E"/>
    <w:rsid w:val="003B5173"/>
    <w:rsid w:val="003B5203"/>
    <w:rsid w:val="003B524F"/>
    <w:rsid w:val="003B5280"/>
    <w:rsid w:val="003B5320"/>
    <w:rsid w:val="003B5385"/>
    <w:rsid w:val="003B53FB"/>
    <w:rsid w:val="003B540D"/>
    <w:rsid w:val="003B549A"/>
    <w:rsid w:val="003B54A1"/>
    <w:rsid w:val="003B557A"/>
    <w:rsid w:val="003B55CC"/>
    <w:rsid w:val="003B57E0"/>
    <w:rsid w:val="003B59D5"/>
    <w:rsid w:val="003B5A71"/>
    <w:rsid w:val="003B5B75"/>
    <w:rsid w:val="003B5C6E"/>
    <w:rsid w:val="003B5D7B"/>
    <w:rsid w:val="003B5E0D"/>
    <w:rsid w:val="003B5E93"/>
    <w:rsid w:val="003B5EA3"/>
    <w:rsid w:val="003B5EBF"/>
    <w:rsid w:val="003B5ED1"/>
    <w:rsid w:val="003B5F3E"/>
    <w:rsid w:val="003B5FC1"/>
    <w:rsid w:val="003B62A1"/>
    <w:rsid w:val="003B62E9"/>
    <w:rsid w:val="003B6430"/>
    <w:rsid w:val="003B648F"/>
    <w:rsid w:val="003B64CA"/>
    <w:rsid w:val="003B64D8"/>
    <w:rsid w:val="003B6544"/>
    <w:rsid w:val="003B661E"/>
    <w:rsid w:val="003B66BA"/>
    <w:rsid w:val="003B67D4"/>
    <w:rsid w:val="003B6809"/>
    <w:rsid w:val="003B69FA"/>
    <w:rsid w:val="003B6B1C"/>
    <w:rsid w:val="003B6C23"/>
    <w:rsid w:val="003B6D18"/>
    <w:rsid w:val="003B6D42"/>
    <w:rsid w:val="003B6DBC"/>
    <w:rsid w:val="003B6E28"/>
    <w:rsid w:val="003B6F83"/>
    <w:rsid w:val="003B6FA7"/>
    <w:rsid w:val="003B7082"/>
    <w:rsid w:val="003B715F"/>
    <w:rsid w:val="003B717D"/>
    <w:rsid w:val="003B7280"/>
    <w:rsid w:val="003B7397"/>
    <w:rsid w:val="003B7462"/>
    <w:rsid w:val="003B74B5"/>
    <w:rsid w:val="003B75DC"/>
    <w:rsid w:val="003B761D"/>
    <w:rsid w:val="003B7642"/>
    <w:rsid w:val="003B76EC"/>
    <w:rsid w:val="003B7753"/>
    <w:rsid w:val="003B7767"/>
    <w:rsid w:val="003B777B"/>
    <w:rsid w:val="003B7880"/>
    <w:rsid w:val="003B7884"/>
    <w:rsid w:val="003B78F4"/>
    <w:rsid w:val="003B7907"/>
    <w:rsid w:val="003B793C"/>
    <w:rsid w:val="003B7A5C"/>
    <w:rsid w:val="003B7A8C"/>
    <w:rsid w:val="003B7AC2"/>
    <w:rsid w:val="003B7C5F"/>
    <w:rsid w:val="003B7D11"/>
    <w:rsid w:val="003B7E70"/>
    <w:rsid w:val="003B7EBD"/>
    <w:rsid w:val="003B7EE7"/>
    <w:rsid w:val="003B7F88"/>
    <w:rsid w:val="003C0002"/>
    <w:rsid w:val="003C00E1"/>
    <w:rsid w:val="003C0114"/>
    <w:rsid w:val="003C014B"/>
    <w:rsid w:val="003C019A"/>
    <w:rsid w:val="003C01E1"/>
    <w:rsid w:val="003C02E8"/>
    <w:rsid w:val="003C02F3"/>
    <w:rsid w:val="003C037B"/>
    <w:rsid w:val="003C03A0"/>
    <w:rsid w:val="003C03DA"/>
    <w:rsid w:val="003C056E"/>
    <w:rsid w:val="003C05A0"/>
    <w:rsid w:val="003C05FE"/>
    <w:rsid w:val="003C06C1"/>
    <w:rsid w:val="003C06C3"/>
    <w:rsid w:val="003C07AC"/>
    <w:rsid w:val="003C07EA"/>
    <w:rsid w:val="003C09EA"/>
    <w:rsid w:val="003C0A5F"/>
    <w:rsid w:val="003C0ACD"/>
    <w:rsid w:val="003C0ADC"/>
    <w:rsid w:val="003C0B9E"/>
    <w:rsid w:val="003C0BE4"/>
    <w:rsid w:val="003C0C24"/>
    <w:rsid w:val="003C0C8D"/>
    <w:rsid w:val="003C0CD0"/>
    <w:rsid w:val="003C0D40"/>
    <w:rsid w:val="003C0FDC"/>
    <w:rsid w:val="003C0FED"/>
    <w:rsid w:val="003C100C"/>
    <w:rsid w:val="003C113D"/>
    <w:rsid w:val="003C1168"/>
    <w:rsid w:val="003C1188"/>
    <w:rsid w:val="003C1274"/>
    <w:rsid w:val="003C12FB"/>
    <w:rsid w:val="003C1322"/>
    <w:rsid w:val="003C14FF"/>
    <w:rsid w:val="003C156D"/>
    <w:rsid w:val="003C15E8"/>
    <w:rsid w:val="003C168B"/>
    <w:rsid w:val="003C178C"/>
    <w:rsid w:val="003C18A9"/>
    <w:rsid w:val="003C191C"/>
    <w:rsid w:val="003C1A78"/>
    <w:rsid w:val="003C1AB8"/>
    <w:rsid w:val="003C1C7E"/>
    <w:rsid w:val="003C1CF0"/>
    <w:rsid w:val="003C1D96"/>
    <w:rsid w:val="003C1DFD"/>
    <w:rsid w:val="003C1E50"/>
    <w:rsid w:val="003C1E52"/>
    <w:rsid w:val="003C20C9"/>
    <w:rsid w:val="003C213C"/>
    <w:rsid w:val="003C21CD"/>
    <w:rsid w:val="003C226F"/>
    <w:rsid w:val="003C2278"/>
    <w:rsid w:val="003C237C"/>
    <w:rsid w:val="003C23E9"/>
    <w:rsid w:val="003C23FB"/>
    <w:rsid w:val="003C24AF"/>
    <w:rsid w:val="003C24B4"/>
    <w:rsid w:val="003C2619"/>
    <w:rsid w:val="003C282F"/>
    <w:rsid w:val="003C286C"/>
    <w:rsid w:val="003C28F8"/>
    <w:rsid w:val="003C2A27"/>
    <w:rsid w:val="003C2A6F"/>
    <w:rsid w:val="003C2C79"/>
    <w:rsid w:val="003C2D90"/>
    <w:rsid w:val="003C2FFA"/>
    <w:rsid w:val="003C3088"/>
    <w:rsid w:val="003C30C2"/>
    <w:rsid w:val="003C31C5"/>
    <w:rsid w:val="003C32BA"/>
    <w:rsid w:val="003C34C6"/>
    <w:rsid w:val="003C35E9"/>
    <w:rsid w:val="003C3614"/>
    <w:rsid w:val="003C3630"/>
    <w:rsid w:val="003C36AD"/>
    <w:rsid w:val="003C3764"/>
    <w:rsid w:val="003C379B"/>
    <w:rsid w:val="003C37C7"/>
    <w:rsid w:val="003C3892"/>
    <w:rsid w:val="003C38DB"/>
    <w:rsid w:val="003C3A17"/>
    <w:rsid w:val="003C3A68"/>
    <w:rsid w:val="003C3B14"/>
    <w:rsid w:val="003C3C08"/>
    <w:rsid w:val="003C3C0E"/>
    <w:rsid w:val="003C3CE0"/>
    <w:rsid w:val="003C3DC6"/>
    <w:rsid w:val="003C3E78"/>
    <w:rsid w:val="003C3F14"/>
    <w:rsid w:val="003C3F89"/>
    <w:rsid w:val="003C4125"/>
    <w:rsid w:val="003C4129"/>
    <w:rsid w:val="003C4134"/>
    <w:rsid w:val="003C4246"/>
    <w:rsid w:val="003C424C"/>
    <w:rsid w:val="003C4281"/>
    <w:rsid w:val="003C42E1"/>
    <w:rsid w:val="003C4388"/>
    <w:rsid w:val="003C442A"/>
    <w:rsid w:val="003C4453"/>
    <w:rsid w:val="003C4506"/>
    <w:rsid w:val="003C4610"/>
    <w:rsid w:val="003C4644"/>
    <w:rsid w:val="003C4646"/>
    <w:rsid w:val="003C4694"/>
    <w:rsid w:val="003C477D"/>
    <w:rsid w:val="003C4812"/>
    <w:rsid w:val="003C49E7"/>
    <w:rsid w:val="003C4BC9"/>
    <w:rsid w:val="003C4C66"/>
    <w:rsid w:val="003C4D9C"/>
    <w:rsid w:val="003C5023"/>
    <w:rsid w:val="003C513B"/>
    <w:rsid w:val="003C516B"/>
    <w:rsid w:val="003C517C"/>
    <w:rsid w:val="003C51A3"/>
    <w:rsid w:val="003C51F8"/>
    <w:rsid w:val="003C5236"/>
    <w:rsid w:val="003C5368"/>
    <w:rsid w:val="003C5377"/>
    <w:rsid w:val="003C53F3"/>
    <w:rsid w:val="003C56E4"/>
    <w:rsid w:val="003C58F8"/>
    <w:rsid w:val="003C59A8"/>
    <w:rsid w:val="003C59C4"/>
    <w:rsid w:val="003C5ADE"/>
    <w:rsid w:val="003C5B28"/>
    <w:rsid w:val="003C5C83"/>
    <w:rsid w:val="003C5D41"/>
    <w:rsid w:val="003C5EAA"/>
    <w:rsid w:val="003C5EF1"/>
    <w:rsid w:val="003C5F12"/>
    <w:rsid w:val="003C5FBD"/>
    <w:rsid w:val="003C606B"/>
    <w:rsid w:val="003C60F8"/>
    <w:rsid w:val="003C6126"/>
    <w:rsid w:val="003C6150"/>
    <w:rsid w:val="003C61C5"/>
    <w:rsid w:val="003C61C7"/>
    <w:rsid w:val="003C625B"/>
    <w:rsid w:val="003C628E"/>
    <w:rsid w:val="003C6380"/>
    <w:rsid w:val="003C64CD"/>
    <w:rsid w:val="003C662E"/>
    <w:rsid w:val="003C66A7"/>
    <w:rsid w:val="003C66F4"/>
    <w:rsid w:val="003C6822"/>
    <w:rsid w:val="003C686A"/>
    <w:rsid w:val="003C68C7"/>
    <w:rsid w:val="003C68D6"/>
    <w:rsid w:val="003C6919"/>
    <w:rsid w:val="003C6A11"/>
    <w:rsid w:val="003C6A45"/>
    <w:rsid w:val="003C6AE3"/>
    <w:rsid w:val="003C6B08"/>
    <w:rsid w:val="003C6B54"/>
    <w:rsid w:val="003C6BDA"/>
    <w:rsid w:val="003C6D9A"/>
    <w:rsid w:val="003C6DB9"/>
    <w:rsid w:val="003C6E03"/>
    <w:rsid w:val="003C6E13"/>
    <w:rsid w:val="003C6E2A"/>
    <w:rsid w:val="003C6E32"/>
    <w:rsid w:val="003C6E3A"/>
    <w:rsid w:val="003C6E42"/>
    <w:rsid w:val="003C6F18"/>
    <w:rsid w:val="003C703D"/>
    <w:rsid w:val="003C70F0"/>
    <w:rsid w:val="003C7135"/>
    <w:rsid w:val="003C71B1"/>
    <w:rsid w:val="003C7233"/>
    <w:rsid w:val="003C7252"/>
    <w:rsid w:val="003C725C"/>
    <w:rsid w:val="003C7270"/>
    <w:rsid w:val="003C72D9"/>
    <w:rsid w:val="003C741F"/>
    <w:rsid w:val="003C7444"/>
    <w:rsid w:val="003C74F5"/>
    <w:rsid w:val="003C7514"/>
    <w:rsid w:val="003C75CA"/>
    <w:rsid w:val="003C75EF"/>
    <w:rsid w:val="003C76C6"/>
    <w:rsid w:val="003C77AA"/>
    <w:rsid w:val="003C77F7"/>
    <w:rsid w:val="003C78B7"/>
    <w:rsid w:val="003C792C"/>
    <w:rsid w:val="003C79D4"/>
    <w:rsid w:val="003C79EB"/>
    <w:rsid w:val="003C7D1A"/>
    <w:rsid w:val="003C7D5C"/>
    <w:rsid w:val="003C7DCE"/>
    <w:rsid w:val="003C7E88"/>
    <w:rsid w:val="003C7F17"/>
    <w:rsid w:val="003C7F23"/>
    <w:rsid w:val="003D0135"/>
    <w:rsid w:val="003D016C"/>
    <w:rsid w:val="003D018C"/>
    <w:rsid w:val="003D01F8"/>
    <w:rsid w:val="003D024E"/>
    <w:rsid w:val="003D0271"/>
    <w:rsid w:val="003D02A7"/>
    <w:rsid w:val="003D0326"/>
    <w:rsid w:val="003D034A"/>
    <w:rsid w:val="003D0354"/>
    <w:rsid w:val="003D0489"/>
    <w:rsid w:val="003D0521"/>
    <w:rsid w:val="003D058B"/>
    <w:rsid w:val="003D05D4"/>
    <w:rsid w:val="003D0644"/>
    <w:rsid w:val="003D0884"/>
    <w:rsid w:val="003D0A49"/>
    <w:rsid w:val="003D0A53"/>
    <w:rsid w:val="003D0A63"/>
    <w:rsid w:val="003D0B7D"/>
    <w:rsid w:val="003D0BDC"/>
    <w:rsid w:val="003D0CC8"/>
    <w:rsid w:val="003D0CFF"/>
    <w:rsid w:val="003D0D57"/>
    <w:rsid w:val="003D0D5C"/>
    <w:rsid w:val="003D0DE9"/>
    <w:rsid w:val="003D0DF2"/>
    <w:rsid w:val="003D0FCB"/>
    <w:rsid w:val="003D1094"/>
    <w:rsid w:val="003D10A2"/>
    <w:rsid w:val="003D10D8"/>
    <w:rsid w:val="003D10E6"/>
    <w:rsid w:val="003D1172"/>
    <w:rsid w:val="003D11DB"/>
    <w:rsid w:val="003D11FA"/>
    <w:rsid w:val="003D1297"/>
    <w:rsid w:val="003D1622"/>
    <w:rsid w:val="003D187D"/>
    <w:rsid w:val="003D1915"/>
    <w:rsid w:val="003D1A07"/>
    <w:rsid w:val="003D1A82"/>
    <w:rsid w:val="003D1BA8"/>
    <w:rsid w:val="003D1BBA"/>
    <w:rsid w:val="003D1C6C"/>
    <w:rsid w:val="003D1C6E"/>
    <w:rsid w:val="003D1D01"/>
    <w:rsid w:val="003D1D32"/>
    <w:rsid w:val="003D1EB0"/>
    <w:rsid w:val="003D1ECB"/>
    <w:rsid w:val="003D1F66"/>
    <w:rsid w:val="003D1FC6"/>
    <w:rsid w:val="003D20AE"/>
    <w:rsid w:val="003D20F7"/>
    <w:rsid w:val="003D219E"/>
    <w:rsid w:val="003D2253"/>
    <w:rsid w:val="003D236B"/>
    <w:rsid w:val="003D23B1"/>
    <w:rsid w:val="003D241F"/>
    <w:rsid w:val="003D2468"/>
    <w:rsid w:val="003D24F3"/>
    <w:rsid w:val="003D2516"/>
    <w:rsid w:val="003D25E5"/>
    <w:rsid w:val="003D2605"/>
    <w:rsid w:val="003D266D"/>
    <w:rsid w:val="003D268E"/>
    <w:rsid w:val="003D26C2"/>
    <w:rsid w:val="003D26D6"/>
    <w:rsid w:val="003D272F"/>
    <w:rsid w:val="003D2744"/>
    <w:rsid w:val="003D2811"/>
    <w:rsid w:val="003D28C6"/>
    <w:rsid w:val="003D28FF"/>
    <w:rsid w:val="003D2923"/>
    <w:rsid w:val="003D2A1A"/>
    <w:rsid w:val="003D2A40"/>
    <w:rsid w:val="003D2AD9"/>
    <w:rsid w:val="003D2B1D"/>
    <w:rsid w:val="003D2C18"/>
    <w:rsid w:val="003D2CA1"/>
    <w:rsid w:val="003D2CF6"/>
    <w:rsid w:val="003D2D22"/>
    <w:rsid w:val="003D2D69"/>
    <w:rsid w:val="003D2D73"/>
    <w:rsid w:val="003D2E1D"/>
    <w:rsid w:val="003D2EDD"/>
    <w:rsid w:val="003D2F61"/>
    <w:rsid w:val="003D2F6A"/>
    <w:rsid w:val="003D2F93"/>
    <w:rsid w:val="003D304F"/>
    <w:rsid w:val="003D30D2"/>
    <w:rsid w:val="003D315B"/>
    <w:rsid w:val="003D31EE"/>
    <w:rsid w:val="003D3202"/>
    <w:rsid w:val="003D3255"/>
    <w:rsid w:val="003D328C"/>
    <w:rsid w:val="003D3316"/>
    <w:rsid w:val="003D3394"/>
    <w:rsid w:val="003D3745"/>
    <w:rsid w:val="003D37C2"/>
    <w:rsid w:val="003D3809"/>
    <w:rsid w:val="003D3819"/>
    <w:rsid w:val="003D385E"/>
    <w:rsid w:val="003D3861"/>
    <w:rsid w:val="003D394C"/>
    <w:rsid w:val="003D3A58"/>
    <w:rsid w:val="003D3C50"/>
    <w:rsid w:val="003D3C76"/>
    <w:rsid w:val="003D3CD1"/>
    <w:rsid w:val="003D3D5F"/>
    <w:rsid w:val="003D3DD4"/>
    <w:rsid w:val="003D3E80"/>
    <w:rsid w:val="003D3E91"/>
    <w:rsid w:val="003D3FBC"/>
    <w:rsid w:val="003D3FDA"/>
    <w:rsid w:val="003D409D"/>
    <w:rsid w:val="003D40CF"/>
    <w:rsid w:val="003D411B"/>
    <w:rsid w:val="003D417B"/>
    <w:rsid w:val="003D41D2"/>
    <w:rsid w:val="003D4221"/>
    <w:rsid w:val="003D4227"/>
    <w:rsid w:val="003D424E"/>
    <w:rsid w:val="003D43BD"/>
    <w:rsid w:val="003D4443"/>
    <w:rsid w:val="003D44C5"/>
    <w:rsid w:val="003D451E"/>
    <w:rsid w:val="003D4617"/>
    <w:rsid w:val="003D4678"/>
    <w:rsid w:val="003D4693"/>
    <w:rsid w:val="003D46D9"/>
    <w:rsid w:val="003D4823"/>
    <w:rsid w:val="003D4826"/>
    <w:rsid w:val="003D486F"/>
    <w:rsid w:val="003D4876"/>
    <w:rsid w:val="003D4A5E"/>
    <w:rsid w:val="003D4B5D"/>
    <w:rsid w:val="003D4C39"/>
    <w:rsid w:val="003D4DBF"/>
    <w:rsid w:val="003D4E79"/>
    <w:rsid w:val="003D4EB3"/>
    <w:rsid w:val="003D5146"/>
    <w:rsid w:val="003D5217"/>
    <w:rsid w:val="003D530D"/>
    <w:rsid w:val="003D5312"/>
    <w:rsid w:val="003D5390"/>
    <w:rsid w:val="003D53EF"/>
    <w:rsid w:val="003D5448"/>
    <w:rsid w:val="003D54FD"/>
    <w:rsid w:val="003D55C0"/>
    <w:rsid w:val="003D566A"/>
    <w:rsid w:val="003D57D0"/>
    <w:rsid w:val="003D5801"/>
    <w:rsid w:val="003D589B"/>
    <w:rsid w:val="003D5A68"/>
    <w:rsid w:val="003D5A83"/>
    <w:rsid w:val="003D5AAC"/>
    <w:rsid w:val="003D5B09"/>
    <w:rsid w:val="003D5C57"/>
    <w:rsid w:val="003D5D3F"/>
    <w:rsid w:val="003D5DB5"/>
    <w:rsid w:val="003D5E17"/>
    <w:rsid w:val="003D5E57"/>
    <w:rsid w:val="003D5F42"/>
    <w:rsid w:val="003D5F7D"/>
    <w:rsid w:val="003D5FB9"/>
    <w:rsid w:val="003D6097"/>
    <w:rsid w:val="003D620B"/>
    <w:rsid w:val="003D621F"/>
    <w:rsid w:val="003D635D"/>
    <w:rsid w:val="003D6425"/>
    <w:rsid w:val="003D6456"/>
    <w:rsid w:val="003D655F"/>
    <w:rsid w:val="003D6577"/>
    <w:rsid w:val="003D6667"/>
    <w:rsid w:val="003D66E7"/>
    <w:rsid w:val="003D6748"/>
    <w:rsid w:val="003D6817"/>
    <w:rsid w:val="003D68A9"/>
    <w:rsid w:val="003D6928"/>
    <w:rsid w:val="003D692C"/>
    <w:rsid w:val="003D6931"/>
    <w:rsid w:val="003D6990"/>
    <w:rsid w:val="003D69FB"/>
    <w:rsid w:val="003D6AD6"/>
    <w:rsid w:val="003D6B2C"/>
    <w:rsid w:val="003D6BAF"/>
    <w:rsid w:val="003D6BC3"/>
    <w:rsid w:val="003D6C71"/>
    <w:rsid w:val="003D6CA9"/>
    <w:rsid w:val="003D6CBF"/>
    <w:rsid w:val="003D6CCD"/>
    <w:rsid w:val="003D6D9B"/>
    <w:rsid w:val="003D6DF7"/>
    <w:rsid w:val="003D6E48"/>
    <w:rsid w:val="003D6E8B"/>
    <w:rsid w:val="003D6F37"/>
    <w:rsid w:val="003D6F48"/>
    <w:rsid w:val="003D6F5B"/>
    <w:rsid w:val="003D6F73"/>
    <w:rsid w:val="003D6FF0"/>
    <w:rsid w:val="003D7186"/>
    <w:rsid w:val="003D7242"/>
    <w:rsid w:val="003D72ED"/>
    <w:rsid w:val="003D7368"/>
    <w:rsid w:val="003D744F"/>
    <w:rsid w:val="003D74F5"/>
    <w:rsid w:val="003D7507"/>
    <w:rsid w:val="003D76D6"/>
    <w:rsid w:val="003D792C"/>
    <w:rsid w:val="003D7997"/>
    <w:rsid w:val="003D79FE"/>
    <w:rsid w:val="003D7A6C"/>
    <w:rsid w:val="003D7A72"/>
    <w:rsid w:val="003D7A84"/>
    <w:rsid w:val="003D7A9B"/>
    <w:rsid w:val="003D7B81"/>
    <w:rsid w:val="003D7C23"/>
    <w:rsid w:val="003D7CB3"/>
    <w:rsid w:val="003D7F22"/>
    <w:rsid w:val="003D7F5A"/>
    <w:rsid w:val="003D7F5F"/>
    <w:rsid w:val="003E0006"/>
    <w:rsid w:val="003E003C"/>
    <w:rsid w:val="003E005C"/>
    <w:rsid w:val="003E00AA"/>
    <w:rsid w:val="003E00AF"/>
    <w:rsid w:val="003E0106"/>
    <w:rsid w:val="003E014C"/>
    <w:rsid w:val="003E0158"/>
    <w:rsid w:val="003E0167"/>
    <w:rsid w:val="003E01C2"/>
    <w:rsid w:val="003E02BC"/>
    <w:rsid w:val="003E0381"/>
    <w:rsid w:val="003E0417"/>
    <w:rsid w:val="003E0511"/>
    <w:rsid w:val="003E051E"/>
    <w:rsid w:val="003E0574"/>
    <w:rsid w:val="003E06D2"/>
    <w:rsid w:val="003E06EA"/>
    <w:rsid w:val="003E0752"/>
    <w:rsid w:val="003E07A2"/>
    <w:rsid w:val="003E07BA"/>
    <w:rsid w:val="003E07D3"/>
    <w:rsid w:val="003E0827"/>
    <w:rsid w:val="003E0884"/>
    <w:rsid w:val="003E092A"/>
    <w:rsid w:val="003E0A10"/>
    <w:rsid w:val="003E0B86"/>
    <w:rsid w:val="003E0BD8"/>
    <w:rsid w:val="003E0BEB"/>
    <w:rsid w:val="003E0C4C"/>
    <w:rsid w:val="003E0C53"/>
    <w:rsid w:val="003E0C64"/>
    <w:rsid w:val="003E0C67"/>
    <w:rsid w:val="003E0E04"/>
    <w:rsid w:val="003E0EEF"/>
    <w:rsid w:val="003E0F5D"/>
    <w:rsid w:val="003E0F63"/>
    <w:rsid w:val="003E0FCF"/>
    <w:rsid w:val="003E0FE3"/>
    <w:rsid w:val="003E104E"/>
    <w:rsid w:val="003E1062"/>
    <w:rsid w:val="003E109E"/>
    <w:rsid w:val="003E111E"/>
    <w:rsid w:val="003E1141"/>
    <w:rsid w:val="003E11F7"/>
    <w:rsid w:val="003E1345"/>
    <w:rsid w:val="003E13EF"/>
    <w:rsid w:val="003E1449"/>
    <w:rsid w:val="003E1507"/>
    <w:rsid w:val="003E1544"/>
    <w:rsid w:val="003E163F"/>
    <w:rsid w:val="003E16B6"/>
    <w:rsid w:val="003E18B0"/>
    <w:rsid w:val="003E1AA2"/>
    <w:rsid w:val="003E1B39"/>
    <w:rsid w:val="003E1C4A"/>
    <w:rsid w:val="003E1CFE"/>
    <w:rsid w:val="003E1D12"/>
    <w:rsid w:val="003E1D43"/>
    <w:rsid w:val="003E1DA3"/>
    <w:rsid w:val="003E1EAE"/>
    <w:rsid w:val="003E1EF4"/>
    <w:rsid w:val="003E1F80"/>
    <w:rsid w:val="003E1F93"/>
    <w:rsid w:val="003E207C"/>
    <w:rsid w:val="003E20D6"/>
    <w:rsid w:val="003E20D8"/>
    <w:rsid w:val="003E20EB"/>
    <w:rsid w:val="003E210C"/>
    <w:rsid w:val="003E214A"/>
    <w:rsid w:val="003E217E"/>
    <w:rsid w:val="003E21B3"/>
    <w:rsid w:val="003E21C2"/>
    <w:rsid w:val="003E21E2"/>
    <w:rsid w:val="003E2236"/>
    <w:rsid w:val="003E22BA"/>
    <w:rsid w:val="003E24B9"/>
    <w:rsid w:val="003E24EA"/>
    <w:rsid w:val="003E25B0"/>
    <w:rsid w:val="003E25D3"/>
    <w:rsid w:val="003E261E"/>
    <w:rsid w:val="003E267A"/>
    <w:rsid w:val="003E26C7"/>
    <w:rsid w:val="003E26D1"/>
    <w:rsid w:val="003E28CC"/>
    <w:rsid w:val="003E29E6"/>
    <w:rsid w:val="003E2A7E"/>
    <w:rsid w:val="003E2AB4"/>
    <w:rsid w:val="003E2D3A"/>
    <w:rsid w:val="003E2E1C"/>
    <w:rsid w:val="003E2EEC"/>
    <w:rsid w:val="003E2EF9"/>
    <w:rsid w:val="003E2FAF"/>
    <w:rsid w:val="003E2FBB"/>
    <w:rsid w:val="003E2FDE"/>
    <w:rsid w:val="003E2FFF"/>
    <w:rsid w:val="003E30B1"/>
    <w:rsid w:val="003E30F1"/>
    <w:rsid w:val="003E313E"/>
    <w:rsid w:val="003E31E7"/>
    <w:rsid w:val="003E3272"/>
    <w:rsid w:val="003E3291"/>
    <w:rsid w:val="003E334A"/>
    <w:rsid w:val="003E343D"/>
    <w:rsid w:val="003E3497"/>
    <w:rsid w:val="003E36B1"/>
    <w:rsid w:val="003E3713"/>
    <w:rsid w:val="003E372A"/>
    <w:rsid w:val="003E380E"/>
    <w:rsid w:val="003E3829"/>
    <w:rsid w:val="003E395C"/>
    <w:rsid w:val="003E39D9"/>
    <w:rsid w:val="003E3A45"/>
    <w:rsid w:val="003E3A6C"/>
    <w:rsid w:val="003E3B52"/>
    <w:rsid w:val="003E3B87"/>
    <w:rsid w:val="003E3BC6"/>
    <w:rsid w:val="003E3C06"/>
    <w:rsid w:val="003E3DC1"/>
    <w:rsid w:val="003E3FD9"/>
    <w:rsid w:val="003E4018"/>
    <w:rsid w:val="003E4090"/>
    <w:rsid w:val="003E418D"/>
    <w:rsid w:val="003E4216"/>
    <w:rsid w:val="003E4271"/>
    <w:rsid w:val="003E4305"/>
    <w:rsid w:val="003E43F9"/>
    <w:rsid w:val="003E4418"/>
    <w:rsid w:val="003E4433"/>
    <w:rsid w:val="003E44FE"/>
    <w:rsid w:val="003E4525"/>
    <w:rsid w:val="003E45BD"/>
    <w:rsid w:val="003E474C"/>
    <w:rsid w:val="003E478B"/>
    <w:rsid w:val="003E47B9"/>
    <w:rsid w:val="003E47E1"/>
    <w:rsid w:val="003E480A"/>
    <w:rsid w:val="003E480C"/>
    <w:rsid w:val="003E4810"/>
    <w:rsid w:val="003E4865"/>
    <w:rsid w:val="003E491D"/>
    <w:rsid w:val="003E49EF"/>
    <w:rsid w:val="003E4B7D"/>
    <w:rsid w:val="003E4BC9"/>
    <w:rsid w:val="003E4C28"/>
    <w:rsid w:val="003E4C40"/>
    <w:rsid w:val="003E4CBD"/>
    <w:rsid w:val="003E4D87"/>
    <w:rsid w:val="003E4ED6"/>
    <w:rsid w:val="003E4F53"/>
    <w:rsid w:val="003E5190"/>
    <w:rsid w:val="003E51DB"/>
    <w:rsid w:val="003E521A"/>
    <w:rsid w:val="003E52A2"/>
    <w:rsid w:val="003E530D"/>
    <w:rsid w:val="003E530F"/>
    <w:rsid w:val="003E5329"/>
    <w:rsid w:val="003E5336"/>
    <w:rsid w:val="003E53AD"/>
    <w:rsid w:val="003E540C"/>
    <w:rsid w:val="003E54AB"/>
    <w:rsid w:val="003E54D8"/>
    <w:rsid w:val="003E5505"/>
    <w:rsid w:val="003E550E"/>
    <w:rsid w:val="003E5668"/>
    <w:rsid w:val="003E5752"/>
    <w:rsid w:val="003E57AA"/>
    <w:rsid w:val="003E5849"/>
    <w:rsid w:val="003E597C"/>
    <w:rsid w:val="003E59DF"/>
    <w:rsid w:val="003E5ADE"/>
    <w:rsid w:val="003E5B13"/>
    <w:rsid w:val="003E5B95"/>
    <w:rsid w:val="003E5BC0"/>
    <w:rsid w:val="003E5C07"/>
    <w:rsid w:val="003E5C49"/>
    <w:rsid w:val="003E5CA2"/>
    <w:rsid w:val="003E5CAE"/>
    <w:rsid w:val="003E5D26"/>
    <w:rsid w:val="003E5D2C"/>
    <w:rsid w:val="003E5D9A"/>
    <w:rsid w:val="003E5DAE"/>
    <w:rsid w:val="003E5EAD"/>
    <w:rsid w:val="003E5EB1"/>
    <w:rsid w:val="003E5EE5"/>
    <w:rsid w:val="003E5F18"/>
    <w:rsid w:val="003E5F3E"/>
    <w:rsid w:val="003E5FD9"/>
    <w:rsid w:val="003E604B"/>
    <w:rsid w:val="003E607B"/>
    <w:rsid w:val="003E60AC"/>
    <w:rsid w:val="003E60C7"/>
    <w:rsid w:val="003E6295"/>
    <w:rsid w:val="003E62D5"/>
    <w:rsid w:val="003E632F"/>
    <w:rsid w:val="003E6415"/>
    <w:rsid w:val="003E64A6"/>
    <w:rsid w:val="003E64BE"/>
    <w:rsid w:val="003E64F0"/>
    <w:rsid w:val="003E6505"/>
    <w:rsid w:val="003E65D3"/>
    <w:rsid w:val="003E66A8"/>
    <w:rsid w:val="003E66D4"/>
    <w:rsid w:val="003E67CF"/>
    <w:rsid w:val="003E67F7"/>
    <w:rsid w:val="003E6856"/>
    <w:rsid w:val="003E6898"/>
    <w:rsid w:val="003E6955"/>
    <w:rsid w:val="003E69E5"/>
    <w:rsid w:val="003E6AE0"/>
    <w:rsid w:val="003E6BC4"/>
    <w:rsid w:val="003E6C41"/>
    <w:rsid w:val="003E6CA2"/>
    <w:rsid w:val="003E6CA3"/>
    <w:rsid w:val="003E6D7C"/>
    <w:rsid w:val="003E6DBF"/>
    <w:rsid w:val="003E6DE0"/>
    <w:rsid w:val="003E6F87"/>
    <w:rsid w:val="003E7008"/>
    <w:rsid w:val="003E7047"/>
    <w:rsid w:val="003E7063"/>
    <w:rsid w:val="003E708D"/>
    <w:rsid w:val="003E70B9"/>
    <w:rsid w:val="003E7105"/>
    <w:rsid w:val="003E7271"/>
    <w:rsid w:val="003E72CA"/>
    <w:rsid w:val="003E737E"/>
    <w:rsid w:val="003E738C"/>
    <w:rsid w:val="003E7395"/>
    <w:rsid w:val="003E73E0"/>
    <w:rsid w:val="003E73ED"/>
    <w:rsid w:val="003E740A"/>
    <w:rsid w:val="003E7437"/>
    <w:rsid w:val="003E747D"/>
    <w:rsid w:val="003E750E"/>
    <w:rsid w:val="003E75E7"/>
    <w:rsid w:val="003E75FB"/>
    <w:rsid w:val="003E7603"/>
    <w:rsid w:val="003E76C4"/>
    <w:rsid w:val="003E76C9"/>
    <w:rsid w:val="003E7757"/>
    <w:rsid w:val="003E7777"/>
    <w:rsid w:val="003E77DC"/>
    <w:rsid w:val="003E7861"/>
    <w:rsid w:val="003E787B"/>
    <w:rsid w:val="003E7A26"/>
    <w:rsid w:val="003E7AB9"/>
    <w:rsid w:val="003E7B6F"/>
    <w:rsid w:val="003E7CBD"/>
    <w:rsid w:val="003E7F88"/>
    <w:rsid w:val="003E7FB2"/>
    <w:rsid w:val="003F0047"/>
    <w:rsid w:val="003F00AF"/>
    <w:rsid w:val="003F0262"/>
    <w:rsid w:val="003F0263"/>
    <w:rsid w:val="003F0330"/>
    <w:rsid w:val="003F034F"/>
    <w:rsid w:val="003F03B9"/>
    <w:rsid w:val="003F04D9"/>
    <w:rsid w:val="003F0572"/>
    <w:rsid w:val="003F05BA"/>
    <w:rsid w:val="003F05F4"/>
    <w:rsid w:val="003F0657"/>
    <w:rsid w:val="003F067E"/>
    <w:rsid w:val="003F068E"/>
    <w:rsid w:val="003F06CE"/>
    <w:rsid w:val="003F070F"/>
    <w:rsid w:val="003F0773"/>
    <w:rsid w:val="003F0816"/>
    <w:rsid w:val="003F0878"/>
    <w:rsid w:val="003F09F8"/>
    <w:rsid w:val="003F0A43"/>
    <w:rsid w:val="003F0ABC"/>
    <w:rsid w:val="003F0B08"/>
    <w:rsid w:val="003F0C0E"/>
    <w:rsid w:val="003F0C15"/>
    <w:rsid w:val="003F0C39"/>
    <w:rsid w:val="003F0E45"/>
    <w:rsid w:val="003F0F4D"/>
    <w:rsid w:val="003F102F"/>
    <w:rsid w:val="003F11F4"/>
    <w:rsid w:val="003F129E"/>
    <w:rsid w:val="003F12CD"/>
    <w:rsid w:val="003F137D"/>
    <w:rsid w:val="003F13FA"/>
    <w:rsid w:val="003F144B"/>
    <w:rsid w:val="003F148C"/>
    <w:rsid w:val="003F1493"/>
    <w:rsid w:val="003F14B0"/>
    <w:rsid w:val="003F1503"/>
    <w:rsid w:val="003F1558"/>
    <w:rsid w:val="003F166F"/>
    <w:rsid w:val="003F16E9"/>
    <w:rsid w:val="003F17B8"/>
    <w:rsid w:val="003F1901"/>
    <w:rsid w:val="003F192E"/>
    <w:rsid w:val="003F1972"/>
    <w:rsid w:val="003F19AC"/>
    <w:rsid w:val="003F1B1A"/>
    <w:rsid w:val="003F1B3B"/>
    <w:rsid w:val="003F1CD3"/>
    <w:rsid w:val="003F1D5A"/>
    <w:rsid w:val="003F1E1B"/>
    <w:rsid w:val="003F1F09"/>
    <w:rsid w:val="003F21A9"/>
    <w:rsid w:val="003F21C5"/>
    <w:rsid w:val="003F21D6"/>
    <w:rsid w:val="003F21FD"/>
    <w:rsid w:val="003F2223"/>
    <w:rsid w:val="003F222B"/>
    <w:rsid w:val="003F2330"/>
    <w:rsid w:val="003F234F"/>
    <w:rsid w:val="003F2391"/>
    <w:rsid w:val="003F23EE"/>
    <w:rsid w:val="003F2489"/>
    <w:rsid w:val="003F2500"/>
    <w:rsid w:val="003F25C5"/>
    <w:rsid w:val="003F25D9"/>
    <w:rsid w:val="003F2651"/>
    <w:rsid w:val="003F26AB"/>
    <w:rsid w:val="003F2705"/>
    <w:rsid w:val="003F2737"/>
    <w:rsid w:val="003F27DF"/>
    <w:rsid w:val="003F2A6B"/>
    <w:rsid w:val="003F2AAB"/>
    <w:rsid w:val="003F2B26"/>
    <w:rsid w:val="003F2BEE"/>
    <w:rsid w:val="003F2C46"/>
    <w:rsid w:val="003F2C8E"/>
    <w:rsid w:val="003F2D1A"/>
    <w:rsid w:val="003F2E27"/>
    <w:rsid w:val="003F2EAF"/>
    <w:rsid w:val="003F2ED2"/>
    <w:rsid w:val="003F2F54"/>
    <w:rsid w:val="003F2F5C"/>
    <w:rsid w:val="003F3013"/>
    <w:rsid w:val="003F3049"/>
    <w:rsid w:val="003F30E2"/>
    <w:rsid w:val="003F3143"/>
    <w:rsid w:val="003F319C"/>
    <w:rsid w:val="003F31E0"/>
    <w:rsid w:val="003F31EC"/>
    <w:rsid w:val="003F3297"/>
    <w:rsid w:val="003F32FB"/>
    <w:rsid w:val="003F3436"/>
    <w:rsid w:val="003F34CA"/>
    <w:rsid w:val="003F3552"/>
    <w:rsid w:val="003F3581"/>
    <w:rsid w:val="003F3634"/>
    <w:rsid w:val="003F363F"/>
    <w:rsid w:val="003F376E"/>
    <w:rsid w:val="003F3776"/>
    <w:rsid w:val="003F377E"/>
    <w:rsid w:val="003F37D5"/>
    <w:rsid w:val="003F37F2"/>
    <w:rsid w:val="003F3802"/>
    <w:rsid w:val="003F3893"/>
    <w:rsid w:val="003F3A21"/>
    <w:rsid w:val="003F3ADE"/>
    <w:rsid w:val="003F3B50"/>
    <w:rsid w:val="003F3B51"/>
    <w:rsid w:val="003F3BF6"/>
    <w:rsid w:val="003F3BF8"/>
    <w:rsid w:val="003F3CAA"/>
    <w:rsid w:val="003F3D7E"/>
    <w:rsid w:val="003F3D7F"/>
    <w:rsid w:val="003F3DA4"/>
    <w:rsid w:val="003F3E4B"/>
    <w:rsid w:val="003F3E83"/>
    <w:rsid w:val="003F3ED4"/>
    <w:rsid w:val="003F4067"/>
    <w:rsid w:val="003F4077"/>
    <w:rsid w:val="003F40EF"/>
    <w:rsid w:val="003F426A"/>
    <w:rsid w:val="003F4351"/>
    <w:rsid w:val="003F4415"/>
    <w:rsid w:val="003F44B1"/>
    <w:rsid w:val="003F4515"/>
    <w:rsid w:val="003F45A6"/>
    <w:rsid w:val="003F45FB"/>
    <w:rsid w:val="003F4616"/>
    <w:rsid w:val="003F46A9"/>
    <w:rsid w:val="003F46D2"/>
    <w:rsid w:val="003F4771"/>
    <w:rsid w:val="003F4774"/>
    <w:rsid w:val="003F4795"/>
    <w:rsid w:val="003F47A6"/>
    <w:rsid w:val="003F48B4"/>
    <w:rsid w:val="003F48B6"/>
    <w:rsid w:val="003F48CA"/>
    <w:rsid w:val="003F4C60"/>
    <w:rsid w:val="003F4C9A"/>
    <w:rsid w:val="003F4CA0"/>
    <w:rsid w:val="003F4CE9"/>
    <w:rsid w:val="003F4CED"/>
    <w:rsid w:val="003F4D86"/>
    <w:rsid w:val="003F4D98"/>
    <w:rsid w:val="003F4E6C"/>
    <w:rsid w:val="003F4ECF"/>
    <w:rsid w:val="003F4F32"/>
    <w:rsid w:val="003F4FB2"/>
    <w:rsid w:val="003F4FC3"/>
    <w:rsid w:val="003F512B"/>
    <w:rsid w:val="003F522C"/>
    <w:rsid w:val="003F525F"/>
    <w:rsid w:val="003F531E"/>
    <w:rsid w:val="003F547B"/>
    <w:rsid w:val="003F54CC"/>
    <w:rsid w:val="003F54F6"/>
    <w:rsid w:val="003F5566"/>
    <w:rsid w:val="003F559B"/>
    <w:rsid w:val="003F5623"/>
    <w:rsid w:val="003F5694"/>
    <w:rsid w:val="003F5743"/>
    <w:rsid w:val="003F577F"/>
    <w:rsid w:val="003F587E"/>
    <w:rsid w:val="003F58F9"/>
    <w:rsid w:val="003F597A"/>
    <w:rsid w:val="003F5ABC"/>
    <w:rsid w:val="003F5B74"/>
    <w:rsid w:val="003F5C2B"/>
    <w:rsid w:val="003F5C3B"/>
    <w:rsid w:val="003F5D22"/>
    <w:rsid w:val="003F5D2E"/>
    <w:rsid w:val="003F5D60"/>
    <w:rsid w:val="003F5DEA"/>
    <w:rsid w:val="003F5E4C"/>
    <w:rsid w:val="003F5E80"/>
    <w:rsid w:val="003F5E8F"/>
    <w:rsid w:val="003F5E99"/>
    <w:rsid w:val="003F5FE7"/>
    <w:rsid w:val="003F6089"/>
    <w:rsid w:val="003F60D3"/>
    <w:rsid w:val="003F6100"/>
    <w:rsid w:val="003F6186"/>
    <w:rsid w:val="003F6209"/>
    <w:rsid w:val="003F6319"/>
    <w:rsid w:val="003F6394"/>
    <w:rsid w:val="003F6401"/>
    <w:rsid w:val="003F6510"/>
    <w:rsid w:val="003F653C"/>
    <w:rsid w:val="003F659B"/>
    <w:rsid w:val="003F665F"/>
    <w:rsid w:val="003F66BD"/>
    <w:rsid w:val="003F66F9"/>
    <w:rsid w:val="003F6921"/>
    <w:rsid w:val="003F6924"/>
    <w:rsid w:val="003F6945"/>
    <w:rsid w:val="003F6956"/>
    <w:rsid w:val="003F696D"/>
    <w:rsid w:val="003F6C3A"/>
    <w:rsid w:val="003F6C88"/>
    <w:rsid w:val="003F6CFF"/>
    <w:rsid w:val="003F6D76"/>
    <w:rsid w:val="003F6DB8"/>
    <w:rsid w:val="003F6F6A"/>
    <w:rsid w:val="003F701F"/>
    <w:rsid w:val="003F7095"/>
    <w:rsid w:val="003F70D5"/>
    <w:rsid w:val="003F70E8"/>
    <w:rsid w:val="003F70F7"/>
    <w:rsid w:val="003F710D"/>
    <w:rsid w:val="003F7192"/>
    <w:rsid w:val="003F71C4"/>
    <w:rsid w:val="003F72B9"/>
    <w:rsid w:val="003F7348"/>
    <w:rsid w:val="003F73B6"/>
    <w:rsid w:val="003F73B8"/>
    <w:rsid w:val="003F7513"/>
    <w:rsid w:val="003F753F"/>
    <w:rsid w:val="003F75D5"/>
    <w:rsid w:val="003F760D"/>
    <w:rsid w:val="003F7677"/>
    <w:rsid w:val="003F767A"/>
    <w:rsid w:val="003F76D0"/>
    <w:rsid w:val="003F7707"/>
    <w:rsid w:val="003F778F"/>
    <w:rsid w:val="003F77EF"/>
    <w:rsid w:val="003F783E"/>
    <w:rsid w:val="003F78CA"/>
    <w:rsid w:val="003F78D1"/>
    <w:rsid w:val="003F7ABC"/>
    <w:rsid w:val="003F7B3A"/>
    <w:rsid w:val="003F7B98"/>
    <w:rsid w:val="003F7D3E"/>
    <w:rsid w:val="003F7D77"/>
    <w:rsid w:val="003F7DEC"/>
    <w:rsid w:val="003F7F12"/>
    <w:rsid w:val="0040002F"/>
    <w:rsid w:val="00400033"/>
    <w:rsid w:val="00400063"/>
    <w:rsid w:val="00400168"/>
    <w:rsid w:val="0040016E"/>
    <w:rsid w:val="004002A1"/>
    <w:rsid w:val="0040036F"/>
    <w:rsid w:val="004003FE"/>
    <w:rsid w:val="0040040C"/>
    <w:rsid w:val="004006D8"/>
    <w:rsid w:val="004006EC"/>
    <w:rsid w:val="00400750"/>
    <w:rsid w:val="00400898"/>
    <w:rsid w:val="004008C5"/>
    <w:rsid w:val="004008C8"/>
    <w:rsid w:val="00400B7F"/>
    <w:rsid w:val="00400C54"/>
    <w:rsid w:val="00400CE5"/>
    <w:rsid w:val="00400CFF"/>
    <w:rsid w:val="00400E0C"/>
    <w:rsid w:val="00400EB3"/>
    <w:rsid w:val="00400EB9"/>
    <w:rsid w:val="00400FF1"/>
    <w:rsid w:val="00401006"/>
    <w:rsid w:val="00401034"/>
    <w:rsid w:val="00401035"/>
    <w:rsid w:val="00401082"/>
    <w:rsid w:val="004010B8"/>
    <w:rsid w:val="0040112E"/>
    <w:rsid w:val="004011A5"/>
    <w:rsid w:val="004011B5"/>
    <w:rsid w:val="00401209"/>
    <w:rsid w:val="004012DE"/>
    <w:rsid w:val="00401301"/>
    <w:rsid w:val="004013E3"/>
    <w:rsid w:val="00401434"/>
    <w:rsid w:val="0040144E"/>
    <w:rsid w:val="004016BA"/>
    <w:rsid w:val="004016C9"/>
    <w:rsid w:val="0040171E"/>
    <w:rsid w:val="004017B6"/>
    <w:rsid w:val="0040190A"/>
    <w:rsid w:val="00401926"/>
    <w:rsid w:val="00401B12"/>
    <w:rsid w:val="00401B50"/>
    <w:rsid w:val="00401C16"/>
    <w:rsid w:val="00401D00"/>
    <w:rsid w:val="00401DFE"/>
    <w:rsid w:val="00401F83"/>
    <w:rsid w:val="0040206E"/>
    <w:rsid w:val="004020AD"/>
    <w:rsid w:val="00402132"/>
    <w:rsid w:val="004021D4"/>
    <w:rsid w:val="0040226B"/>
    <w:rsid w:val="0040239E"/>
    <w:rsid w:val="004024B3"/>
    <w:rsid w:val="00402551"/>
    <w:rsid w:val="00402585"/>
    <w:rsid w:val="004025D8"/>
    <w:rsid w:val="004026D2"/>
    <w:rsid w:val="004026F4"/>
    <w:rsid w:val="00402707"/>
    <w:rsid w:val="004027EB"/>
    <w:rsid w:val="00402999"/>
    <w:rsid w:val="004029B9"/>
    <w:rsid w:val="00402A7C"/>
    <w:rsid w:val="00402ACE"/>
    <w:rsid w:val="00402AE5"/>
    <w:rsid w:val="00402AF6"/>
    <w:rsid w:val="00402B97"/>
    <w:rsid w:val="00402C81"/>
    <w:rsid w:val="00402CAF"/>
    <w:rsid w:val="00402CCB"/>
    <w:rsid w:val="00402DC1"/>
    <w:rsid w:val="00402DF6"/>
    <w:rsid w:val="00402E42"/>
    <w:rsid w:val="00402EA9"/>
    <w:rsid w:val="00402EE3"/>
    <w:rsid w:val="00402F33"/>
    <w:rsid w:val="0040306C"/>
    <w:rsid w:val="00403177"/>
    <w:rsid w:val="004032E2"/>
    <w:rsid w:val="004033B0"/>
    <w:rsid w:val="004033DA"/>
    <w:rsid w:val="00403535"/>
    <w:rsid w:val="004035C1"/>
    <w:rsid w:val="004036B7"/>
    <w:rsid w:val="0040381B"/>
    <w:rsid w:val="00403832"/>
    <w:rsid w:val="00403861"/>
    <w:rsid w:val="00403894"/>
    <w:rsid w:val="00403900"/>
    <w:rsid w:val="00403914"/>
    <w:rsid w:val="00403928"/>
    <w:rsid w:val="0040393B"/>
    <w:rsid w:val="0040396E"/>
    <w:rsid w:val="0040397B"/>
    <w:rsid w:val="004039A0"/>
    <w:rsid w:val="004039B0"/>
    <w:rsid w:val="004039F1"/>
    <w:rsid w:val="00403D4C"/>
    <w:rsid w:val="00403D93"/>
    <w:rsid w:val="00403DFB"/>
    <w:rsid w:val="00403E5A"/>
    <w:rsid w:val="00403E5D"/>
    <w:rsid w:val="004040DF"/>
    <w:rsid w:val="004040E9"/>
    <w:rsid w:val="0040411E"/>
    <w:rsid w:val="00404169"/>
    <w:rsid w:val="0040416F"/>
    <w:rsid w:val="00404277"/>
    <w:rsid w:val="004042C9"/>
    <w:rsid w:val="00404328"/>
    <w:rsid w:val="00404359"/>
    <w:rsid w:val="00404373"/>
    <w:rsid w:val="004043DD"/>
    <w:rsid w:val="00404406"/>
    <w:rsid w:val="004044B8"/>
    <w:rsid w:val="0040455C"/>
    <w:rsid w:val="00404577"/>
    <w:rsid w:val="00404608"/>
    <w:rsid w:val="00404651"/>
    <w:rsid w:val="00404655"/>
    <w:rsid w:val="004046E6"/>
    <w:rsid w:val="00404779"/>
    <w:rsid w:val="004047C5"/>
    <w:rsid w:val="00404816"/>
    <w:rsid w:val="0040481A"/>
    <w:rsid w:val="00404915"/>
    <w:rsid w:val="004049D9"/>
    <w:rsid w:val="004049EE"/>
    <w:rsid w:val="00404A4D"/>
    <w:rsid w:val="00404B0D"/>
    <w:rsid w:val="00404CC9"/>
    <w:rsid w:val="00404D60"/>
    <w:rsid w:val="00404DA6"/>
    <w:rsid w:val="00404DC9"/>
    <w:rsid w:val="0040502B"/>
    <w:rsid w:val="00405061"/>
    <w:rsid w:val="0040506B"/>
    <w:rsid w:val="004050A3"/>
    <w:rsid w:val="004050AE"/>
    <w:rsid w:val="004050C4"/>
    <w:rsid w:val="0040518E"/>
    <w:rsid w:val="004051BF"/>
    <w:rsid w:val="0040529B"/>
    <w:rsid w:val="004052C0"/>
    <w:rsid w:val="00405383"/>
    <w:rsid w:val="0040546B"/>
    <w:rsid w:val="004054D0"/>
    <w:rsid w:val="004054D1"/>
    <w:rsid w:val="004054F4"/>
    <w:rsid w:val="00405899"/>
    <w:rsid w:val="004058FA"/>
    <w:rsid w:val="0040592A"/>
    <w:rsid w:val="004059E3"/>
    <w:rsid w:val="00405B59"/>
    <w:rsid w:val="00405B77"/>
    <w:rsid w:val="00405C4F"/>
    <w:rsid w:val="00405D38"/>
    <w:rsid w:val="00405E9E"/>
    <w:rsid w:val="00405EBA"/>
    <w:rsid w:val="00405F2C"/>
    <w:rsid w:val="00405F8D"/>
    <w:rsid w:val="00406023"/>
    <w:rsid w:val="00406062"/>
    <w:rsid w:val="00406162"/>
    <w:rsid w:val="004061B6"/>
    <w:rsid w:val="0040625A"/>
    <w:rsid w:val="004062B4"/>
    <w:rsid w:val="004062B5"/>
    <w:rsid w:val="004062D5"/>
    <w:rsid w:val="004062E3"/>
    <w:rsid w:val="00406366"/>
    <w:rsid w:val="004063C0"/>
    <w:rsid w:val="0040643F"/>
    <w:rsid w:val="00406539"/>
    <w:rsid w:val="00406641"/>
    <w:rsid w:val="0040674D"/>
    <w:rsid w:val="0040682A"/>
    <w:rsid w:val="0040686D"/>
    <w:rsid w:val="0040688E"/>
    <w:rsid w:val="004069C8"/>
    <w:rsid w:val="004069D5"/>
    <w:rsid w:val="00406A77"/>
    <w:rsid w:val="00406A81"/>
    <w:rsid w:val="00406B11"/>
    <w:rsid w:val="00406B1B"/>
    <w:rsid w:val="00406BEC"/>
    <w:rsid w:val="00406C8F"/>
    <w:rsid w:val="00406CB7"/>
    <w:rsid w:val="00406D38"/>
    <w:rsid w:val="00406D49"/>
    <w:rsid w:val="00406D4B"/>
    <w:rsid w:val="00406DD4"/>
    <w:rsid w:val="00406E61"/>
    <w:rsid w:val="00406EEC"/>
    <w:rsid w:val="00406F54"/>
    <w:rsid w:val="00406F5B"/>
    <w:rsid w:val="00407041"/>
    <w:rsid w:val="004072E1"/>
    <w:rsid w:val="00407321"/>
    <w:rsid w:val="00407460"/>
    <w:rsid w:val="0040750A"/>
    <w:rsid w:val="00407588"/>
    <w:rsid w:val="0040758C"/>
    <w:rsid w:val="0040762D"/>
    <w:rsid w:val="004076EC"/>
    <w:rsid w:val="0040776B"/>
    <w:rsid w:val="00407880"/>
    <w:rsid w:val="004078AA"/>
    <w:rsid w:val="0040799D"/>
    <w:rsid w:val="00407A63"/>
    <w:rsid w:val="00407A90"/>
    <w:rsid w:val="00407A95"/>
    <w:rsid w:val="00407B13"/>
    <w:rsid w:val="00407B26"/>
    <w:rsid w:val="00407BBA"/>
    <w:rsid w:val="00407BFC"/>
    <w:rsid w:val="00407CC8"/>
    <w:rsid w:val="00407CCF"/>
    <w:rsid w:val="00407D60"/>
    <w:rsid w:val="00407DCF"/>
    <w:rsid w:val="00407DEC"/>
    <w:rsid w:val="00407EB2"/>
    <w:rsid w:val="00407EF2"/>
    <w:rsid w:val="00407F41"/>
    <w:rsid w:val="00407F7E"/>
    <w:rsid w:val="00407FA1"/>
    <w:rsid w:val="004100B6"/>
    <w:rsid w:val="0041023B"/>
    <w:rsid w:val="0041037B"/>
    <w:rsid w:val="004103A4"/>
    <w:rsid w:val="00410454"/>
    <w:rsid w:val="00410469"/>
    <w:rsid w:val="004104BF"/>
    <w:rsid w:val="00410517"/>
    <w:rsid w:val="00410581"/>
    <w:rsid w:val="00410656"/>
    <w:rsid w:val="00410673"/>
    <w:rsid w:val="004106A3"/>
    <w:rsid w:val="004107D7"/>
    <w:rsid w:val="0041087E"/>
    <w:rsid w:val="004108F1"/>
    <w:rsid w:val="00410981"/>
    <w:rsid w:val="004109C2"/>
    <w:rsid w:val="00410A27"/>
    <w:rsid w:val="00410AAA"/>
    <w:rsid w:val="00410B30"/>
    <w:rsid w:val="00410BB4"/>
    <w:rsid w:val="00410C3F"/>
    <w:rsid w:val="00410C5F"/>
    <w:rsid w:val="00410C8C"/>
    <w:rsid w:val="00410CB5"/>
    <w:rsid w:val="00410D15"/>
    <w:rsid w:val="00410D4F"/>
    <w:rsid w:val="00410E80"/>
    <w:rsid w:val="00410E9B"/>
    <w:rsid w:val="00410F72"/>
    <w:rsid w:val="00410FA6"/>
    <w:rsid w:val="004110B8"/>
    <w:rsid w:val="004110E1"/>
    <w:rsid w:val="00411113"/>
    <w:rsid w:val="00411140"/>
    <w:rsid w:val="00411144"/>
    <w:rsid w:val="004112BE"/>
    <w:rsid w:val="004112F5"/>
    <w:rsid w:val="0041136E"/>
    <w:rsid w:val="00411378"/>
    <w:rsid w:val="00411382"/>
    <w:rsid w:val="00411412"/>
    <w:rsid w:val="0041143C"/>
    <w:rsid w:val="00411568"/>
    <w:rsid w:val="00411600"/>
    <w:rsid w:val="0041166A"/>
    <w:rsid w:val="0041166B"/>
    <w:rsid w:val="00411671"/>
    <w:rsid w:val="00411950"/>
    <w:rsid w:val="004119A2"/>
    <w:rsid w:val="00411A4F"/>
    <w:rsid w:val="00411BF0"/>
    <w:rsid w:val="00411C2A"/>
    <w:rsid w:val="00411D52"/>
    <w:rsid w:val="00411D6E"/>
    <w:rsid w:val="00411DA9"/>
    <w:rsid w:val="00411EC4"/>
    <w:rsid w:val="00411EDB"/>
    <w:rsid w:val="00411FC0"/>
    <w:rsid w:val="00412003"/>
    <w:rsid w:val="004120CB"/>
    <w:rsid w:val="00412143"/>
    <w:rsid w:val="00412147"/>
    <w:rsid w:val="00412149"/>
    <w:rsid w:val="004121B1"/>
    <w:rsid w:val="004121BD"/>
    <w:rsid w:val="004121BE"/>
    <w:rsid w:val="00412203"/>
    <w:rsid w:val="00412221"/>
    <w:rsid w:val="00412223"/>
    <w:rsid w:val="004122F4"/>
    <w:rsid w:val="00412306"/>
    <w:rsid w:val="004123B1"/>
    <w:rsid w:val="004123BE"/>
    <w:rsid w:val="004123D7"/>
    <w:rsid w:val="00412469"/>
    <w:rsid w:val="0041247F"/>
    <w:rsid w:val="004124EC"/>
    <w:rsid w:val="00412554"/>
    <w:rsid w:val="0041255D"/>
    <w:rsid w:val="004127A2"/>
    <w:rsid w:val="004128BE"/>
    <w:rsid w:val="00412B6C"/>
    <w:rsid w:val="00412B77"/>
    <w:rsid w:val="00412C86"/>
    <w:rsid w:val="00412CC4"/>
    <w:rsid w:val="00412CE1"/>
    <w:rsid w:val="00412ECE"/>
    <w:rsid w:val="00412FA9"/>
    <w:rsid w:val="0041301E"/>
    <w:rsid w:val="00413137"/>
    <w:rsid w:val="00413138"/>
    <w:rsid w:val="00413165"/>
    <w:rsid w:val="00413210"/>
    <w:rsid w:val="00413233"/>
    <w:rsid w:val="00413281"/>
    <w:rsid w:val="004132A7"/>
    <w:rsid w:val="004132C3"/>
    <w:rsid w:val="00413440"/>
    <w:rsid w:val="00413454"/>
    <w:rsid w:val="004135D3"/>
    <w:rsid w:val="004136DC"/>
    <w:rsid w:val="00413719"/>
    <w:rsid w:val="00413754"/>
    <w:rsid w:val="004137EB"/>
    <w:rsid w:val="00413822"/>
    <w:rsid w:val="0041382A"/>
    <w:rsid w:val="004138ED"/>
    <w:rsid w:val="004139AB"/>
    <w:rsid w:val="00413A06"/>
    <w:rsid w:val="00413C37"/>
    <w:rsid w:val="00413C82"/>
    <w:rsid w:val="00413C9C"/>
    <w:rsid w:val="00413CD5"/>
    <w:rsid w:val="00413DDB"/>
    <w:rsid w:val="00413E32"/>
    <w:rsid w:val="00413E5C"/>
    <w:rsid w:val="00413F0E"/>
    <w:rsid w:val="00413F80"/>
    <w:rsid w:val="00414065"/>
    <w:rsid w:val="0041410F"/>
    <w:rsid w:val="00414180"/>
    <w:rsid w:val="00414187"/>
    <w:rsid w:val="004142AE"/>
    <w:rsid w:val="004142D2"/>
    <w:rsid w:val="0041437D"/>
    <w:rsid w:val="004143CE"/>
    <w:rsid w:val="00414437"/>
    <w:rsid w:val="00414442"/>
    <w:rsid w:val="0041463F"/>
    <w:rsid w:val="0041464B"/>
    <w:rsid w:val="004146F7"/>
    <w:rsid w:val="00414715"/>
    <w:rsid w:val="0041476F"/>
    <w:rsid w:val="004147A3"/>
    <w:rsid w:val="0041498C"/>
    <w:rsid w:val="0041499D"/>
    <w:rsid w:val="004149FF"/>
    <w:rsid w:val="00414A22"/>
    <w:rsid w:val="00414C01"/>
    <w:rsid w:val="00414C6B"/>
    <w:rsid w:val="00414CEC"/>
    <w:rsid w:val="00414D3F"/>
    <w:rsid w:val="00414E7B"/>
    <w:rsid w:val="00414F12"/>
    <w:rsid w:val="00414F3B"/>
    <w:rsid w:val="00414FA5"/>
    <w:rsid w:val="00415000"/>
    <w:rsid w:val="00415006"/>
    <w:rsid w:val="0041502F"/>
    <w:rsid w:val="0041509C"/>
    <w:rsid w:val="00415135"/>
    <w:rsid w:val="0041516C"/>
    <w:rsid w:val="004151DC"/>
    <w:rsid w:val="00415248"/>
    <w:rsid w:val="00415272"/>
    <w:rsid w:val="00415317"/>
    <w:rsid w:val="004153A8"/>
    <w:rsid w:val="004153E7"/>
    <w:rsid w:val="004153E9"/>
    <w:rsid w:val="00415569"/>
    <w:rsid w:val="0041561A"/>
    <w:rsid w:val="00415654"/>
    <w:rsid w:val="00415680"/>
    <w:rsid w:val="00415776"/>
    <w:rsid w:val="004157A5"/>
    <w:rsid w:val="00415813"/>
    <w:rsid w:val="00415826"/>
    <w:rsid w:val="00415879"/>
    <w:rsid w:val="004158C8"/>
    <w:rsid w:val="0041594A"/>
    <w:rsid w:val="00415976"/>
    <w:rsid w:val="00415AD7"/>
    <w:rsid w:val="00415B16"/>
    <w:rsid w:val="00415B1D"/>
    <w:rsid w:val="00415B70"/>
    <w:rsid w:val="00415B9B"/>
    <w:rsid w:val="00415BBF"/>
    <w:rsid w:val="00415BF7"/>
    <w:rsid w:val="00415CDB"/>
    <w:rsid w:val="00415D29"/>
    <w:rsid w:val="00415D7C"/>
    <w:rsid w:val="00415DBE"/>
    <w:rsid w:val="00415E21"/>
    <w:rsid w:val="00415E7B"/>
    <w:rsid w:val="00415E9C"/>
    <w:rsid w:val="00415EDE"/>
    <w:rsid w:val="00415F1E"/>
    <w:rsid w:val="00415F44"/>
    <w:rsid w:val="00415F8C"/>
    <w:rsid w:val="00416258"/>
    <w:rsid w:val="0041639E"/>
    <w:rsid w:val="00416535"/>
    <w:rsid w:val="00416597"/>
    <w:rsid w:val="004166A8"/>
    <w:rsid w:val="0041670D"/>
    <w:rsid w:val="00416762"/>
    <w:rsid w:val="00416768"/>
    <w:rsid w:val="004168FB"/>
    <w:rsid w:val="004169A0"/>
    <w:rsid w:val="00416A13"/>
    <w:rsid w:val="00416AFA"/>
    <w:rsid w:val="00416B13"/>
    <w:rsid w:val="00416C4B"/>
    <w:rsid w:val="00416CA2"/>
    <w:rsid w:val="00416D2B"/>
    <w:rsid w:val="00416D7B"/>
    <w:rsid w:val="00416DEC"/>
    <w:rsid w:val="00416E23"/>
    <w:rsid w:val="00416E50"/>
    <w:rsid w:val="00416E55"/>
    <w:rsid w:val="00416EB9"/>
    <w:rsid w:val="00416EFD"/>
    <w:rsid w:val="00416F18"/>
    <w:rsid w:val="00416F6F"/>
    <w:rsid w:val="0041703B"/>
    <w:rsid w:val="00417059"/>
    <w:rsid w:val="004170D9"/>
    <w:rsid w:val="004171E1"/>
    <w:rsid w:val="004172C6"/>
    <w:rsid w:val="0041733B"/>
    <w:rsid w:val="0041733F"/>
    <w:rsid w:val="0041748E"/>
    <w:rsid w:val="004174C5"/>
    <w:rsid w:val="004174CD"/>
    <w:rsid w:val="004174D0"/>
    <w:rsid w:val="00417503"/>
    <w:rsid w:val="00417547"/>
    <w:rsid w:val="00417661"/>
    <w:rsid w:val="00417664"/>
    <w:rsid w:val="00417685"/>
    <w:rsid w:val="004176D0"/>
    <w:rsid w:val="00417813"/>
    <w:rsid w:val="004178AB"/>
    <w:rsid w:val="004178CA"/>
    <w:rsid w:val="004178D0"/>
    <w:rsid w:val="00417986"/>
    <w:rsid w:val="00417ACC"/>
    <w:rsid w:val="00417ADF"/>
    <w:rsid w:val="00417AEE"/>
    <w:rsid w:val="00417CB1"/>
    <w:rsid w:val="00417DE7"/>
    <w:rsid w:val="00417E3C"/>
    <w:rsid w:val="00417EC8"/>
    <w:rsid w:val="00417ED1"/>
    <w:rsid w:val="00420004"/>
    <w:rsid w:val="004200E8"/>
    <w:rsid w:val="0042017A"/>
    <w:rsid w:val="00420196"/>
    <w:rsid w:val="0042019F"/>
    <w:rsid w:val="004201AB"/>
    <w:rsid w:val="004202AD"/>
    <w:rsid w:val="00420393"/>
    <w:rsid w:val="00420423"/>
    <w:rsid w:val="004204B7"/>
    <w:rsid w:val="004204D7"/>
    <w:rsid w:val="004204EB"/>
    <w:rsid w:val="00420553"/>
    <w:rsid w:val="0042061C"/>
    <w:rsid w:val="004206A8"/>
    <w:rsid w:val="0042071F"/>
    <w:rsid w:val="00420740"/>
    <w:rsid w:val="00420791"/>
    <w:rsid w:val="0042079B"/>
    <w:rsid w:val="004208DD"/>
    <w:rsid w:val="00420998"/>
    <w:rsid w:val="00420BDE"/>
    <w:rsid w:val="00420C25"/>
    <w:rsid w:val="00420C28"/>
    <w:rsid w:val="00420C3D"/>
    <w:rsid w:val="00420C48"/>
    <w:rsid w:val="00420D50"/>
    <w:rsid w:val="00420D5E"/>
    <w:rsid w:val="00420DED"/>
    <w:rsid w:val="00420F47"/>
    <w:rsid w:val="00420FE7"/>
    <w:rsid w:val="0042106B"/>
    <w:rsid w:val="0042113D"/>
    <w:rsid w:val="0042119B"/>
    <w:rsid w:val="0042124C"/>
    <w:rsid w:val="00421315"/>
    <w:rsid w:val="00421380"/>
    <w:rsid w:val="0042139E"/>
    <w:rsid w:val="00421462"/>
    <w:rsid w:val="004214E3"/>
    <w:rsid w:val="0042150C"/>
    <w:rsid w:val="0042152C"/>
    <w:rsid w:val="00421571"/>
    <w:rsid w:val="00421612"/>
    <w:rsid w:val="00421651"/>
    <w:rsid w:val="00421673"/>
    <w:rsid w:val="0042167B"/>
    <w:rsid w:val="004216B3"/>
    <w:rsid w:val="00421759"/>
    <w:rsid w:val="0042186D"/>
    <w:rsid w:val="004218BD"/>
    <w:rsid w:val="004218F1"/>
    <w:rsid w:val="00421A50"/>
    <w:rsid w:val="00421A54"/>
    <w:rsid w:val="00421AEA"/>
    <w:rsid w:val="00421B3B"/>
    <w:rsid w:val="00421B76"/>
    <w:rsid w:val="00421C8C"/>
    <w:rsid w:val="00421C98"/>
    <w:rsid w:val="00421D4D"/>
    <w:rsid w:val="00421E00"/>
    <w:rsid w:val="00421E60"/>
    <w:rsid w:val="00421ED1"/>
    <w:rsid w:val="00421F40"/>
    <w:rsid w:val="004220C0"/>
    <w:rsid w:val="004220D5"/>
    <w:rsid w:val="00422322"/>
    <w:rsid w:val="0042237E"/>
    <w:rsid w:val="0042244C"/>
    <w:rsid w:val="00422468"/>
    <w:rsid w:val="00422489"/>
    <w:rsid w:val="00422490"/>
    <w:rsid w:val="00422583"/>
    <w:rsid w:val="004226C4"/>
    <w:rsid w:val="004226C5"/>
    <w:rsid w:val="004227A0"/>
    <w:rsid w:val="004227F0"/>
    <w:rsid w:val="004228A4"/>
    <w:rsid w:val="00422B06"/>
    <w:rsid w:val="00422C06"/>
    <w:rsid w:val="00422C3C"/>
    <w:rsid w:val="00422DE2"/>
    <w:rsid w:val="00422EF5"/>
    <w:rsid w:val="00422F20"/>
    <w:rsid w:val="00422FFE"/>
    <w:rsid w:val="0042308F"/>
    <w:rsid w:val="004231AF"/>
    <w:rsid w:val="004232E9"/>
    <w:rsid w:val="004232EF"/>
    <w:rsid w:val="004233F4"/>
    <w:rsid w:val="00423434"/>
    <w:rsid w:val="004234CF"/>
    <w:rsid w:val="0042355B"/>
    <w:rsid w:val="00423642"/>
    <w:rsid w:val="00423649"/>
    <w:rsid w:val="004237B0"/>
    <w:rsid w:val="00423824"/>
    <w:rsid w:val="0042386D"/>
    <w:rsid w:val="004239A1"/>
    <w:rsid w:val="00423A63"/>
    <w:rsid w:val="00423B9A"/>
    <w:rsid w:val="00423D9F"/>
    <w:rsid w:val="00423DEE"/>
    <w:rsid w:val="00424052"/>
    <w:rsid w:val="004241BF"/>
    <w:rsid w:val="0042420E"/>
    <w:rsid w:val="004242C5"/>
    <w:rsid w:val="004244D6"/>
    <w:rsid w:val="00424545"/>
    <w:rsid w:val="00424588"/>
    <w:rsid w:val="00424620"/>
    <w:rsid w:val="00424853"/>
    <w:rsid w:val="0042485E"/>
    <w:rsid w:val="004248E9"/>
    <w:rsid w:val="004248EF"/>
    <w:rsid w:val="00424962"/>
    <w:rsid w:val="0042498B"/>
    <w:rsid w:val="00424AA4"/>
    <w:rsid w:val="00424B48"/>
    <w:rsid w:val="00424B89"/>
    <w:rsid w:val="00424BC2"/>
    <w:rsid w:val="00424C19"/>
    <w:rsid w:val="00424DB2"/>
    <w:rsid w:val="00424DCA"/>
    <w:rsid w:val="00424E11"/>
    <w:rsid w:val="00424E5A"/>
    <w:rsid w:val="00424F12"/>
    <w:rsid w:val="00424F4D"/>
    <w:rsid w:val="00425032"/>
    <w:rsid w:val="0042518A"/>
    <w:rsid w:val="00425270"/>
    <w:rsid w:val="004252F3"/>
    <w:rsid w:val="00425368"/>
    <w:rsid w:val="004254AE"/>
    <w:rsid w:val="004254B9"/>
    <w:rsid w:val="00425569"/>
    <w:rsid w:val="00425640"/>
    <w:rsid w:val="00425652"/>
    <w:rsid w:val="004256AB"/>
    <w:rsid w:val="0042578D"/>
    <w:rsid w:val="004258A0"/>
    <w:rsid w:val="004258A7"/>
    <w:rsid w:val="00425988"/>
    <w:rsid w:val="004259A9"/>
    <w:rsid w:val="004259BD"/>
    <w:rsid w:val="00425A22"/>
    <w:rsid w:val="00425A59"/>
    <w:rsid w:val="00425B12"/>
    <w:rsid w:val="00425B20"/>
    <w:rsid w:val="00425B42"/>
    <w:rsid w:val="00425BD7"/>
    <w:rsid w:val="00425C33"/>
    <w:rsid w:val="00425D5F"/>
    <w:rsid w:val="00425E9E"/>
    <w:rsid w:val="00425EF4"/>
    <w:rsid w:val="00426026"/>
    <w:rsid w:val="004261CE"/>
    <w:rsid w:val="00426205"/>
    <w:rsid w:val="00426214"/>
    <w:rsid w:val="004263B8"/>
    <w:rsid w:val="004263F3"/>
    <w:rsid w:val="0042657E"/>
    <w:rsid w:val="00426617"/>
    <w:rsid w:val="00426676"/>
    <w:rsid w:val="004266E3"/>
    <w:rsid w:val="004266EB"/>
    <w:rsid w:val="004268CE"/>
    <w:rsid w:val="004268D7"/>
    <w:rsid w:val="0042694B"/>
    <w:rsid w:val="004269AE"/>
    <w:rsid w:val="00426AB7"/>
    <w:rsid w:val="00426BB1"/>
    <w:rsid w:val="00426CB3"/>
    <w:rsid w:val="00426CB8"/>
    <w:rsid w:val="00426D03"/>
    <w:rsid w:val="00426D5C"/>
    <w:rsid w:val="00426DE8"/>
    <w:rsid w:val="00426DED"/>
    <w:rsid w:val="00426E70"/>
    <w:rsid w:val="00426F80"/>
    <w:rsid w:val="00426FFB"/>
    <w:rsid w:val="0042702D"/>
    <w:rsid w:val="00427060"/>
    <w:rsid w:val="004270D3"/>
    <w:rsid w:val="004270E1"/>
    <w:rsid w:val="00427196"/>
    <w:rsid w:val="00427198"/>
    <w:rsid w:val="004271A0"/>
    <w:rsid w:val="00427213"/>
    <w:rsid w:val="00427266"/>
    <w:rsid w:val="0042730C"/>
    <w:rsid w:val="0042730F"/>
    <w:rsid w:val="00427342"/>
    <w:rsid w:val="0042738D"/>
    <w:rsid w:val="004273A1"/>
    <w:rsid w:val="0042744A"/>
    <w:rsid w:val="0042749E"/>
    <w:rsid w:val="00427508"/>
    <w:rsid w:val="004276A0"/>
    <w:rsid w:val="004276AD"/>
    <w:rsid w:val="00427735"/>
    <w:rsid w:val="00427814"/>
    <w:rsid w:val="00427892"/>
    <w:rsid w:val="004278AE"/>
    <w:rsid w:val="0042792E"/>
    <w:rsid w:val="00427A60"/>
    <w:rsid w:val="00427B16"/>
    <w:rsid w:val="00427B1E"/>
    <w:rsid w:val="00427B93"/>
    <w:rsid w:val="00427BE5"/>
    <w:rsid w:val="00427C04"/>
    <w:rsid w:val="00427C0E"/>
    <w:rsid w:val="00427C98"/>
    <w:rsid w:val="00427CDD"/>
    <w:rsid w:val="00427CFD"/>
    <w:rsid w:val="00427D15"/>
    <w:rsid w:val="00427DB3"/>
    <w:rsid w:val="00427F61"/>
    <w:rsid w:val="00430083"/>
    <w:rsid w:val="00430101"/>
    <w:rsid w:val="00430137"/>
    <w:rsid w:val="00430174"/>
    <w:rsid w:val="004301BD"/>
    <w:rsid w:val="00430287"/>
    <w:rsid w:val="00430364"/>
    <w:rsid w:val="004303FA"/>
    <w:rsid w:val="00430545"/>
    <w:rsid w:val="00430658"/>
    <w:rsid w:val="0043069F"/>
    <w:rsid w:val="004307AB"/>
    <w:rsid w:val="0043088B"/>
    <w:rsid w:val="004309DB"/>
    <w:rsid w:val="00430A9D"/>
    <w:rsid w:val="00430B06"/>
    <w:rsid w:val="00430C9D"/>
    <w:rsid w:val="00430CB9"/>
    <w:rsid w:val="00430E38"/>
    <w:rsid w:val="00430E90"/>
    <w:rsid w:val="00430F07"/>
    <w:rsid w:val="00431277"/>
    <w:rsid w:val="004312B4"/>
    <w:rsid w:val="00431329"/>
    <w:rsid w:val="004313AB"/>
    <w:rsid w:val="0043144C"/>
    <w:rsid w:val="004314CD"/>
    <w:rsid w:val="004314D3"/>
    <w:rsid w:val="004314F7"/>
    <w:rsid w:val="00431547"/>
    <w:rsid w:val="00431715"/>
    <w:rsid w:val="00431767"/>
    <w:rsid w:val="0043179D"/>
    <w:rsid w:val="00431815"/>
    <w:rsid w:val="00431816"/>
    <w:rsid w:val="00431925"/>
    <w:rsid w:val="00431951"/>
    <w:rsid w:val="00431957"/>
    <w:rsid w:val="0043198C"/>
    <w:rsid w:val="00431A04"/>
    <w:rsid w:val="00431A20"/>
    <w:rsid w:val="00431A82"/>
    <w:rsid w:val="00431AAC"/>
    <w:rsid w:val="00431AB6"/>
    <w:rsid w:val="00431AFA"/>
    <w:rsid w:val="00431B87"/>
    <w:rsid w:val="00431BD7"/>
    <w:rsid w:val="00431D24"/>
    <w:rsid w:val="00431D32"/>
    <w:rsid w:val="00431D78"/>
    <w:rsid w:val="00431DB2"/>
    <w:rsid w:val="00431DBF"/>
    <w:rsid w:val="00431F12"/>
    <w:rsid w:val="00431F34"/>
    <w:rsid w:val="00431F77"/>
    <w:rsid w:val="00431FAF"/>
    <w:rsid w:val="00432024"/>
    <w:rsid w:val="00432099"/>
    <w:rsid w:val="00432153"/>
    <w:rsid w:val="004321FB"/>
    <w:rsid w:val="0043220A"/>
    <w:rsid w:val="00432239"/>
    <w:rsid w:val="0043223B"/>
    <w:rsid w:val="004323D3"/>
    <w:rsid w:val="004324A4"/>
    <w:rsid w:val="00432562"/>
    <w:rsid w:val="004325AA"/>
    <w:rsid w:val="004325E4"/>
    <w:rsid w:val="0043262D"/>
    <w:rsid w:val="004326B5"/>
    <w:rsid w:val="00432798"/>
    <w:rsid w:val="0043279B"/>
    <w:rsid w:val="004329AC"/>
    <w:rsid w:val="004329B5"/>
    <w:rsid w:val="00432B6D"/>
    <w:rsid w:val="00432B8B"/>
    <w:rsid w:val="00432BB5"/>
    <w:rsid w:val="00432C20"/>
    <w:rsid w:val="00432C3F"/>
    <w:rsid w:val="00432D6B"/>
    <w:rsid w:val="00432E88"/>
    <w:rsid w:val="00432EE8"/>
    <w:rsid w:val="00432F36"/>
    <w:rsid w:val="00432FD2"/>
    <w:rsid w:val="0043324A"/>
    <w:rsid w:val="0043332D"/>
    <w:rsid w:val="0043333E"/>
    <w:rsid w:val="0043342D"/>
    <w:rsid w:val="0043345A"/>
    <w:rsid w:val="004334CE"/>
    <w:rsid w:val="00433614"/>
    <w:rsid w:val="0043361D"/>
    <w:rsid w:val="004336A2"/>
    <w:rsid w:val="004336E3"/>
    <w:rsid w:val="0043370D"/>
    <w:rsid w:val="004337A0"/>
    <w:rsid w:val="0043385B"/>
    <w:rsid w:val="00433869"/>
    <w:rsid w:val="004338BE"/>
    <w:rsid w:val="004339AB"/>
    <w:rsid w:val="00433A58"/>
    <w:rsid w:val="00433AEA"/>
    <w:rsid w:val="00433B41"/>
    <w:rsid w:val="00433BBC"/>
    <w:rsid w:val="00433CAA"/>
    <w:rsid w:val="00433D34"/>
    <w:rsid w:val="00433D91"/>
    <w:rsid w:val="00433E73"/>
    <w:rsid w:val="00433EA7"/>
    <w:rsid w:val="0043401E"/>
    <w:rsid w:val="0043405D"/>
    <w:rsid w:val="0043408F"/>
    <w:rsid w:val="004340F2"/>
    <w:rsid w:val="00434101"/>
    <w:rsid w:val="0043414F"/>
    <w:rsid w:val="00434215"/>
    <w:rsid w:val="00434225"/>
    <w:rsid w:val="004342B4"/>
    <w:rsid w:val="00434303"/>
    <w:rsid w:val="00434444"/>
    <w:rsid w:val="00434492"/>
    <w:rsid w:val="0043449E"/>
    <w:rsid w:val="004344E4"/>
    <w:rsid w:val="004344F8"/>
    <w:rsid w:val="004344FE"/>
    <w:rsid w:val="0043457E"/>
    <w:rsid w:val="004345A9"/>
    <w:rsid w:val="004345F1"/>
    <w:rsid w:val="00434643"/>
    <w:rsid w:val="004346B4"/>
    <w:rsid w:val="004347C9"/>
    <w:rsid w:val="00434806"/>
    <w:rsid w:val="004348AF"/>
    <w:rsid w:val="004348B3"/>
    <w:rsid w:val="00434900"/>
    <w:rsid w:val="00434926"/>
    <w:rsid w:val="004349D5"/>
    <w:rsid w:val="00434A95"/>
    <w:rsid w:val="00434B3A"/>
    <w:rsid w:val="00434CBE"/>
    <w:rsid w:val="00434D7F"/>
    <w:rsid w:val="00434DEF"/>
    <w:rsid w:val="00434E11"/>
    <w:rsid w:val="00434E9C"/>
    <w:rsid w:val="00434EBE"/>
    <w:rsid w:val="00434F18"/>
    <w:rsid w:val="00434FBF"/>
    <w:rsid w:val="004351A0"/>
    <w:rsid w:val="004352BF"/>
    <w:rsid w:val="00435385"/>
    <w:rsid w:val="00435429"/>
    <w:rsid w:val="00435438"/>
    <w:rsid w:val="00435564"/>
    <w:rsid w:val="004355AB"/>
    <w:rsid w:val="004355E7"/>
    <w:rsid w:val="004355F7"/>
    <w:rsid w:val="00435632"/>
    <w:rsid w:val="00435673"/>
    <w:rsid w:val="00435810"/>
    <w:rsid w:val="004358A4"/>
    <w:rsid w:val="004358E5"/>
    <w:rsid w:val="0043591E"/>
    <w:rsid w:val="004359E5"/>
    <w:rsid w:val="00435A52"/>
    <w:rsid w:val="00435AEE"/>
    <w:rsid w:val="00435BA1"/>
    <w:rsid w:val="00435C9F"/>
    <w:rsid w:val="00435D8B"/>
    <w:rsid w:val="00435F12"/>
    <w:rsid w:val="00435FA7"/>
    <w:rsid w:val="00435FF9"/>
    <w:rsid w:val="004360A2"/>
    <w:rsid w:val="004360B3"/>
    <w:rsid w:val="004360DD"/>
    <w:rsid w:val="004360EC"/>
    <w:rsid w:val="00436197"/>
    <w:rsid w:val="00436291"/>
    <w:rsid w:val="0043631E"/>
    <w:rsid w:val="004363D5"/>
    <w:rsid w:val="00436402"/>
    <w:rsid w:val="004364D5"/>
    <w:rsid w:val="004364F3"/>
    <w:rsid w:val="004364F5"/>
    <w:rsid w:val="00436528"/>
    <w:rsid w:val="004365B3"/>
    <w:rsid w:val="0043660F"/>
    <w:rsid w:val="0043666B"/>
    <w:rsid w:val="004366A2"/>
    <w:rsid w:val="00436734"/>
    <w:rsid w:val="00436859"/>
    <w:rsid w:val="0043687E"/>
    <w:rsid w:val="00436908"/>
    <w:rsid w:val="0043697B"/>
    <w:rsid w:val="004369A5"/>
    <w:rsid w:val="00436B02"/>
    <w:rsid w:val="00436C0E"/>
    <w:rsid w:val="00436C72"/>
    <w:rsid w:val="00436C83"/>
    <w:rsid w:val="00436C9C"/>
    <w:rsid w:val="00436C9F"/>
    <w:rsid w:val="00436DC7"/>
    <w:rsid w:val="00436E0C"/>
    <w:rsid w:val="00436F09"/>
    <w:rsid w:val="0043705A"/>
    <w:rsid w:val="00437175"/>
    <w:rsid w:val="004371AF"/>
    <w:rsid w:val="0043723E"/>
    <w:rsid w:val="00437245"/>
    <w:rsid w:val="004372CD"/>
    <w:rsid w:val="0043745E"/>
    <w:rsid w:val="0043751A"/>
    <w:rsid w:val="004376CF"/>
    <w:rsid w:val="004378E3"/>
    <w:rsid w:val="004379B5"/>
    <w:rsid w:val="004379C0"/>
    <w:rsid w:val="00437A59"/>
    <w:rsid w:val="00437A8A"/>
    <w:rsid w:val="00437B22"/>
    <w:rsid w:val="00437C23"/>
    <w:rsid w:val="00437C56"/>
    <w:rsid w:val="00437CD9"/>
    <w:rsid w:val="00437DAE"/>
    <w:rsid w:val="00437E6A"/>
    <w:rsid w:val="00437E79"/>
    <w:rsid w:val="00437EE3"/>
    <w:rsid w:val="00437F3B"/>
    <w:rsid w:val="004400D5"/>
    <w:rsid w:val="00440157"/>
    <w:rsid w:val="004401CA"/>
    <w:rsid w:val="0044024D"/>
    <w:rsid w:val="0044028B"/>
    <w:rsid w:val="004404A4"/>
    <w:rsid w:val="004404EC"/>
    <w:rsid w:val="0044064F"/>
    <w:rsid w:val="00440741"/>
    <w:rsid w:val="00440745"/>
    <w:rsid w:val="00440882"/>
    <w:rsid w:val="004408B7"/>
    <w:rsid w:val="004408EA"/>
    <w:rsid w:val="00440926"/>
    <w:rsid w:val="0044096B"/>
    <w:rsid w:val="00440A68"/>
    <w:rsid w:val="00440AD0"/>
    <w:rsid w:val="00440ADC"/>
    <w:rsid w:val="00440BDC"/>
    <w:rsid w:val="00440C02"/>
    <w:rsid w:val="00440D55"/>
    <w:rsid w:val="00440DFD"/>
    <w:rsid w:val="00440E6A"/>
    <w:rsid w:val="00441086"/>
    <w:rsid w:val="004410BA"/>
    <w:rsid w:val="00441124"/>
    <w:rsid w:val="00441131"/>
    <w:rsid w:val="00441175"/>
    <w:rsid w:val="00441189"/>
    <w:rsid w:val="004411CC"/>
    <w:rsid w:val="004411D4"/>
    <w:rsid w:val="004411F3"/>
    <w:rsid w:val="004412BC"/>
    <w:rsid w:val="004412E5"/>
    <w:rsid w:val="004412F6"/>
    <w:rsid w:val="00441397"/>
    <w:rsid w:val="004415D3"/>
    <w:rsid w:val="004415D4"/>
    <w:rsid w:val="0044182D"/>
    <w:rsid w:val="00441840"/>
    <w:rsid w:val="00441A87"/>
    <w:rsid w:val="00441AE6"/>
    <w:rsid w:val="00441B03"/>
    <w:rsid w:val="00441B67"/>
    <w:rsid w:val="00441BAE"/>
    <w:rsid w:val="00441C2B"/>
    <w:rsid w:val="00441C4F"/>
    <w:rsid w:val="00441C8A"/>
    <w:rsid w:val="00441D4C"/>
    <w:rsid w:val="00441DE1"/>
    <w:rsid w:val="0044202C"/>
    <w:rsid w:val="0044206C"/>
    <w:rsid w:val="004420FA"/>
    <w:rsid w:val="00442295"/>
    <w:rsid w:val="00442344"/>
    <w:rsid w:val="00442465"/>
    <w:rsid w:val="004424CA"/>
    <w:rsid w:val="00442534"/>
    <w:rsid w:val="004425D9"/>
    <w:rsid w:val="0044273F"/>
    <w:rsid w:val="00442902"/>
    <w:rsid w:val="0044294A"/>
    <w:rsid w:val="004429DB"/>
    <w:rsid w:val="00442A8E"/>
    <w:rsid w:val="00442B30"/>
    <w:rsid w:val="00442BD5"/>
    <w:rsid w:val="00442C7A"/>
    <w:rsid w:val="00442C99"/>
    <w:rsid w:val="00442CBD"/>
    <w:rsid w:val="00442DE8"/>
    <w:rsid w:val="00442DF9"/>
    <w:rsid w:val="00442E07"/>
    <w:rsid w:val="00442ECB"/>
    <w:rsid w:val="00442ECC"/>
    <w:rsid w:val="00442EF8"/>
    <w:rsid w:val="00442FA3"/>
    <w:rsid w:val="00442FB1"/>
    <w:rsid w:val="0044302B"/>
    <w:rsid w:val="004430B5"/>
    <w:rsid w:val="004431A9"/>
    <w:rsid w:val="004431B4"/>
    <w:rsid w:val="004431B5"/>
    <w:rsid w:val="00443243"/>
    <w:rsid w:val="004432BD"/>
    <w:rsid w:val="00443302"/>
    <w:rsid w:val="0044332F"/>
    <w:rsid w:val="00443360"/>
    <w:rsid w:val="00443362"/>
    <w:rsid w:val="00443411"/>
    <w:rsid w:val="00443593"/>
    <w:rsid w:val="0044366A"/>
    <w:rsid w:val="00443674"/>
    <w:rsid w:val="0044373B"/>
    <w:rsid w:val="004437B1"/>
    <w:rsid w:val="004438B8"/>
    <w:rsid w:val="004438BC"/>
    <w:rsid w:val="004438C6"/>
    <w:rsid w:val="004438D5"/>
    <w:rsid w:val="00443953"/>
    <w:rsid w:val="0044396D"/>
    <w:rsid w:val="004439E1"/>
    <w:rsid w:val="00443AAF"/>
    <w:rsid w:val="00443B00"/>
    <w:rsid w:val="00443BBA"/>
    <w:rsid w:val="00443D41"/>
    <w:rsid w:val="00443DCA"/>
    <w:rsid w:val="00443DD2"/>
    <w:rsid w:val="00443E3F"/>
    <w:rsid w:val="00443E95"/>
    <w:rsid w:val="00443FC9"/>
    <w:rsid w:val="00443FD7"/>
    <w:rsid w:val="0044412E"/>
    <w:rsid w:val="0044419A"/>
    <w:rsid w:val="004441C8"/>
    <w:rsid w:val="004441E3"/>
    <w:rsid w:val="004443BD"/>
    <w:rsid w:val="004443D0"/>
    <w:rsid w:val="004443FD"/>
    <w:rsid w:val="004444C1"/>
    <w:rsid w:val="00444522"/>
    <w:rsid w:val="004445D4"/>
    <w:rsid w:val="00444699"/>
    <w:rsid w:val="004446EC"/>
    <w:rsid w:val="00444828"/>
    <w:rsid w:val="0044482C"/>
    <w:rsid w:val="00444879"/>
    <w:rsid w:val="0044490C"/>
    <w:rsid w:val="0044497E"/>
    <w:rsid w:val="004449F1"/>
    <w:rsid w:val="00444A18"/>
    <w:rsid w:val="00444AE1"/>
    <w:rsid w:val="00444AEF"/>
    <w:rsid w:val="00444B55"/>
    <w:rsid w:val="00444B95"/>
    <w:rsid w:val="00444BB6"/>
    <w:rsid w:val="00444C33"/>
    <w:rsid w:val="00444C7D"/>
    <w:rsid w:val="00444CF3"/>
    <w:rsid w:val="00444D69"/>
    <w:rsid w:val="00444E8C"/>
    <w:rsid w:val="00444F92"/>
    <w:rsid w:val="00445050"/>
    <w:rsid w:val="004450DE"/>
    <w:rsid w:val="0044513F"/>
    <w:rsid w:val="00445166"/>
    <w:rsid w:val="00445200"/>
    <w:rsid w:val="00445265"/>
    <w:rsid w:val="00445331"/>
    <w:rsid w:val="004453CA"/>
    <w:rsid w:val="0044548A"/>
    <w:rsid w:val="004455F4"/>
    <w:rsid w:val="00445729"/>
    <w:rsid w:val="00445777"/>
    <w:rsid w:val="00445813"/>
    <w:rsid w:val="00445843"/>
    <w:rsid w:val="00445881"/>
    <w:rsid w:val="00445899"/>
    <w:rsid w:val="004458B7"/>
    <w:rsid w:val="0044591B"/>
    <w:rsid w:val="00445A53"/>
    <w:rsid w:val="00445B20"/>
    <w:rsid w:val="00445B3B"/>
    <w:rsid w:val="00445B40"/>
    <w:rsid w:val="00445BA4"/>
    <w:rsid w:val="00445CEA"/>
    <w:rsid w:val="00445E23"/>
    <w:rsid w:val="00445F9B"/>
    <w:rsid w:val="00446022"/>
    <w:rsid w:val="00446048"/>
    <w:rsid w:val="00446056"/>
    <w:rsid w:val="00446122"/>
    <w:rsid w:val="00446259"/>
    <w:rsid w:val="004462A9"/>
    <w:rsid w:val="004463AA"/>
    <w:rsid w:val="00446456"/>
    <w:rsid w:val="004464B0"/>
    <w:rsid w:val="004464B2"/>
    <w:rsid w:val="0044658C"/>
    <w:rsid w:val="00446652"/>
    <w:rsid w:val="0044668C"/>
    <w:rsid w:val="0044669C"/>
    <w:rsid w:val="00446789"/>
    <w:rsid w:val="0044684B"/>
    <w:rsid w:val="004468AD"/>
    <w:rsid w:val="004468EC"/>
    <w:rsid w:val="004469A4"/>
    <w:rsid w:val="004469F6"/>
    <w:rsid w:val="00446A44"/>
    <w:rsid w:val="00446AAF"/>
    <w:rsid w:val="00446AC3"/>
    <w:rsid w:val="00446B0E"/>
    <w:rsid w:val="00446C38"/>
    <w:rsid w:val="00446C44"/>
    <w:rsid w:val="00446C67"/>
    <w:rsid w:val="00446D80"/>
    <w:rsid w:val="00446DAC"/>
    <w:rsid w:val="00446DCE"/>
    <w:rsid w:val="00446E70"/>
    <w:rsid w:val="00446E78"/>
    <w:rsid w:val="00446E89"/>
    <w:rsid w:val="00446EB1"/>
    <w:rsid w:val="00446F85"/>
    <w:rsid w:val="00447232"/>
    <w:rsid w:val="00447265"/>
    <w:rsid w:val="004472B1"/>
    <w:rsid w:val="004472DB"/>
    <w:rsid w:val="00447344"/>
    <w:rsid w:val="004473BB"/>
    <w:rsid w:val="004473C0"/>
    <w:rsid w:val="004473E5"/>
    <w:rsid w:val="0044775F"/>
    <w:rsid w:val="00447829"/>
    <w:rsid w:val="00447AF7"/>
    <w:rsid w:val="00447BE4"/>
    <w:rsid w:val="00447C04"/>
    <w:rsid w:val="00447C5F"/>
    <w:rsid w:val="00447C90"/>
    <w:rsid w:val="00447DF2"/>
    <w:rsid w:val="00447E2E"/>
    <w:rsid w:val="0045004B"/>
    <w:rsid w:val="004501A2"/>
    <w:rsid w:val="004504FF"/>
    <w:rsid w:val="0045056F"/>
    <w:rsid w:val="00450636"/>
    <w:rsid w:val="00450743"/>
    <w:rsid w:val="004507B3"/>
    <w:rsid w:val="004507E0"/>
    <w:rsid w:val="004508B3"/>
    <w:rsid w:val="00450A7E"/>
    <w:rsid w:val="00450D36"/>
    <w:rsid w:val="00450DE2"/>
    <w:rsid w:val="00450EC2"/>
    <w:rsid w:val="00450ECA"/>
    <w:rsid w:val="00450F3A"/>
    <w:rsid w:val="00450F59"/>
    <w:rsid w:val="00451017"/>
    <w:rsid w:val="00451028"/>
    <w:rsid w:val="004510D8"/>
    <w:rsid w:val="00451123"/>
    <w:rsid w:val="004511AD"/>
    <w:rsid w:val="004511DB"/>
    <w:rsid w:val="004513CB"/>
    <w:rsid w:val="004515A0"/>
    <w:rsid w:val="0045166D"/>
    <w:rsid w:val="004516FF"/>
    <w:rsid w:val="00451759"/>
    <w:rsid w:val="004517DD"/>
    <w:rsid w:val="0045181C"/>
    <w:rsid w:val="00451AA4"/>
    <w:rsid w:val="00451B8B"/>
    <w:rsid w:val="00451BBB"/>
    <w:rsid w:val="00451CE1"/>
    <w:rsid w:val="00451E43"/>
    <w:rsid w:val="00451E4D"/>
    <w:rsid w:val="00451EE3"/>
    <w:rsid w:val="00451EE7"/>
    <w:rsid w:val="0045202C"/>
    <w:rsid w:val="0045208B"/>
    <w:rsid w:val="0045209E"/>
    <w:rsid w:val="00452217"/>
    <w:rsid w:val="00452281"/>
    <w:rsid w:val="0045229A"/>
    <w:rsid w:val="004522AB"/>
    <w:rsid w:val="00452317"/>
    <w:rsid w:val="0045239D"/>
    <w:rsid w:val="004523B7"/>
    <w:rsid w:val="00452415"/>
    <w:rsid w:val="004525A6"/>
    <w:rsid w:val="004525F9"/>
    <w:rsid w:val="00452647"/>
    <w:rsid w:val="00452682"/>
    <w:rsid w:val="00452769"/>
    <w:rsid w:val="0045276A"/>
    <w:rsid w:val="0045278E"/>
    <w:rsid w:val="004527B1"/>
    <w:rsid w:val="00452834"/>
    <w:rsid w:val="0045286E"/>
    <w:rsid w:val="004528D9"/>
    <w:rsid w:val="00452A83"/>
    <w:rsid w:val="00452A93"/>
    <w:rsid w:val="00452A9C"/>
    <w:rsid w:val="00452B71"/>
    <w:rsid w:val="00452B9E"/>
    <w:rsid w:val="00452BAC"/>
    <w:rsid w:val="00452C63"/>
    <w:rsid w:val="00452E2A"/>
    <w:rsid w:val="00452E40"/>
    <w:rsid w:val="00452E61"/>
    <w:rsid w:val="004530DE"/>
    <w:rsid w:val="004533F9"/>
    <w:rsid w:val="00453469"/>
    <w:rsid w:val="00453588"/>
    <w:rsid w:val="00453629"/>
    <w:rsid w:val="00453631"/>
    <w:rsid w:val="00453680"/>
    <w:rsid w:val="004536AC"/>
    <w:rsid w:val="0045390F"/>
    <w:rsid w:val="00453947"/>
    <w:rsid w:val="00453A15"/>
    <w:rsid w:val="00453B5B"/>
    <w:rsid w:val="00453B94"/>
    <w:rsid w:val="00453BDD"/>
    <w:rsid w:val="00453D44"/>
    <w:rsid w:val="00453F3C"/>
    <w:rsid w:val="00453F77"/>
    <w:rsid w:val="00453FB8"/>
    <w:rsid w:val="0045406F"/>
    <w:rsid w:val="00454117"/>
    <w:rsid w:val="0045413F"/>
    <w:rsid w:val="00454142"/>
    <w:rsid w:val="004541B5"/>
    <w:rsid w:val="00454225"/>
    <w:rsid w:val="004543AF"/>
    <w:rsid w:val="00454409"/>
    <w:rsid w:val="00454512"/>
    <w:rsid w:val="004545E7"/>
    <w:rsid w:val="00454677"/>
    <w:rsid w:val="0045469A"/>
    <w:rsid w:val="00454748"/>
    <w:rsid w:val="00454796"/>
    <w:rsid w:val="004547ED"/>
    <w:rsid w:val="00454906"/>
    <w:rsid w:val="00454965"/>
    <w:rsid w:val="00454984"/>
    <w:rsid w:val="00454AE0"/>
    <w:rsid w:val="00454AE6"/>
    <w:rsid w:val="00454C8E"/>
    <w:rsid w:val="00454D0D"/>
    <w:rsid w:val="00454D72"/>
    <w:rsid w:val="00454DB2"/>
    <w:rsid w:val="00454DB7"/>
    <w:rsid w:val="00454E2A"/>
    <w:rsid w:val="00454E80"/>
    <w:rsid w:val="00454EB9"/>
    <w:rsid w:val="00454ED2"/>
    <w:rsid w:val="00454F9E"/>
    <w:rsid w:val="00455016"/>
    <w:rsid w:val="00455096"/>
    <w:rsid w:val="004550BC"/>
    <w:rsid w:val="004551DB"/>
    <w:rsid w:val="004551FD"/>
    <w:rsid w:val="0045522E"/>
    <w:rsid w:val="0045524C"/>
    <w:rsid w:val="00455278"/>
    <w:rsid w:val="00455284"/>
    <w:rsid w:val="00455329"/>
    <w:rsid w:val="004553C1"/>
    <w:rsid w:val="004553D9"/>
    <w:rsid w:val="0045547E"/>
    <w:rsid w:val="004555AC"/>
    <w:rsid w:val="00455615"/>
    <w:rsid w:val="0045563C"/>
    <w:rsid w:val="00455667"/>
    <w:rsid w:val="004557D6"/>
    <w:rsid w:val="00455818"/>
    <w:rsid w:val="0045586E"/>
    <w:rsid w:val="0045590B"/>
    <w:rsid w:val="00455980"/>
    <w:rsid w:val="004559CE"/>
    <w:rsid w:val="00455A3B"/>
    <w:rsid w:val="00455A69"/>
    <w:rsid w:val="00455A8F"/>
    <w:rsid w:val="00455CC4"/>
    <w:rsid w:val="00455DF4"/>
    <w:rsid w:val="00455ECA"/>
    <w:rsid w:val="00455F0D"/>
    <w:rsid w:val="00455F2B"/>
    <w:rsid w:val="004560C9"/>
    <w:rsid w:val="0045611E"/>
    <w:rsid w:val="00456141"/>
    <w:rsid w:val="00456184"/>
    <w:rsid w:val="00456191"/>
    <w:rsid w:val="004562B9"/>
    <w:rsid w:val="004562FD"/>
    <w:rsid w:val="004563B4"/>
    <w:rsid w:val="0045642E"/>
    <w:rsid w:val="00456489"/>
    <w:rsid w:val="004565D4"/>
    <w:rsid w:val="00456653"/>
    <w:rsid w:val="00456658"/>
    <w:rsid w:val="004566C7"/>
    <w:rsid w:val="004566EA"/>
    <w:rsid w:val="00456722"/>
    <w:rsid w:val="00456758"/>
    <w:rsid w:val="0045676E"/>
    <w:rsid w:val="00456775"/>
    <w:rsid w:val="004568C2"/>
    <w:rsid w:val="00456938"/>
    <w:rsid w:val="004569DD"/>
    <w:rsid w:val="00456AFB"/>
    <w:rsid w:val="00456B43"/>
    <w:rsid w:val="00456B66"/>
    <w:rsid w:val="00456BF3"/>
    <w:rsid w:val="00456C98"/>
    <w:rsid w:val="00456CC9"/>
    <w:rsid w:val="00456E00"/>
    <w:rsid w:val="00456E12"/>
    <w:rsid w:val="00456E5F"/>
    <w:rsid w:val="00457053"/>
    <w:rsid w:val="004570B0"/>
    <w:rsid w:val="00457201"/>
    <w:rsid w:val="0045724A"/>
    <w:rsid w:val="0045731E"/>
    <w:rsid w:val="00457377"/>
    <w:rsid w:val="00457405"/>
    <w:rsid w:val="00457418"/>
    <w:rsid w:val="0045756F"/>
    <w:rsid w:val="004575D5"/>
    <w:rsid w:val="00457637"/>
    <w:rsid w:val="004577C8"/>
    <w:rsid w:val="004578AA"/>
    <w:rsid w:val="00457902"/>
    <w:rsid w:val="00457947"/>
    <w:rsid w:val="00457956"/>
    <w:rsid w:val="00457975"/>
    <w:rsid w:val="00457AFB"/>
    <w:rsid w:val="00457B13"/>
    <w:rsid w:val="00457B3D"/>
    <w:rsid w:val="00457B5F"/>
    <w:rsid w:val="00457BC6"/>
    <w:rsid w:val="00457C12"/>
    <w:rsid w:val="00457C1F"/>
    <w:rsid w:val="00457C3E"/>
    <w:rsid w:val="00457C5C"/>
    <w:rsid w:val="00457C6B"/>
    <w:rsid w:val="00457D0C"/>
    <w:rsid w:val="00457D12"/>
    <w:rsid w:val="00457DD9"/>
    <w:rsid w:val="00457DFE"/>
    <w:rsid w:val="00457E1E"/>
    <w:rsid w:val="00457E26"/>
    <w:rsid w:val="00457F29"/>
    <w:rsid w:val="004600C7"/>
    <w:rsid w:val="00460104"/>
    <w:rsid w:val="00460143"/>
    <w:rsid w:val="0046017C"/>
    <w:rsid w:val="00460212"/>
    <w:rsid w:val="004602DB"/>
    <w:rsid w:val="00460385"/>
    <w:rsid w:val="004603B5"/>
    <w:rsid w:val="004604AF"/>
    <w:rsid w:val="00460546"/>
    <w:rsid w:val="0046066D"/>
    <w:rsid w:val="004606CF"/>
    <w:rsid w:val="00460719"/>
    <w:rsid w:val="00460726"/>
    <w:rsid w:val="004608DD"/>
    <w:rsid w:val="00460999"/>
    <w:rsid w:val="00460A2F"/>
    <w:rsid w:val="00460A81"/>
    <w:rsid w:val="00460AA0"/>
    <w:rsid w:val="00460E1A"/>
    <w:rsid w:val="00460EDC"/>
    <w:rsid w:val="00460F77"/>
    <w:rsid w:val="00460F79"/>
    <w:rsid w:val="00461051"/>
    <w:rsid w:val="00461118"/>
    <w:rsid w:val="00461193"/>
    <w:rsid w:val="00461232"/>
    <w:rsid w:val="00461281"/>
    <w:rsid w:val="004612DB"/>
    <w:rsid w:val="004612EB"/>
    <w:rsid w:val="004613A2"/>
    <w:rsid w:val="0046149C"/>
    <w:rsid w:val="004614F0"/>
    <w:rsid w:val="00461507"/>
    <w:rsid w:val="004616B5"/>
    <w:rsid w:val="0046173F"/>
    <w:rsid w:val="00461779"/>
    <w:rsid w:val="004618AB"/>
    <w:rsid w:val="0046197C"/>
    <w:rsid w:val="0046199F"/>
    <w:rsid w:val="004619B7"/>
    <w:rsid w:val="00461A06"/>
    <w:rsid w:val="00461A40"/>
    <w:rsid w:val="00461AEA"/>
    <w:rsid w:val="00461DEA"/>
    <w:rsid w:val="00461E1C"/>
    <w:rsid w:val="00461EDC"/>
    <w:rsid w:val="00461FB6"/>
    <w:rsid w:val="00462043"/>
    <w:rsid w:val="00462049"/>
    <w:rsid w:val="004622A8"/>
    <w:rsid w:val="00462326"/>
    <w:rsid w:val="004623EF"/>
    <w:rsid w:val="004623F4"/>
    <w:rsid w:val="004624E0"/>
    <w:rsid w:val="00462544"/>
    <w:rsid w:val="0046259C"/>
    <w:rsid w:val="004625C2"/>
    <w:rsid w:val="004625F9"/>
    <w:rsid w:val="0046263D"/>
    <w:rsid w:val="0046265F"/>
    <w:rsid w:val="00462694"/>
    <w:rsid w:val="004626A0"/>
    <w:rsid w:val="00462726"/>
    <w:rsid w:val="0046275D"/>
    <w:rsid w:val="004627AA"/>
    <w:rsid w:val="00462814"/>
    <w:rsid w:val="0046283F"/>
    <w:rsid w:val="00462858"/>
    <w:rsid w:val="00462949"/>
    <w:rsid w:val="004629C6"/>
    <w:rsid w:val="00462A32"/>
    <w:rsid w:val="00462B21"/>
    <w:rsid w:val="00462B73"/>
    <w:rsid w:val="00462B7E"/>
    <w:rsid w:val="00462C2A"/>
    <w:rsid w:val="00462C83"/>
    <w:rsid w:val="00462C99"/>
    <w:rsid w:val="00462CC9"/>
    <w:rsid w:val="00462D10"/>
    <w:rsid w:val="00462D4E"/>
    <w:rsid w:val="00462DCF"/>
    <w:rsid w:val="00462E26"/>
    <w:rsid w:val="00462EA2"/>
    <w:rsid w:val="00462F2E"/>
    <w:rsid w:val="004631F9"/>
    <w:rsid w:val="0046335C"/>
    <w:rsid w:val="00463504"/>
    <w:rsid w:val="0046365E"/>
    <w:rsid w:val="0046366A"/>
    <w:rsid w:val="004637F4"/>
    <w:rsid w:val="004638FB"/>
    <w:rsid w:val="00463934"/>
    <w:rsid w:val="0046394E"/>
    <w:rsid w:val="004639F5"/>
    <w:rsid w:val="00463A51"/>
    <w:rsid w:val="00463A61"/>
    <w:rsid w:val="00463AD3"/>
    <w:rsid w:val="00463BE6"/>
    <w:rsid w:val="00463BEB"/>
    <w:rsid w:val="00463CEB"/>
    <w:rsid w:val="00463D4A"/>
    <w:rsid w:val="00463D7B"/>
    <w:rsid w:val="00463DAB"/>
    <w:rsid w:val="00463DF8"/>
    <w:rsid w:val="00463E6E"/>
    <w:rsid w:val="00463EAD"/>
    <w:rsid w:val="00463F5C"/>
    <w:rsid w:val="00463F70"/>
    <w:rsid w:val="00463FE8"/>
    <w:rsid w:val="0046405A"/>
    <w:rsid w:val="0046407F"/>
    <w:rsid w:val="00464092"/>
    <w:rsid w:val="00464154"/>
    <w:rsid w:val="0046419B"/>
    <w:rsid w:val="0046420C"/>
    <w:rsid w:val="00464305"/>
    <w:rsid w:val="00464329"/>
    <w:rsid w:val="0046444C"/>
    <w:rsid w:val="00464501"/>
    <w:rsid w:val="0046454C"/>
    <w:rsid w:val="0046454D"/>
    <w:rsid w:val="00464554"/>
    <w:rsid w:val="004645DB"/>
    <w:rsid w:val="00464633"/>
    <w:rsid w:val="0046464A"/>
    <w:rsid w:val="00464662"/>
    <w:rsid w:val="004646AF"/>
    <w:rsid w:val="00464754"/>
    <w:rsid w:val="004647D0"/>
    <w:rsid w:val="004647E7"/>
    <w:rsid w:val="00464985"/>
    <w:rsid w:val="004649D1"/>
    <w:rsid w:val="00464A55"/>
    <w:rsid w:val="00464AA4"/>
    <w:rsid w:val="00464CD1"/>
    <w:rsid w:val="00464D35"/>
    <w:rsid w:val="00464EB1"/>
    <w:rsid w:val="00464ECD"/>
    <w:rsid w:val="00464FD1"/>
    <w:rsid w:val="0046503A"/>
    <w:rsid w:val="00465116"/>
    <w:rsid w:val="0046515E"/>
    <w:rsid w:val="0046519A"/>
    <w:rsid w:val="004651E7"/>
    <w:rsid w:val="0046522E"/>
    <w:rsid w:val="004652A0"/>
    <w:rsid w:val="004652F4"/>
    <w:rsid w:val="0046534B"/>
    <w:rsid w:val="004653D0"/>
    <w:rsid w:val="00465424"/>
    <w:rsid w:val="00465614"/>
    <w:rsid w:val="00465750"/>
    <w:rsid w:val="0046583F"/>
    <w:rsid w:val="0046584B"/>
    <w:rsid w:val="004658A3"/>
    <w:rsid w:val="004658DA"/>
    <w:rsid w:val="004659C7"/>
    <w:rsid w:val="00465A17"/>
    <w:rsid w:val="00465A56"/>
    <w:rsid w:val="00465ADD"/>
    <w:rsid w:val="00465C9D"/>
    <w:rsid w:val="00465DCA"/>
    <w:rsid w:val="00465DDA"/>
    <w:rsid w:val="00466039"/>
    <w:rsid w:val="0046605F"/>
    <w:rsid w:val="00466076"/>
    <w:rsid w:val="00466308"/>
    <w:rsid w:val="00466371"/>
    <w:rsid w:val="00466374"/>
    <w:rsid w:val="0046638D"/>
    <w:rsid w:val="004663D3"/>
    <w:rsid w:val="00466427"/>
    <w:rsid w:val="004665E6"/>
    <w:rsid w:val="004666D2"/>
    <w:rsid w:val="00466842"/>
    <w:rsid w:val="00466911"/>
    <w:rsid w:val="00466963"/>
    <w:rsid w:val="00466972"/>
    <w:rsid w:val="004669C8"/>
    <w:rsid w:val="004669ED"/>
    <w:rsid w:val="00466A9D"/>
    <w:rsid w:val="00466BF1"/>
    <w:rsid w:val="00466C03"/>
    <w:rsid w:val="00466CEE"/>
    <w:rsid w:val="00466D4F"/>
    <w:rsid w:val="00466DED"/>
    <w:rsid w:val="00466EA3"/>
    <w:rsid w:val="00466EFC"/>
    <w:rsid w:val="0046709E"/>
    <w:rsid w:val="004670F7"/>
    <w:rsid w:val="0046712C"/>
    <w:rsid w:val="004671C0"/>
    <w:rsid w:val="0046723F"/>
    <w:rsid w:val="0046726D"/>
    <w:rsid w:val="00467571"/>
    <w:rsid w:val="00467598"/>
    <w:rsid w:val="004676D7"/>
    <w:rsid w:val="00467719"/>
    <w:rsid w:val="00467729"/>
    <w:rsid w:val="00467779"/>
    <w:rsid w:val="00467815"/>
    <w:rsid w:val="0046781F"/>
    <w:rsid w:val="0046787D"/>
    <w:rsid w:val="004678FA"/>
    <w:rsid w:val="00467A92"/>
    <w:rsid w:val="00467B76"/>
    <w:rsid w:val="00467BD5"/>
    <w:rsid w:val="00467BF7"/>
    <w:rsid w:val="00467C81"/>
    <w:rsid w:val="00467CC2"/>
    <w:rsid w:val="00467CCA"/>
    <w:rsid w:val="00467D16"/>
    <w:rsid w:val="00467D60"/>
    <w:rsid w:val="00467DB7"/>
    <w:rsid w:val="00467DEA"/>
    <w:rsid w:val="00467E91"/>
    <w:rsid w:val="00467F03"/>
    <w:rsid w:val="00467F76"/>
    <w:rsid w:val="00467F7D"/>
    <w:rsid w:val="00467FF9"/>
    <w:rsid w:val="0047003F"/>
    <w:rsid w:val="00470127"/>
    <w:rsid w:val="00470134"/>
    <w:rsid w:val="0047014C"/>
    <w:rsid w:val="004701CC"/>
    <w:rsid w:val="004702A1"/>
    <w:rsid w:val="00470352"/>
    <w:rsid w:val="00470423"/>
    <w:rsid w:val="004704CF"/>
    <w:rsid w:val="004706B3"/>
    <w:rsid w:val="004706B5"/>
    <w:rsid w:val="0047070A"/>
    <w:rsid w:val="0047072C"/>
    <w:rsid w:val="0047076E"/>
    <w:rsid w:val="004707A4"/>
    <w:rsid w:val="004707DA"/>
    <w:rsid w:val="004707F6"/>
    <w:rsid w:val="00470911"/>
    <w:rsid w:val="0047095F"/>
    <w:rsid w:val="00470A29"/>
    <w:rsid w:val="00470B88"/>
    <w:rsid w:val="00470BA6"/>
    <w:rsid w:val="00470C6C"/>
    <w:rsid w:val="00470EC1"/>
    <w:rsid w:val="00470EC5"/>
    <w:rsid w:val="00470F94"/>
    <w:rsid w:val="00471085"/>
    <w:rsid w:val="0047129B"/>
    <w:rsid w:val="0047139C"/>
    <w:rsid w:val="0047139F"/>
    <w:rsid w:val="004714DE"/>
    <w:rsid w:val="004714F9"/>
    <w:rsid w:val="0047153F"/>
    <w:rsid w:val="00471593"/>
    <w:rsid w:val="004715A9"/>
    <w:rsid w:val="0047172D"/>
    <w:rsid w:val="00471746"/>
    <w:rsid w:val="004717E0"/>
    <w:rsid w:val="00471879"/>
    <w:rsid w:val="004718AF"/>
    <w:rsid w:val="004718FC"/>
    <w:rsid w:val="00471913"/>
    <w:rsid w:val="004719A2"/>
    <w:rsid w:val="004719DE"/>
    <w:rsid w:val="00471AFA"/>
    <w:rsid w:val="00471B3C"/>
    <w:rsid w:val="00471B6D"/>
    <w:rsid w:val="00471B9A"/>
    <w:rsid w:val="00471CC9"/>
    <w:rsid w:val="00471D50"/>
    <w:rsid w:val="00471E40"/>
    <w:rsid w:val="00471E9F"/>
    <w:rsid w:val="00471EA8"/>
    <w:rsid w:val="00471F4E"/>
    <w:rsid w:val="00471F55"/>
    <w:rsid w:val="00472060"/>
    <w:rsid w:val="004720A0"/>
    <w:rsid w:val="004720AB"/>
    <w:rsid w:val="0047229A"/>
    <w:rsid w:val="004722C7"/>
    <w:rsid w:val="0047233E"/>
    <w:rsid w:val="00472436"/>
    <w:rsid w:val="0047248A"/>
    <w:rsid w:val="0047251C"/>
    <w:rsid w:val="00472568"/>
    <w:rsid w:val="004725C0"/>
    <w:rsid w:val="00472629"/>
    <w:rsid w:val="00472641"/>
    <w:rsid w:val="00472819"/>
    <w:rsid w:val="00472825"/>
    <w:rsid w:val="004728F5"/>
    <w:rsid w:val="00472975"/>
    <w:rsid w:val="004729C5"/>
    <w:rsid w:val="00472A9D"/>
    <w:rsid w:val="00472ACC"/>
    <w:rsid w:val="00472B58"/>
    <w:rsid w:val="00472B9D"/>
    <w:rsid w:val="00472BA6"/>
    <w:rsid w:val="00472BBB"/>
    <w:rsid w:val="00472C42"/>
    <w:rsid w:val="00472C4A"/>
    <w:rsid w:val="00472C9A"/>
    <w:rsid w:val="00472D50"/>
    <w:rsid w:val="00472DFE"/>
    <w:rsid w:val="00472E1C"/>
    <w:rsid w:val="00472E22"/>
    <w:rsid w:val="00472E5E"/>
    <w:rsid w:val="00472E66"/>
    <w:rsid w:val="00472E88"/>
    <w:rsid w:val="00472EB2"/>
    <w:rsid w:val="00472F44"/>
    <w:rsid w:val="00472FF3"/>
    <w:rsid w:val="00473087"/>
    <w:rsid w:val="00473098"/>
    <w:rsid w:val="004730C0"/>
    <w:rsid w:val="00473103"/>
    <w:rsid w:val="004731EA"/>
    <w:rsid w:val="004731F3"/>
    <w:rsid w:val="004732AF"/>
    <w:rsid w:val="004733ED"/>
    <w:rsid w:val="0047343F"/>
    <w:rsid w:val="00473460"/>
    <w:rsid w:val="0047350B"/>
    <w:rsid w:val="00473786"/>
    <w:rsid w:val="004737CE"/>
    <w:rsid w:val="0047385E"/>
    <w:rsid w:val="00473A53"/>
    <w:rsid w:val="00473A6A"/>
    <w:rsid w:val="00473A6F"/>
    <w:rsid w:val="00473AF1"/>
    <w:rsid w:val="00473B2D"/>
    <w:rsid w:val="00473C5D"/>
    <w:rsid w:val="00473CB2"/>
    <w:rsid w:val="00473E5A"/>
    <w:rsid w:val="00473EB2"/>
    <w:rsid w:val="00473F36"/>
    <w:rsid w:val="00473F38"/>
    <w:rsid w:val="00473F70"/>
    <w:rsid w:val="00473FD1"/>
    <w:rsid w:val="0047400C"/>
    <w:rsid w:val="00474128"/>
    <w:rsid w:val="0047413B"/>
    <w:rsid w:val="004742B0"/>
    <w:rsid w:val="004742EA"/>
    <w:rsid w:val="004743F4"/>
    <w:rsid w:val="00474450"/>
    <w:rsid w:val="0047452B"/>
    <w:rsid w:val="004745FD"/>
    <w:rsid w:val="0047462D"/>
    <w:rsid w:val="004746B3"/>
    <w:rsid w:val="004746E3"/>
    <w:rsid w:val="0047478D"/>
    <w:rsid w:val="004748A3"/>
    <w:rsid w:val="004748F1"/>
    <w:rsid w:val="0047499A"/>
    <w:rsid w:val="004749A2"/>
    <w:rsid w:val="00474A5B"/>
    <w:rsid w:val="00474AF1"/>
    <w:rsid w:val="00474B4C"/>
    <w:rsid w:val="00474CD7"/>
    <w:rsid w:val="00474D41"/>
    <w:rsid w:val="00474D45"/>
    <w:rsid w:val="00474D6F"/>
    <w:rsid w:val="00474EED"/>
    <w:rsid w:val="00474F0B"/>
    <w:rsid w:val="00474F13"/>
    <w:rsid w:val="00474F4E"/>
    <w:rsid w:val="00474FBF"/>
    <w:rsid w:val="00474FF2"/>
    <w:rsid w:val="0047502A"/>
    <w:rsid w:val="00475085"/>
    <w:rsid w:val="004750AA"/>
    <w:rsid w:val="004750D4"/>
    <w:rsid w:val="0047520F"/>
    <w:rsid w:val="0047521B"/>
    <w:rsid w:val="00475239"/>
    <w:rsid w:val="004752A9"/>
    <w:rsid w:val="00475316"/>
    <w:rsid w:val="00475423"/>
    <w:rsid w:val="00475443"/>
    <w:rsid w:val="004756EF"/>
    <w:rsid w:val="004757DF"/>
    <w:rsid w:val="004758A6"/>
    <w:rsid w:val="004759B1"/>
    <w:rsid w:val="00475A6E"/>
    <w:rsid w:val="00475ABF"/>
    <w:rsid w:val="00475BC0"/>
    <w:rsid w:val="00475C9D"/>
    <w:rsid w:val="00475D04"/>
    <w:rsid w:val="00475D4B"/>
    <w:rsid w:val="00475F32"/>
    <w:rsid w:val="00475FA7"/>
    <w:rsid w:val="00476070"/>
    <w:rsid w:val="00476121"/>
    <w:rsid w:val="00476163"/>
    <w:rsid w:val="004761A6"/>
    <w:rsid w:val="00476235"/>
    <w:rsid w:val="00476242"/>
    <w:rsid w:val="00476250"/>
    <w:rsid w:val="00476326"/>
    <w:rsid w:val="00476351"/>
    <w:rsid w:val="00476417"/>
    <w:rsid w:val="00476590"/>
    <w:rsid w:val="004765B6"/>
    <w:rsid w:val="00476634"/>
    <w:rsid w:val="004768D0"/>
    <w:rsid w:val="00476940"/>
    <w:rsid w:val="0047694F"/>
    <w:rsid w:val="00476B52"/>
    <w:rsid w:val="00476B53"/>
    <w:rsid w:val="00476B8E"/>
    <w:rsid w:val="00476C02"/>
    <w:rsid w:val="00476C13"/>
    <w:rsid w:val="00476CF6"/>
    <w:rsid w:val="00476D03"/>
    <w:rsid w:val="00476D0D"/>
    <w:rsid w:val="00476F6D"/>
    <w:rsid w:val="00476FA5"/>
    <w:rsid w:val="00477013"/>
    <w:rsid w:val="00477150"/>
    <w:rsid w:val="004771D2"/>
    <w:rsid w:val="004771D4"/>
    <w:rsid w:val="0047722F"/>
    <w:rsid w:val="00477231"/>
    <w:rsid w:val="00477263"/>
    <w:rsid w:val="004772A9"/>
    <w:rsid w:val="004772BE"/>
    <w:rsid w:val="004773C9"/>
    <w:rsid w:val="00477490"/>
    <w:rsid w:val="004774CE"/>
    <w:rsid w:val="004774D0"/>
    <w:rsid w:val="004775E2"/>
    <w:rsid w:val="0047766D"/>
    <w:rsid w:val="004778E0"/>
    <w:rsid w:val="00477932"/>
    <w:rsid w:val="00477A37"/>
    <w:rsid w:val="00477AA5"/>
    <w:rsid w:val="00477AA8"/>
    <w:rsid w:val="00477C55"/>
    <w:rsid w:val="00477E3C"/>
    <w:rsid w:val="00477E3D"/>
    <w:rsid w:val="00477EEF"/>
    <w:rsid w:val="00477F43"/>
    <w:rsid w:val="0048001B"/>
    <w:rsid w:val="00480053"/>
    <w:rsid w:val="00480094"/>
    <w:rsid w:val="004800E1"/>
    <w:rsid w:val="00480204"/>
    <w:rsid w:val="00480254"/>
    <w:rsid w:val="0048039D"/>
    <w:rsid w:val="004803B6"/>
    <w:rsid w:val="004803BC"/>
    <w:rsid w:val="00480417"/>
    <w:rsid w:val="0048049E"/>
    <w:rsid w:val="004804B0"/>
    <w:rsid w:val="004804B2"/>
    <w:rsid w:val="004804C4"/>
    <w:rsid w:val="004804D1"/>
    <w:rsid w:val="00480507"/>
    <w:rsid w:val="0048057A"/>
    <w:rsid w:val="004805D5"/>
    <w:rsid w:val="0048062F"/>
    <w:rsid w:val="0048065D"/>
    <w:rsid w:val="00480690"/>
    <w:rsid w:val="004807CE"/>
    <w:rsid w:val="00480844"/>
    <w:rsid w:val="00480879"/>
    <w:rsid w:val="004808F5"/>
    <w:rsid w:val="0048096A"/>
    <w:rsid w:val="004809BD"/>
    <w:rsid w:val="00480AB9"/>
    <w:rsid w:val="00480B06"/>
    <w:rsid w:val="00480B3C"/>
    <w:rsid w:val="00480BF0"/>
    <w:rsid w:val="00480C26"/>
    <w:rsid w:val="00480C41"/>
    <w:rsid w:val="00480D7A"/>
    <w:rsid w:val="00480E2B"/>
    <w:rsid w:val="00480E45"/>
    <w:rsid w:val="00480EFC"/>
    <w:rsid w:val="00481020"/>
    <w:rsid w:val="0048109F"/>
    <w:rsid w:val="004811C2"/>
    <w:rsid w:val="004812E2"/>
    <w:rsid w:val="0048132D"/>
    <w:rsid w:val="004813C8"/>
    <w:rsid w:val="00481449"/>
    <w:rsid w:val="004814B8"/>
    <w:rsid w:val="0048152A"/>
    <w:rsid w:val="0048159C"/>
    <w:rsid w:val="00481999"/>
    <w:rsid w:val="00481B0E"/>
    <w:rsid w:val="00481B32"/>
    <w:rsid w:val="00481B47"/>
    <w:rsid w:val="00481B51"/>
    <w:rsid w:val="00481C13"/>
    <w:rsid w:val="00481CD3"/>
    <w:rsid w:val="00481CFC"/>
    <w:rsid w:val="00481E3B"/>
    <w:rsid w:val="00481EBC"/>
    <w:rsid w:val="00481EBD"/>
    <w:rsid w:val="00481F78"/>
    <w:rsid w:val="00481FA0"/>
    <w:rsid w:val="00481FBC"/>
    <w:rsid w:val="00482029"/>
    <w:rsid w:val="0048209D"/>
    <w:rsid w:val="004820AA"/>
    <w:rsid w:val="00482244"/>
    <w:rsid w:val="00482397"/>
    <w:rsid w:val="004823DC"/>
    <w:rsid w:val="00482465"/>
    <w:rsid w:val="00482485"/>
    <w:rsid w:val="004824A7"/>
    <w:rsid w:val="004824DC"/>
    <w:rsid w:val="0048285C"/>
    <w:rsid w:val="00482865"/>
    <w:rsid w:val="0048289C"/>
    <w:rsid w:val="004829AA"/>
    <w:rsid w:val="00482AF8"/>
    <w:rsid w:val="00482AFE"/>
    <w:rsid w:val="00482B3B"/>
    <w:rsid w:val="00482B6D"/>
    <w:rsid w:val="00482BF4"/>
    <w:rsid w:val="00482C90"/>
    <w:rsid w:val="00482D91"/>
    <w:rsid w:val="00482EB9"/>
    <w:rsid w:val="00482F86"/>
    <w:rsid w:val="00483047"/>
    <w:rsid w:val="0048307A"/>
    <w:rsid w:val="00483103"/>
    <w:rsid w:val="00483169"/>
    <w:rsid w:val="004831AB"/>
    <w:rsid w:val="004831AF"/>
    <w:rsid w:val="004832E7"/>
    <w:rsid w:val="004832F6"/>
    <w:rsid w:val="0048330A"/>
    <w:rsid w:val="00483315"/>
    <w:rsid w:val="00483590"/>
    <w:rsid w:val="004836A2"/>
    <w:rsid w:val="004836DB"/>
    <w:rsid w:val="00483811"/>
    <w:rsid w:val="004838F5"/>
    <w:rsid w:val="00483906"/>
    <w:rsid w:val="00483BC9"/>
    <w:rsid w:val="00483BEB"/>
    <w:rsid w:val="00483C26"/>
    <w:rsid w:val="00483C4A"/>
    <w:rsid w:val="00483CA8"/>
    <w:rsid w:val="00483DC6"/>
    <w:rsid w:val="00483DFD"/>
    <w:rsid w:val="00483F63"/>
    <w:rsid w:val="00483F64"/>
    <w:rsid w:val="00483FBD"/>
    <w:rsid w:val="00483FFB"/>
    <w:rsid w:val="0048410C"/>
    <w:rsid w:val="0048412B"/>
    <w:rsid w:val="00484143"/>
    <w:rsid w:val="004841DC"/>
    <w:rsid w:val="004843AE"/>
    <w:rsid w:val="0048452B"/>
    <w:rsid w:val="00484541"/>
    <w:rsid w:val="00484684"/>
    <w:rsid w:val="0048470E"/>
    <w:rsid w:val="004847D3"/>
    <w:rsid w:val="004847D4"/>
    <w:rsid w:val="00484820"/>
    <w:rsid w:val="004848DC"/>
    <w:rsid w:val="00484995"/>
    <w:rsid w:val="004849B6"/>
    <w:rsid w:val="004849CC"/>
    <w:rsid w:val="004849D0"/>
    <w:rsid w:val="00484B87"/>
    <w:rsid w:val="00484BA7"/>
    <w:rsid w:val="00484BEE"/>
    <w:rsid w:val="00484C17"/>
    <w:rsid w:val="00484C54"/>
    <w:rsid w:val="00484CB5"/>
    <w:rsid w:val="00484CCD"/>
    <w:rsid w:val="00484DAF"/>
    <w:rsid w:val="00484DB7"/>
    <w:rsid w:val="00484DBB"/>
    <w:rsid w:val="00484E06"/>
    <w:rsid w:val="00484EE4"/>
    <w:rsid w:val="00484EEC"/>
    <w:rsid w:val="00484FC4"/>
    <w:rsid w:val="00485063"/>
    <w:rsid w:val="0048508D"/>
    <w:rsid w:val="00485090"/>
    <w:rsid w:val="00485180"/>
    <w:rsid w:val="004851B2"/>
    <w:rsid w:val="004851FE"/>
    <w:rsid w:val="00485363"/>
    <w:rsid w:val="0048540D"/>
    <w:rsid w:val="0048552C"/>
    <w:rsid w:val="004855B0"/>
    <w:rsid w:val="00485660"/>
    <w:rsid w:val="0048568D"/>
    <w:rsid w:val="004856D0"/>
    <w:rsid w:val="004856DA"/>
    <w:rsid w:val="00485806"/>
    <w:rsid w:val="00485848"/>
    <w:rsid w:val="004858AC"/>
    <w:rsid w:val="00485927"/>
    <w:rsid w:val="0048592A"/>
    <w:rsid w:val="00485931"/>
    <w:rsid w:val="004859B6"/>
    <w:rsid w:val="00485A7A"/>
    <w:rsid w:val="00485B7C"/>
    <w:rsid w:val="00485B7F"/>
    <w:rsid w:val="00485C08"/>
    <w:rsid w:val="00485C21"/>
    <w:rsid w:val="00485E6F"/>
    <w:rsid w:val="00485EE4"/>
    <w:rsid w:val="00485F3A"/>
    <w:rsid w:val="00485F81"/>
    <w:rsid w:val="00485FB6"/>
    <w:rsid w:val="0048601C"/>
    <w:rsid w:val="004860DD"/>
    <w:rsid w:val="004860F2"/>
    <w:rsid w:val="004861B4"/>
    <w:rsid w:val="004861BB"/>
    <w:rsid w:val="004861F5"/>
    <w:rsid w:val="00486229"/>
    <w:rsid w:val="00486281"/>
    <w:rsid w:val="004863B8"/>
    <w:rsid w:val="004863F5"/>
    <w:rsid w:val="00486402"/>
    <w:rsid w:val="00486408"/>
    <w:rsid w:val="0048641D"/>
    <w:rsid w:val="004864EA"/>
    <w:rsid w:val="00486572"/>
    <w:rsid w:val="004865EF"/>
    <w:rsid w:val="004866B8"/>
    <w:rsid w:val="004866C5"/>
    <w:rsid w:val="004866E3"/>
    <w:rsid w:val="00486781"/>
    <w:rsid w:val="0048684A"/>
    <w:rsid w:val="004868BC"/>
    <w:rsid w:val="004868C2"/>
    <w:rsid w:val="004869E2"/>
    <w:rsid w:val="00486A84"/>
    <w:rsid w:val="00486ACF"/>
    <w:rsid w:val="00486AE1"/>
    <w:rsid w:val="00486B01"/>
    <w:rsid w:val="00486B40"/>
    <w:rsid w:val="00486B4C"/>
    <w:rsid w:val="00486C1E"/>
    <w:rsid w:val="00486C45"/>
    <w:rsid w:val="00486C6E"/>
    <w:rsid w:val="00486C9D"/>
    <w:rsid w:val="00486D14"/>
    <w:rsid w:val="00486D2C"/>
    <w:rsid w:val="00486D6A"/>
    <w:rsid w:val="00486FA5"/>
    <w:rsid w:val="00487163"/>
    <w:rsid w:val="0048721D"/>
    <w:rsid w:val="0048726C"/>
    <w:rsid w:val="004872B4"/>
    <w:rsid w:val="00487382"/>
    <w:rsid w:val="004873EB"/>
    <w:rsid w:val="004874AD"/>
    <w:rsid w:val="004874F8"/>
    <w:rsid w:val="00487569"/>
    <w:rsid w:val="00487611"/>
    <w:rsid w:val="00487636"/>
    <w:rsid w:val="004876F1"/>
    <w:rsid w:val="00487713"/>
    <w:rsid w:val="0048773A"/>
    <w:rsid w:val="00487740"/>
    <w:rsid w:val="004877B6"/>
    <w:rsid w:val="004877D7"/>
    <w:rsid w:val="004877E5"/>
    <w:rsid w:val="004879DB"/>
    <w:rsid w:val="00487A5C"/>
    <w:rsid w:val="00487B3D"/>
    <w:rsid w:val="00487C07"/>
    <w:rsid w:val="00487C2E"/>
    <w:rsid w:val="00487C4B"/>
    <w:rsid w:val="00487C4D"/>
    <w:rsid w:val="00487CC8"/>
    <w:rsid w:val="00487CD0"/>
    <w:rsid w:val="00487DBB"/>
    <w:rsid w:val="00487DDF"/>
    <w:rsid w:val="00487DEC"/>
    <w:rsid w:val="00487E0F"/>
    <w:rsid w:val="00487EE0"/>
    <w:rsid w:val="00487F78"/>
    <w:rsid w:val="00487FA5"/>
    <w:rsid w:val="00490035"/>
    <w:rsid w:val="0049006A"/>
    <w:rsid w:val="0049007D"/>
    <w:rsid w:val="0049026A"/>
    <w:rsid w:val="004902D4"/>
    <w:rsid w:val="00490416"/>
    <w:rsid w:val="00490421"/>
    <w:rsid w:val="0049047F"/>
    <w:rsid w:val="004904DF"/>
    <w:rsid w:val="00490533"/>
    <w:rsid w:val="00490626"/>
    <w:rsid w:val="00490743"/>
    <w:rsid w:val="00490811"/>
    <w:rsid w:val="0049098D"/>
    <w:rsid w:val="00490A3C"/>
    <w:rsid w:val="00490BDC"/>
    <w:rsid w:val="00490D82"/>
    <w:rsid w:val="00490E01"/>
    <w:rsid w:val="00490E47"/>
    <w:rsid w:val="00490EB1"/>
    <w:rsid w:val="00490EF4"/>
    <w:rsid w:val="00490FCD"/>
    <w:rsid w:val="00491088"/>
    <w:rsid w:val="004910EA"/>
    <w:rsid w:val="00491176"/>
    <w:rsid w:val="004911E3"/>
    <w:rsid w:val="0049139F"/>
    <w:rsid w:val="004913FD"/>
    <w:rsid w:val="00491427"/>
    <w:rsid w:val="0049149A"/>
    <w:rsid w:val="004914BE"/>
    <w:rsid w:val="004916BC"/>
    <w:rsid w:val="004916C6"/>
    <w:rsid w:val="004916CE"/>
    <w:rsid w:val="004916F6"/>
    <w:rsid w:val="0049172D"/>
    <w:rsid w:val="004917C2"/>
    <w:rsid w:val="00491855"/>
    <w:rsid w:val="004918C8"/>
    <w:rsid w:val="004918D7"/>
    <w:rsid w:val="004918E4"/>
    <w:rsid w:val="00491922"/>
    <w:rsid w:val="004919D8"/>
    <w:rsid w:val="00491B00"/>
    <w:rsid w:val="00491BA4"/>
    <w:rsid w:val="00491C18"/>
    <w:rsid w:val="00491C23"/>
    <w:rsid w:val="00491C92"/>
    <w:rsid w:val="00491C96"/>
    <w:rsid w:val="00491CAF"/>
    <w:rsid w:val="00491CDF"/>
    <w:rsid w:val="00491D53"/>
    <w:rsid w:val="00491D5A"/>
    <w:rsid w:val="00491D68"/>
    <w:rsid w:val="00491D8C"/>
    <w:rsid w:val="00491DD2"/>
    <w:rsid w:val="00491E3F"/>
    <w:rsid w:val="00491F20"/>
    <w:rsid w:val="00491F53"/>
    <w:rsid w:val="00491F81"/>
    <w:rsid w:val="00491F8D"/>
    <w:rsid w:val="00491FB8"/>
    <w:rsid w:val="0049201C"/>
    <w:rsid w:val="0049205C"/>
    <w:rsid w:val="004921DD"/>
    <w:rsid w:val="00492278"/>
    <w:rsid w:val="004923C1"/>
    <w:rsid w:val="00492476"/>
    <w:rsid w:val="0049247F"/>
    <w:rsid w:val="00492574"/>
    <w:rsid w:val="0049258C"/>
    <w:rsid w:val="004925A8"/>
    <w:rsid w:val="00492658"/>
    <w:rsid w:val="00492691"/>
    <w:rsid w:val="0049280F"/>
    <w:rsid w:val="00492870"/>
    <w:rsid w:val="00492888"/>
    <w:rsid w:val="0049288A"/>
    <w:rsid w:val="00492897"/>
    <w:rsid w:val="004928C8"/>
    <w:rsid w:val="004928FD"/>
    <w:rsid w:val="0049290F"/>
    <w:rsid w:val="004929CD"/>
    <w:rsid w:val="004929E9"/>
    <w:rsid w:val="004929EC"/>
    <w:rsid w:val="00492A1C"/>
    <w:rsid w:val="00492AD6"/>
    <w:rsid w:val="00492BAF"/>
    <w:rsid w:val="00492C4E"/>
    <w:rsid w:val="00492D8E"/>
    <w:rsid w:val="00492E68"/>
    <w:rsid w:val="00492FCB"/>
    <w:rsid w:val="00492FD5"/>
    <w:rsid w:val="0049302A"/>
    <w:rsid w:val="00493053"/>
    <w:rsid w:val="0049319E"/>
    <w:rsid w:val="004931A8"/>
    <w:rsid w:val="00493247"/>
    <w:rsid w:val="004932A7"/>
    <w:rsid w:val="00493331"/>
    <w:rsid w:val="004933BB"/>
    <w:rsid w:val="004933BD"/>
    <w:rsid w:val="00493445"/>
    <w:rsid w:val="0049352D"/>
    <w:rsid w:val="00493611"/>
    <w:rsid w:val="00493629"/>
    <w:rsid w:val="00493632"/>
    <w:rsid w:val="004936AF"/>
    <w:rsid w:val="004936CB"/>
    <w:rsid w:val="004937A0"/>
    <w:rsid w:val="004939C1"/>
    <w:rsid w:val="00493A58"/>
    <w:rsid w:val="00493AC3"/>
    <w:rsid w:val="00493BEF"/>
    <w:rsid w:val="00493C0F"/>
    <w:rsid w:val="00493E20"/>
    <w:rsid w:val="00493E2B"/>
    <w:rsid w:val="00493E33"/>
    <w:rsid w:val="00493E57"/>
    <w:rsid w:val="00493F0C"/>
    <w:rsid w:val="00493F40"/>
    <w:rsid w:val="00493F45"/>
    <w:rsid w:val="00493FCC"/>
    <w:rsid w:val="00493FD9"/>
    <w:rsid w:val="004940FC"/>
    <w:rsid w:val="00494150"/>
    <w:rsid w:val="00494228"/>
    <w:rsid w:val="004942EB"/>
    <w:rsid w:val="00494305"/>
    <w:rsid w:val="00494341"/>
    <w:rsid w:val="00494376"/>
    <w:rsid w:val="00494416"/>
    <w:rsid w:val="00494434"/>
    <w:rsid w:val="00494452"/>
    <w:rsid w:val="0049451E"/>
    <w:rsid w:val="0049458F"/>
    <w:rsid w:val="00494659"/>
    <w:rsid w:val="004946F1"/>
    <w:rsid w:val="004948FF"/>
    <w:rsid w:val="0049499E"/>
    <w:rsid w:val="00494A61"/>
    <w:rsid w:val="00494A8D"/>
    <w:rsid w:val="00494AB2"/>
    <w:rsid w:val="00494B24"/>
    <w:rsid w:val="00494C54"/>
    <w:rsid w:val="00494CA5"/>
    <w:rsid w:val="00494D80"/>
    <w:rsid w:val="00494EBB"/>
    <w:rsid w:val="00494ED4"/>
    <w:rsid w:val="00494EDF"/>
    <w:rsid w:val="00494F3D"/>
    <w:rsid w:val="00494F68"/>
    <w:rsid w:val="00495040"/>
    <w:rsid w:val="004950B8"/>
    <w:rsid w:val="0049516F"/>
    <w:rsid w:val="00495176"/>
    <w:rsid w:val="00495319"/>
    <w:rsid w:val="004953BE"/>
    <w:rsid w:val="00495480"/>
    <w:rsid w:val="004954A9"/>
    <w:rsid w:val="004954E3"/>
    <w:rsid w:val="00495599"/>
    <w:rsid w:val="004955CD"/>
    <w:rsid w:val="00495663"/>
    <w:rsid w:val="00495683"/>
    <w:rsid w:val="00495698"/>
    <w:rsid w:val="004956A6"/>
    <w:rsid w:val="004956B0"/>
    <w:rsid w:val="004956B8"/>
    <w:rsid w:val="0049571C"/>
    <w:rsid w:val="00495794"/>
    <w:rsid w:val="0049579C"/>
    <w:rsid w:val="004957BA"/>
    <w:rsid w:val="00495945"/>
    <w:rsid w:val="00495A28"/>
    <w:rsid w:val="00495AD8"/>
    <w:rsid w:val="00495B70"/>
    <w:rsid w:val="00495BF0"/>
    <w:rsid w:val="00495D4E"/>
    <w:rsid w:val="00495DAA"/>
    <w:rsid w:val="00495DDC"/>
    <w:rsid w:val="0049608A"/>
    <w:rsid w:val="004960C2"/>
    <w:rsid w:val="004961B8"/>
    <w:rsid w:val="004961C6"/>
    <w:rsid w:val="00496210"/>
    <w:rsid w:val="00496363"/>
    <w:rsid w:val="00496454"/>
    <w:rsid w:val="004965A4"/>
    <w:rsid w:val="004965AC"/>
    <w:rsid w:val="00496658"/>
    <w:rsid w:val="004966DB"/>
    <w:rsid w:val="004968A2"/>
    <w:rsid w:val="004968E4"/>
    <w:rsid w:val="00496A09"/>
    <w:rsid w:val="00496A2F"/>
    <w:rsid w:val="00496ACD"/>
    <w:rsid w:val="00496B3C"/>
    <w:rsid w:val="00496B74"/>
    <w:rsid w:val="00496BF0"/>
    <w:rsid w:val="00496C03"/>
    <w:rsid w:val="00496D11"/>
    <w:rsid w:val="00496D44"/>
    <w:rsid w:val="00496D58"/>
    <w:rsid w:val="00496DBB"/>
    <w:rsid w:val="00496DFE"/>
    <w:rsid w:val="00496F5E"/>
    <w:rsid w:val="00496F72"/>
    <w:rsid w:val="00496FF5"/>
    <w:rsid w:val="00497045"/>
    <w:rsid w:val="00497080"/>
    <w:rsid w:val="004970D7"/>
    <w:rsid w:val="00497131"/>
    <w:rsid w:val="00497255"/>
    <w:rsid w:val="0049737A"/>
    <w:rsid w:val="00497403"/>
    <w:rsid w:val="004974B0"/>
    <w:rsid w:val="00497531"/>
    <w:rsid w:val="004975C6"/>
    <w:rsid w:val="00497634"/>
    <w:rsid w:val="0049775F"/>
    <w:rsid w:val="004978B8"/>
    <w:rsid w:val="0049795A"/>
    <w:rsid w:val="004979BF"/>
    <w:rsid w:val="00497AF8"/>
    <w:rsid w:val="00497B44"/>
    <w:rsid w:val="00497B97"/>
    <w:rsid w:val="00497B98"/>
    <w:rsid w:val="00497C38"/>
    <w:rsid w:val="00497CEF"/>
    <w:rsid w:val="00497D8F"/>
    <w:rsid w:val="00497F12"/>
    <w:rsid w:val="00497FC0"/>
    <w:rsid w:val="004A0076"/>
    <w:rsid w:val="004A0167"/>
    <w:rsid w:val="004A016B"/>
    <w:rsid w:val="004A01A7"/>
    <w:rsid w:val="004A0240"/>
    <w:rsid w:val="004A0298"/>
    <w:rsid w:val="004A0335"/>
    <w:rsid w:val="004A0367"/>
    <w:rsid w:val="004A0401"/>
    <w:rsid w:val="004A0407"/>
    <w:rsid w:val="004A0545"/>
    <w:rsid w:val="004A05B0"/>
    <w:rsid w:val="004A0623"/>
    <w:rsid w:val="004A0720"/>
    <w:rsid w:val="004A07A7"/>
    <w:rsid w:val="004A07D3"/>
    <w:rsid w:val="004A0A6A"/>
    <w:rsid w:val="004A0A84"/>
    <w:rsid w:val="004A0B7A"/>
    <w:rsid w:val="004A0BEF"/>
    <w:rsid w:val="004A0D1A"/>
    <w:rsid w:val="004A0D55"/>
    <w:rsid w:val="004A0DAF"/>
    <w:rsid w:val="004A0E25"/>
    <w:rsid w:val="004A0E37"/>
    <w:rsid w:val="004A0EC2"/>
    <w:rsid w:val="004A0F0F"/>
    <w:rsid w:val="004A0F11"/>
    <w:rsid w:val="004A0FA0"/>
    <w:rsid w:val="004A0FE7"/>
    <w:rsid w:val="004A103B"/>
    <w:rsid w:val="004A103E"/>
    <w:rsid w:val="004A116E"/>
    <w:rsid w:val="004A11AD"/>
    <w:rsid w:val="004A1210"/>
    <w:rsid w:val="004A12FD"/>
    <w:rsid w:val="004A1328"/>
    <w:rsid w:val="004A14BD"/>
    <w:rsid w:val="004A1534"/>
    <w:rsid w:val="004A1544"/>
    <w:rsid w:val="004A15E9"/>
    <w:rsid w:val="004A1611"/>
    <w:rsid w:val="004A1671"/>
    <w:rsid w:val="004A173F"/>
    <w:rsid w:val="004A175A"/>
    <w:rsid w:val="004A1785"/>
    <w:rsid w:val="004A1893"/>
    <w:rsid w:val="004A18CD"/>
    <w:rsid w:val="004A1917"/>
    <w:rsid w:val="004A1AFA"/>
    <w:rsid w:val="004A1B93"/>
    <w:rsid w:val="004A1BBC"/>
    <w:rsid w:val="004A1BD0"/>
    <w:rsid w:val="004A1C09"/>
    <w:rsid w:val="004A1D3A"/>
    <w:rsid w:val="004A1DB9"/>
    <w:rsid w:val="004A1F1C"/>
    <w:rsid w:val="004A2010"/>
    <w:rsid w:val="004A223E"/>
    <w:rsid w:val="004A23F9"/>
    <w:rsid w:val="004A2417"/>
    <w:rsid w:val="004A2608"/>
    <w:rsid w:val="004A26C2"/>
    <w:rsid w:val="004A2770"/>
    <w:rsid w:val="004A279A"/>
    <w:rsid w:val="004A27D6"/>
    <w:rsid w:val="004A2843"/>
    <w:rsid w:val="004A2897"/>
    <w:rsid w:val="004A28A9"/>
    <w:rsid w:val="004A2906"/>
    <w:rsid w:val="004A2B07"/>
    <w:rsid w:val="004A2B92"/>
    <w:rsid w:val="004A2C03"/>
    <w:rsid w:val="004A2C21"/>
    <w:rsid w:val="004A2C49"/>
    <w:rsid w:val="004A2CA4"/>
    <w:rsid w:val="004A2CB5"/>
    <w:rsid w:val="004A2D4F"/>
    <w:rsid w:val="004A2D65"/>
    <w:rsid w:val="004A2DB3"/>
    <w:rsid w:val="004A2E44"/>
    <w:rsid w:val="004A2F44"/>
    <w:rsid w:val="004A2FB2"/>
    <w:rsid w:val="004A2FB6"/>
    <w:rsid w:val="004A300A"/>
    <w:rsid w:val="004A3052"/>
    <w:rsid w:val="004A3117"/>
    <w:rsid w:val="004A31C5"/>
    <w:rsid w:val="004A32B1"/>
    <w:rsid w:val="004A33AA"/>
    <w:rsid w:val="004A33D4"/>
    <w:rsid w:val="004A343D"/>
    <w:rsid w:val="004A34BE"/>
    <w:rsid w:val="004A34F1"/>
    <w:rsid w:val="004A3662"/>
    <w:rsid w:val="004A36B3"/>
    <w:rsid w:val="004A36DA"/>
    <w:rsid w:val="004A36DF"/>
    <w:rsid w:val="004A3982"/>
    <w:rsid w:val="004A3A02"/>
    <w:rsid w:val="004A3A1B"/>
    <w:rsid w:val="004A3A6D"/>
    <w:rsid w:val="004A3AC9"/>
    <w:rsid w:val="004A3B53"/>
    <w:rsid w:val="004A3BCA"/>
    <w:rsid w:val="004A3CA5"/>
    <w:rsid w:val="004A3DCD"/>
    <w:rsid w:val="004A3DFB"/>
    <w:rsid w:val="004A3E06"/>
    <w:rsid w:val="004A3E77"/>
    <w:rsid w:val="004A3EAA"/>
    <w:rsid w:val="004A3EFC"/>
    <w:rsid w:val="004A3F28"/>
    <w:rsid w:val="004A3F8F"/>
    <w:rsid w:val="004A3FA8"/>
    <w:rsid w:val="004A40AB"/>
    <w:rsid w:val="004A40B0"/>
    <w:rsid w:val="004A4179"/>
    <w:rsid w:val="004A41A4"/>
    <w:rsid w:val="004A426B"/>
    <w:rsid w:val="004A4308"/>
    <w:rsid w:val="004A4311"/>
    <w:rsid w:val="004A4360"/>
    <w:rsid w:val="004A43C6"/>
    <w:rsid w:val="004A43CA"/>
    <w:rsid w:val="004A442F"/>
    <w:rsid w:val="004A444C"/>
    <w:rsid w:val="004A4584"/>
    <w:rsid w:val="004A46AE"/>
    <w:rsid w:val="004A46F1"/>
    <w:rsid w:val="004A4733"/>
    <w:rsid w:val="004A4736"/>
    <w:rsid w:val="004A4796"/>
    <w:rsid w:val="004A4873"/>
    <w:rsid w:val="004A490D"/>
    <w:rsid w:val="004A4929"/>
    <w:rsid w:val="004A4A1B"/>
    <w:rsid w:val="004A4A38"/>
    <w:rsid w:val="004A4A55"/>
    <w:rsid w:val="004A4A95"/>
    <w:rsid w:val="004A4AB7"/>
    <w:rsid w:val="004A4B50"/>
    <w:rsid w:val="004A4CDD"/>
    <w:rsid w:val="004A4D05"/>
    <w:rsid w:val="004A4E1F"/>
    <w:rsid w:val="004A4E43"/>
    <w:rsid w:val="004A4E68"/>
    <w:rsid w:val="004A4E88"/>
    <w:rsid w:val="004A4FAB"/>
    <w:rsid w:val="004A500B"/>
    <w:rsid w:val="004A500D"/>
    <w:rsid w:val="004A5117"/>
    <w:rsid w:val="004A5121"/>
    <w:rsid w:val="004A5172"/>
    <w:rsid w:val="004A51BD"/>
    <w:rsid w:val="004A51F5"/>
    <w:rsid w:val="004A5319"/>
    <w:rsid w:val="004A5408"/>
    <w:rsid w:val="004A54B0"/>
    <w:rsid w:val="004A55FE"/>
    <w:rsid w:val="004A570B"/>
    <w:rsid w:val="004A5718"/>
    <w:rsid w:val="004A573D"/>
    <w:rsid w:val="004A5829"/>
    <w:rsid w:val="004A5842"/>
    <w:rsid w:val="004A58B0"/>
    <w:rsid w:val="004A593F"/>
    <w:rsid w:val="004A598D"/>
    <w:rsid w:val="004A5990"/>
    <w:rsid w:val="004A5A53"/>
    <w:rsid w:val="004A5B3D"/>
    <w:rsid w:val="004A5BA6"/>
    <w:rsid w:val="004A5BBF"/>
    <w:rsid w:val="004A5C18"/>
    <w:rsid w:val="004A5C39"/>
    <w:rsid w:val="004A5C41"/>
    <w:rsid w:val="004A5D03"/>
    <w:rsid w:val="004A5E12"/>
    <w:rsid w:val="004A5E1F"/>
    <w:rsid w:val="004A5E2B"/>
    <w:rsid w:val="004A5E9A"/>
    <w:rsid w:val="004A5E9D"/>
    <w:rsid w:val="004A5EAB"/>
    <w:rsid w:val="004A5F0F"/>
    <w:rsid w:val="004A5F76"/>
    <w:rsid w:val="004A5F9E"/>
    <w:rsid w:val="004A6020"/>
    <w:rsid w:val="004A6245"/>
    <w:rsid w:val="004A63C6"/>
    <w:rsid w:val="004A6493"/>
    <w:rsid w:val="004A6554"/>
    <w:rsid w:val="004A6697"/>
    <w:rsid w:val="004A66AE"/>
    <w:rsid w:val="004A6784"/>
    <w:rsid w:val="004A680D"/>
    <w:rsid w:val="004A687D"/>
    <w:rsid w:val="004A694F"/>
    <w:rsid w:val="004A695E"/>
    <w:rsid w:val="004A69B3"/>
    <w:rsid w:val="004A6A4F"/>
    <w:rsid w:val="004A6A53"/>
    <w:rsid w:val="004A6B06"/>
    <w:rsid w:val="004A6B43"/>
    <w:rsid w:val="004A6B85"/>
    <w:rsid w:val="004A6C88"/>
    <w:rsid w:val="004A6CA2"/>
    <w:rsid w:val="004A6D08"/>
    <w:rsid w:val="004A6D91"/>
    <w:rsid w:val="004A6D9A"/>
    <w:rsid w:val="004A6DF0"/>
    <w:rsid w:val="004A6E1E"/>
    <w:rsid w:val="004A6E3A"/>
    <w:rsid w:val="004A6F00"/>
    <w:rsid w:val="004A6F9A"/>
    <w:rsid w:val="004A6FCF"/>
    <w:rsid w:val="004A707C"/>
    <w:rsid w:val="004A7109"/>
    <w:rsid w:val="004A71CC"/>
    <w:rsid w:val="004A7467"/>
    <w:rsid w:val="004A74AB"/>
    <w:rsid w:val="004A74B5"/>
    <w:rsid w:val="004A74C6"/>
    <w:rsid w:val="004A7515"/>
    <w:rsid w:val="004A752D"/>
    <w:rsid w:val="004A762F"/>
    <w:rsid w:val="004A7731"/>
    <w:rsid w:val="004A77A6"/>
    <w:rsid w:val="004A787E"/>
    <w:rsid w:val="004A7A0E"/>
    <w:rsid w:val="004A7A28"/>
    <w:rsid w:val="004A7AE7"/>
    <w:rsid w:val="004A7AF7"/>
    <w:rsid w:val="004A7B66"/>
    <w:rsid w:val="004A7D14"/>
    <w:rsid w:val="004A7D97"/>
    <w:rsid w:val="004A7DB1"/>
    <w:rsid w:val="004B00F5"/>
    <w:rsid w:val="004B0117"/>
    <w:rsid w:val="004B011B"/>
    <w:rsid w:val="004B012F"/>
    <w:rsid w:val="004B0159"/>
    <w:rsid w:val="004B0236"/>
    <w:rsid w:val="004B02CD"/>
    <w:rsid w:val="004B030D"/>
    <w:rsid w:val="004B0330"/>
    <w:rsid w:val="004B03CC"/>
    <w:rsid w:val="004B0400"/>
    <w:rsid w:val="004B0458"/>
    <w:rsid w:val="004B0461"/>
    <w:rsid w:val="004B060C"/>
    <w:rsid w:val="004B064A"/>
    <w:rsid w:val="004B0681"/>
    <w:rsid w:val="004B069E"/>
    <w:rsid w:val="004B06DD"/>
    <w:rsid w:val="004B0743"/>
    <w:rsid w:val="004B07AB"/>
    <w:rsid w:val="004B07DE"/>
    <w:rsid w:val="004B0847"/>
    <w:rsid w:val="004B0851"/>
    <w:rsid w:val="004B0A19"/>
    <w:rsid w:val="004B0C43"/>
    <w:rsid w:val="004B0D3A"/>
    <w:rsid w:val="004B0E0D"/>
    <w:rsid w:val="004B0E1C"/>
    <w:rsid w:val="004B0FF8"/>
    <w:rsid w:val="004B1044"/>
    <w:rsid w:val="004B10AF"/>
    <w:rsid w:val="004B110A"/>
    <w:rsid w:val="004B112F"/>
    <w:rsid w:val="004B1202"/>
    <w:rsid w:val="004B120A"/>
    <w:rsid w:val="004B12B4"/>
    <w:rsid w:val="004B13F8"/>
    <w:rsid w:val="004B143A"/>
    <w:rsid w:val="004B14AB"/>
    <w:rsid w:val="004B14AF"/>
    <w:rsid w:val="004B14BF"/>
    <w:rsid w:val="004B15A0"/>
    <w:rsid w:val="004B15FA"/>
    <w:rsid w:val="004B16CC"/>
    <w:rsid w:val="004B16D3"/>
    <w:rsid w:val="004B1757"/>
    <w:rsid w:val="004B17AC"/>
    <w:rsid w:val="004B17F0"/>
    <w:rsid w:val="004B18B6"/>
    <w:rsid w:val="004B191C"/>
    <w:rsid w:val="004B1A2C"/>
    <w:rsid w:val="004B1ADD"/>
    <w:rsid w:val="004B1AE2"/>
    <w:rsid w:val="004B1B67"/>
    <w:rsid w:val="004B1BAE"/>
    <w:rsid w:val="004B1C09"/>
    <w:rsid w:val="004B1C20"/>
    <w:rsid w:val="004B1C70"/>
    <w:rsid w:val="004B1CF7"/>
    <w:rsid w:val="004B1E26"/>
    <w:rsid w:val="004B1ECA"/>
    <w:rsid w:val="004B1EDC"/>
    <w:rsid w:val="004B1F16"/>
    <w:rsid w:val="004B2020"/>
    <w:rsid w:val="004B2108"/>
    <w:rsid w:val="004B2132"/>
    <w:rsid w:val="004B2223"/>
    <w:rsid w:val="004B2356"/>
    <w:rsid w:val="004B23D9"/>
    <w:rsid w:val="004B23E4"/>
    <w:rsid w:val="004B24A5"/>
    <w:rsid w:val="004B24A6"/>
    <w:rsid w:val="004B24AB"/>
    <w:rsid w:val="004B24CC"/>
    <w:rsid w:val="004B24F2"/>
    <w:rsid w:val="004B254F"/>
    <w:rsid w:val="004B2560"/>
    <w:rsid w:val="004B258D"/>
    <w:rsid w:val="004B25EE"/>
    <w:rsid w:val="004B26D0"/>
    <w:rsid w:val="004B270B"/>
    <w:rsid w:val="004B2732"/>
    <w:rsid w:val="004B2762"/>
    <w:rsid w:val="004B2790"/>
    <w:rsid w:val="004B284C"/>
    <w:rsid w:val="004B2859"/>
    <w:rsid w:val="004B2935"/>
    <w:rsid w:val="004B2952"/>
    <w:rsid w:val="004B2976"/>
    <w:rsid w:val="004B2B3E"/>
    <w:rsid w:val="004B2C22"/>
    <w:rsid w:val="004B2C7F"/>
    <w:rsid w:val="004B2D0B"/>
    <w:rsid w:val="004B2E3C"/>
    <w:rsid w:val="004B2E70"/>
    <w:rsid w:val="004B2EA1"/>
    <w:rsid w:val="004B2EBE"/>
    <w:rsid w:val="004B2F76"/>
    <w:rsid w:val="004B3055"/>
    <w:rsid w:val="004B313F"/>
    <w:rsid w:val="004B32E2"/>
    <w:rsid w:val="004B33A6"/>
    <w:rsid w:val="004B33EF"/>
    <w:rsid w:val="004B3489"/>
    <w:rsid w:val="004B34E2"/>
    <w:rsid w:val="004B35EB"/>
    <w:rsid w:val="004B35FB"/>
    <w:rsid w:val="004B37D2"/>
    <w:rsid w:val="004B3820"/>
    <w:rsid w:val="004B3A41"/>
    <w:rsid w:val="004B3A4D"/>
    <w:rsid w:val="004B3A6A"/>
    <w:rsid w:val="004B3A96"/>
    <w:rsid w:val="004B3ADB"/>
    <w:rsid w:val="004B3B3B"/>
    <w:rsid w:val="004B3B67"/>
    <w:rsid w:val="004B3BD5"/>
    <w:rsid w:val="004B3BE1"/>
    <w:rsid w:val="004B3CA3"/>
    <w:rsid w:val="004B3D23"/>
    <w:rsid w:val="004B3E73"/>
    <w:rsid w:val="004B3E98"/>
    <w:rsid w:val="004B3F19"/>
    <w:rsid w:val="004B3FDF"/>
    <w:rsid w:val="004B4013"/>
    <w:rsid w:val="004B403C"/>
    <w:rsid w:val="004B406E"/>
    <w:rsid w:val="004B40E8"/>
    <w:rsid w:val="004B41D3"/>
    <w:rsid w:val="004B423D"/>
    <w:rsid w:val="004B428B"/>
    <w:rsid w:val="004B42A7"/>
    <w:rsid w:val="004B43D0"/>
    <w:rsid w:val="004B4490"/>
    <w:rsid w:val="004B45E8"/>
    <w:rsid w:val="004B461C"/>
    <w:rsid w:val="004B462B"/>
    <w:rsid w:val="004B4639"/>
    <w:rsid w:val="004B4694"/>
    <w:rsid w:val="004B472B"/>
    <w:rsid w:val="004B4762"/>
    <w:rsid w:val="004B4769"/>
    <w:rsid w:val="004B47C8"/>
    <w:rsid w:val="004B482C"/>
    <w:rsid w:val="004B4954"/>
    <w:rsid w:val="004B4AF6"/>
    <w:rsid w:val="004B4BB1"/>
    <w:rsid w:val="004B4BEB"/>
    <w:rsid w:val="004B4E03"/>
    <w:rsid w:val="004B4E17"/>
    <w:rsid w:val="004B4E1B"/>
    <w:rsid w:val="004B4E37"/>
    <w:rsid w:val="004B4E3E"/>
    <w:rsid w:val="004B4F65"/>
    <w:rsid w:val="004B4FDB"/>
    <w:rsid w:val="004B5040"/>
    <w:rsid w:val="004B50C4"/>
    <w:rsid w:val="004B5133"/>
    <w:rsid w:val="004B51B1"/>
    <w:rsid w:val="004B5255"/>
    <w:rsid w:val="004B52D9"/>
    <w:rsid w:val="004B531E"/>
    <w:rsid w:val="004B5369"/>
    <w:rsid w:val="004B5374"/>
    <w:rsid w:val="004B53F8"/>
    <w:rsid w:val="004B54D1"/>
    <w:rsid w:val="004B5512"/>
    <w:rsid w:val="004B556A"/>
    <w:rsid w:val="004B55EF"/>
    <w:rsid w:val="004B5658"/>
    <w:rsid w:val="004B56B6"/>
    <w:rsid w:val="004B57AD"/>
    <w:rsid w:val="004B587F"/>
    <w:rsid w:val="004B58D1"/>
    <w:rsid w:val="004B58DE"/>
    <w:rsid w:val="004B5A1B"/>
    <w:rsid w:val="004B5A65"/>
    <w:rsid w:val="004B5ADB"/>
    <w:rsid w:val="004B5D53"/>
    <w:rsid w:val="004B5D66"/>
    <w:rsid w:val="004B5EB1"/>
    <w:rsid w:val="004B5EF8"/>
    <w:rsid w:val="004B5FDD"/>
    <w:rsid w:val="004B601C"/>
    <w:rsid w:val="004B607C"/>
    <w:rsid w:val="004B60E9"/>
    <w:rsid w:val="004B61C2"/>
    <w:rsid w:val="004B61EA"/>
    <w:rsid w:val="004B6370"/>
    <w:rsid w:val="004B6417"/>
    <w:rsid w:val="004B6426"/>
    <w:rsid w:val="004B64BE"/>
    <w:rsid w:val="004B6518"/>
    <w:rsid w:val="004B652D"/>
    <w:rsid w:val="004B655C"/>
    <w:rsid w:val="004B6662"/>
    <w:rsid w:val="004B66A4"/>
    <w:rsid w:val="004B6778"/>
    <w:rsid w:val="004B67EE"/>
    <w:rsid w:val="004B6944"/>
    <w:rsid w:val="004B6A39"/>
    <w:rsid w:val="004B6AAB"/>
    <w:rsid w:val="004B6AD1"/>
    <w:rsid w:val="004B6B42"/>
    <w:rsid w:val="004B6BE8"/>
    <w:rsid w:val="004B6C9E"/>
    <w:rsid w:val="004B6D68"/>
    <w:rsid w:val="004B6DFD"/>
    <w:rsid w:val="004B6E18"/>
    <w:rsid w:val="004B6E44"/>
    <w:rsid w:val="004B6EE0"/>
    <w:rsid w:val="004B6F07"/>
    <w:rsid w:val="004B6F16"/>
    <w:rsid w:val="004B705D"/>
    <w:rsid w:val="004B7174"/>
    <w:rsid w:val="004B71FA"/>
    <w:rsid w:val="004B721E"/>
    <w:rsid w:val="004B723C"/>
    <w:rsid w:val="004B7250"/>
    <w:rsid w:val="004B72FB"/>
    <w:rsid w:val="004B7392"/>
    <w:rsid w:val="004B739B"/>
    <w:rsid w:val="004B73F0"/>
    <w:rsid w:val="004B741A"/>
    <w:rsid w:val="004B746C"/>
    <w:rsid w:val="004B752D"/>
    <w:rsid w:val="004B7530"/>
    <w:rsid w:val="004B7617"/>
    <w:rsid w:val="004B76C9"/>
    <w:rsid w:val="004B76D6"/>
    <w:rsid w:val="004B7858"/>
    <w:rsid w:val="004B786B"/>
    <w:rsid w:val="004B7981"/>
    <w:rsid w:val="004B7AE2"/>
    <w:rsid w:val="004B7B46"/>
    <w:rsid w:val="004B7C4B"/>
    <w:rsid w:val="004B7CAE"/>
    <w:rsid w:val="004B7CD0"/>
    <w:rsid w:val="004B7D19"/>
    <w:rsid w:val="004B7E37"/>
    <w:rsid w:val="004B7EAF"/>
    <w:rsid w:val="004C003B"/>
    <w:rsid w:val="004C0079"/>
    <w:rsid w:val="004C0123"/>
    <w:rsid w:val="004C0128"/>
    <w:rsid w:val="004C0143"/>
    <w:rsid w:val="004C01EF"/>
    <w:rsid w:val="004C0458"/>
    <w:rsid w:val="004C0475"/>
    <w:rsid w:val="004C06BC"/>
    <w:rsid w:val="004C06F9"/>
    <w:rsid w:val="004C0711"/>
    <w:rsid w:val="004C074D"/>
    <w:rsid w:val="004C07B7"/>
    <w:rsid w:val="004C084B"/>
    <w:rsid w:val="004C089E"/>
    <w:rsid w:val="004C0918"/>
    <w:rsid w:val="004C0925"/>
    <w:rsid w:val="004C0983"/>
    <w:rsid w:val="004C09A9"/>
    <w:rsid w:val="004C09BB"/>
    <w:rsid w:val="004C09D9"/>
    <w:rsid w:val="004C0A08"/>
    <w:rsid w:val="004C0B00"/>
    <w:rsid w:val="004C0B09"/>
    <w:rsid w:val="004C0BD1"/>
    <w:rsid w:val="004C0BD5"/>
    <w:rsid w:val="004C0C0F"/>
    <w:rsid w:val="004C0C12"/>
    <w:rsid w:val="004C0CA0"/>
    <w:rsid w:val="004C0D0C"/>
    <w:rsid w:val="004C0D5F"/>
    <w:rsid w:val="004C0D96"/>
    <w:rsid w:val="004C0D9F"/>
    <w:rsid w:val="004C0E3E"/>
    <w:rsid w:val="004C0E59"/>
    <w:rsid w:val="004C0EFF"/>
    <w:rsid w:val="004C0FB0"/>
    <w:rsid w:val="004C0FDD"/>
    <w:rsid w:val="004C10EB"/>
    <w:rsid w:val="004C11FE"/>
    <w:rsid w:val="004C1201"/>
    <w:rsid w:val="004C13B2"/>
    <w:rsid w:val="004C16E9"/>
    <w:rsid w:val="004C17E8"/>
    <w:rsid w:val="004C17FB"/>
    <w:rsid w:val="004C183E"/>
    <w:rsid w:val="004C188F"/>
    <w:rsid w:val="004C19CF"/>
    <w:rsid w:val="004C1ACD"/>
    <w:rsid w:val="004C1BA8"/>
    <w:rsid w:val="004C1BBE"/>
    <w:rsid w:val="004C1C6E"/>
    <w:rsid w:val="004C1CAB"/>
    <w:rsid w:val="004C1DF0"/>
    <w:rsid w:val="004C1E55"/>
    <w:rsid w:val="004C1E69"/>
    <w:rsid w:val="004C1E9C"/>
    <w:rsid w:val="004C1F22"/>
    <w:rsid w:val="004C1F56"/>
    <w:rsid w:val="004C1F84"/>
    <w:rsid w:val="004C203E"/>
    <w:rsid w:val="004C21D9"/>
    <w:rsid w:val="004C2300"/>
    <w:rsid w:val="004C2350"/>
    <w:rsid w:val="004C2464"/>
    <w:rsid w:val="004C2548"/>
    <w:rsid w:val="004C26AD"/>
    <w:rsid w:val="004C26E8"/>
    <w:rsid w:val="004C2772"/>
    <w:rsid w:val="004C27B2"/>
    <w:rsid w:val="004C27B6"/>
    <w:rsid w:val="004C2802"/>
    <w:rsid w:val="004C2833"/>
    <w:rsid w:val="004C296A"/>
    <w:rsid w:val="004C2A3F"/>
    <w:rsid w:val="004C2A86"/>
    <w:rsid w:val="004C2A9D"/>
    <w:rsid w:val="004C2C5A"/>
    <w:rsid w:val="004C2CA8"/>
    <w:rsid w:val="004C2D76"/>
    <w:rsid w:val="004C2E20"/>
    <w:rsid w:val="004C2EB8"/>
    <w:rsid w:val="004C2F5B"/>
    <w:rsid w:val="004C2FC0"/>
    <w:rsid w:val="004C300E"/>
    <w:rsid w:val="004C308F"/>
    <w:rsid w:val="004C3204"/>
    <w:rsid w:val="004C323A"/>
    <w:rsid w:val="004C3383"/>
    <w:rsid w:val="004C33A9"/>
    <w:rsid w:val="004C33E0"/>
    <w:rsid w:val="004C33EE"/>
    <w:rsid w:val="004C3543"/>
    <w:rsid w:val="004C35F4"/>
    <w:rsid w:val="004C3628"/>
    <w:rsid w:val="004C364B"/>
    <w:rsid w:val="004C3731"/>
    <w:rsid w:val="004C3AEF"/>
    <w:rsid w:val="004C3B3D"/>
    <w:rsid w:val="004C3BFF"/>
    <w:rsid w:val="004C3C2C"/>
    <w:rsid w:val="004C3C95"/>
    <w:rsid w:val="004C3CF0"/>
    <w:rsid w:val="004C3DB9"/>
    <w:rsid w:val="004C3DC9"/>
    <w:rsid w:val="004C3F5E"/>
    <w:rsid w:val="004C3F98"/>
    <w:rsid w:val="004C401F"/>
    <w:rsid w:val="004C409A"/>
    <w:rsid w:val="004C40A6"/>
    <w:rsid w:val="004C4103"/>
    <w:rsid w:val="004C41B6"/>
    <w:rsid w:val="004C430D"/>
    <w:rsid w:val="004C444C"/>
    <w:rsid w:val="004C4550"/>
    <w:rsid w:val="004C4556"/>
    <w:rsid w:val="004C45E7"/>
    <w:rsid w:val="004C4616"/>
    <w:rsid w:val="004C462D"/>
    <w:rsid w:val="004C4650"/>
    <w:rsid w:val="004C4661"/>
    <w:rsid w:val="004C4670"/>
    <w:rsid w:val="004C4741"/>
    <w:rsid w:val="004C4789"/>
    <w:rsid w:val="004C4843"/>
    <w:rsid w:val="004C4906"/>
    <w:rsid w:val="004C490A"/>
    <w:rsid w:val="004C49E8"/>
    <w:rsid w:val="004C4B7A"/>
    <w:rsid w:val="004C4BD0"/>
    <w:rsid w:val="004C4C08"/>
    <w:rsid w:val="004C4D2B"/>
    <w:rsid w:val="004C4DC0"/>
    <w:rsid w:val="004C4DE6"/>
    <w:rsid w:val="004C4E4D"/>
    <w:rsid w:val="004C4ED6"/>
    <w:rsid w:val="004C4EDF"/>
    <w:rsid w:val="004C508E"/>
    <w:rsid w:val="004C518E"/>
    <w:rsid w:val="004C51AE"/>
    <w:rsid w:val="004C538A"/>
    <w:rsid w:val="004C540E"/>
    <w:rsid w:val="004C5440"/>
    <w:rsid w:val="004C550E"/>
    <w:rsid w:val="004C55D1"/>
    <w:rsid w:val="004C567F"/>
    <w:rsid w:val="004C569A"/>
    <w:rsid w:val="004C56B2"/>
    <w:rsid w:val="004C56FA"/>
    <w:rsid w:val="004C5722"/>
    <w:rsid w:val="004C57EA"/>
    <w:rsid w:val="004C57F3"/>
    <w:rsid w:val="004C57F9"/>
    <w:rsid w:val="004C58A9"/>
    <w:rsid w:val="004C59C0"/>
    <w:rsid w:val="004C5A44"/>
    <w:rsid w:val="004C5AFB"/>
    <w:rsid w:val="004C5B31"/>
    <w:rsid w:val="004C5CDE"/>
    <w:rsid w:val="004C5CEB"/>
    <w:rsid w:val="004C5D7F"/>
    <w:rsid w:val="004C5DBC"/>
    <w:rsid w:val="004C5E4A"/>
    <w:rsid w:val="004C5ED0"/>
    <w:rsid w:val="004C5F08"/>
    <w:rsid w:val="004C6075"/>
    <w:rsid w:val="004C60CE"/>
    <w:rsid w:val="004C60D0"/>
    <w:rsid w:val="004C6199"/>
    <w:rsid w:val="004C6288"/>
    <w:rsid w:val="004C62C9"/>
    <w:rsid w:val="004C6315"/>
    <w:rsid w:val="004C63B0"/>
    <w:rsid w:val="004C63FA"/>
    <w:rsid w:val="004C644C"/>
    <w:rsid w:val="004C6467"/>
    <w:rsid w:val="004C64BE"/>
    <w:rsid w:val="004C650A"/>
    <w:rsid w:val="004C65A7"/>
    <w:rsid w:val="004C669C"/>
    <w:rsid w:val="004C66F0"/>
    <w:rsid w:val="004C687F"/>
    <w:rsid w:val="004C69A5"/>
    <w:rsid w:val="004C69E8"/>
    <w:rsid w:val="004C6A28"/>
    <w:rsid w:val="004C6AAD"/>
    <w:rsid w:val="004C6AB8"/>
    <w:rsid w:val="004C6B13"/>
    <w:rsid w:val="004C6C59"/>
    <w:rsid w:val="004C6CD4"/>
    <w:rsid w:val="004C6DCF"/>
    <w:rsid w:val="004C6DD9"/>
    <w:rsid w:val="004C6DFD"/>
    <w:rsid w:val="004C6EF6"/>
    <w:rsid w:val="004C6F90"/>
    <w:rsid w:val="004C70D5"/>
    <w:rsid w:val="004C70F8"/>
    <w:rsid w:val="004C7176"/>
    <w:rsid w:val="004C7314"/>
    <w:rsid w:val="004C7353"/>
    <w:rsid w:val="004C74A6"/>
    <w:rsid w:val="004C74D8"/>
    <w:rsid w:val="004C74DC"/>
    <w:rsid w:val="004C7568"/>
    <w:rsid w:val="004C760A"/>
    <w:rsid w:val="004C763B"/>
    <w:rsid w:val="004C76E9"/>
    <w:rsid w:val="004C76F5"/>
    <w:rsid w:val="004C7780"/>
    <w:rsid w:val="004C77D0"/>
    <w:rsid w:val="004C791C"/>
    <w:rsid w:val="004C79D2"/>
    <w:rsid w:val="004C7A31"/>
    <w:rsid w:val="004C7A5F"/>
    <w:rsid w:val="004C7A67"/>
    <w:rsid w:val="004C7A80"/>
    <w:rsid w:val="004C7BE7"/>
    <w:rsid w:val="004C7C53"/>
    <w:rsid w:val="004C7C7C"/>
    <w:rsid w:val="004C7D2F"/>
    <w:rsid w:val="004C7D9C"/>
    <w:rsid w:val="004C7DB7"/>
    <w:rsid w:val="004C7DC5"/>
    <w:rsid w:val="004C7EF7"/>
    <w:rsid w:val="004C7F1F"/>
    <w:rsid w:val="004C7F3B"/>
    <w:rsid w:val="004C7FBB"/>
    <w:rsid w:val="004C7FF2"/>
    <w:rsid w:val="004D0072"/>
    <w:rsid w:val="004D0084"/>
    <w:rsid w:val="004D01F2"/>
    <w:rsid w:val="004D03CD"/>
    <w:rsid w:val="004D043F"/>
    <w:rsid w:val="004D0469"/>
    <w:rsid w:val="004D0529"/>
    <w:rsid w:val="004D0539"/>
    <w:rsid w:val="004D05C3"/>
    <w:rsid w:val="004D061F"/>
    <w:rsid w:val="004D066C"/>
    <w:rsid w:val="004D06B8"/>
    <w:rsid w:val="004D07CE"/>
    <w:rsid w:val="004D0830"/>
    <w:rsid w:val="004D090D"/>
    <w:rsid w:val="004D0B3F"/>
    <w:rsid w:val="004D0BA8"/>
    <w:rsid w:val="004D0CAF"/>
    <w:rsid w:val="004D0D0E"/>
    <w:rsid w:val="004D0D55"/>
    <w:rsid w:val="004D0D65"/>
    <w:rsid w:val="004D0E43"/>
    <w:rsid w:val="004D0F41"/>
    <w:rsid w:val="004D1149"/>
    <w:rsid w:val="004D1178"/>
    <w:rsid w:val="004D117F"/>
    <w:rsid w:val="004D11A8"/>
    <w:rsid w:val="004D125A"/>
    <w:rsid w:val="004D1290"/>
    <w:rsid w:val="004D12E8"/>
    <w:rsid w:val="004D133A"/>
    <w:rsid w:val="004D13FE"/>
    <w:rsid w:val="004D16A8"/>
    <w:rsid w:val="004D16E4"/>
    <w:rsid w:val="004D1720"/>
    <w:rsid w:val="004D179A"/>
    <w:rsid w:val="004D181F"/>
    <w:rsid w:val="004D187E"/>
    <w:rsid w:val="004D198F"/>
    <w:rsid w:val="004D19CD"/>
    <w:rsid w:val="004D1A68"/>
    <w:rsid w:val="004D1AAE"/>
    <w:rsid w:val="004D1B47"/>
    <w:rsid w:val="004D1B65"/>
    <w:rsid w:val="004D1C80"/>
    <w:rsid w:val="004D1C87"/>
    <w:rsid w:val="004D1D3C"/>
    <w:rsid w:val="004D1E13"/>
    <w:rsid w:val="004D1F3F"/>
    <w:rsid w:val="004D1FBD"/>
    <w:rsid w:val="004D1FBF"/>
    <w:rsid w:val="004D202C"/>
    <w:rsid w:val="004D2067"/>
    <w:rsid w:val="004D20A4"/>
    <w:rsid w:val="004D21AC"/>
    <w:rsid w:val="004D2305"/>
    <w:rsid w:val="004D2352"/>
    <w:rsid w:val="004D2399"/>
    <w:rsid w:val="004D25B4"/>
    <w:rsid w:val="004D26CE"/>
    <w:rsid w:val="004D26D5"/>
    <w:rsid w:val="004D2722"/>
    <w:rsid w:val="004D28EA"/>
    <w:rsid w:val="004D28F0"/>
    <w:rsid w:val="004D2927"/>
    <w:rsid w:val="004D2A16"/>
    <w:rsid w:val="004D2B17"/>
    <w:rsid w:val="004D2B24"/>
    <w:rsid w:val="004D2B3E"/>
    <w:rsid w:val="004D2C22"/>
    <w:rsid w:val="004D2C2B"/>
    <w:rsid w:val="004D2C5D"/>
    <w:rsid w:val="004D2C96"/>
    <w:rsid w:val="004D2E0A"/>
    <w:rsid w:val="004D2E3C"/>
    <w:rsid w:val="004D2E40"/>
    <w:rsid w:val="004D2E49"/>
    <w:rsid w:val="004D2F67"/>
    <w:rsid w:val="004D2F89"/>
    <w:rsid w:val="004D3241"/>
    <w:rsid w:val="004D3310"/>
    <w:rsid w:val="004D337E"/>
    <w:rsid w:val="004D34F7"/>
    <w:rsid w:val="004D35D1"/>
    <w:rsid w:val="004D3665"/>
    <w:rsid w:val="004D3731"/>
    <w:rsid w:val="004D374A"/>
    <w:rsid w:val="004D3841"/>
    <w:rsid w:val="004D3914"/>
    <w:rsid w:val="004D391C"/>
    <w:rsid w:val="004D3AC6"/>
    <w:rsid w:val="004D3B0B"/>
    <w:rsid w:val="004D3C6B"/>
    <w:rsid w:val="004D3C93"/>
    <w:rsid w:val="004D3DCB"/>
    <w:rsid w:val="004D3DED"/>
    <w:rsid w:val="004D3E86"/>
    <w:rsid w:val="004D3F1D"/>
    <w:rsid w:val="004D3F97"/>
    <w:rsid w:val="004D3FB2"/>
    <w:rsid w:val="004D406E"/>
    <w:rsid w:val="004D4070"/>
    <w:rsid w:val="004D4099"/>
    <w:rsid w:val="004D415C"/>
    <w:rsid w:val="004D41EF"/>
    <w:rsid w:val="004D429A"/>
    <w:rsid w:val="004D42E7"/>
    <w:rsid w:val="004D4318"/>
    <w:rsid w:val="004D4399"/>
    <w:rsid w:val="004D450E"/>
    <w:rsid w:val="004D4692"/>
    <w:rsid w:val="004D469E"/>
    <w:rsid w:val="004D4935"/>
    <w:rsid w:val="004D49F2"/>
    <w:rsid w:val="004D4AA9"/>
    <w:rsid w:val="004D4B6A"/>
    <w:rsid w:val="004D4BC5"/>
    <w:rsid w:val="004D4C80"/>
    <w:rsid w:val="004D4D40"/>
    <w:rsid w:val="004D4E1F"/>
    <w:rsid w:val="004D4F2F"/>
    <w:rsid w:val="004D4F3A"/>
    <w:rsid w:val="004D4F99"/>
    <w:rsid w:val="004D51CA"/>
    <w:rsid w:val="004D51F4"/>
    <w:rsid w:val="004D52DA"/>
    <w:rsid w:val="004D52ED"/>
    <w:rsid w:val="004D5353"/>
    <w:rsid w:val="004D54B3"/>
    <w:rsid w:val="004D5506"/>
    <w:rsid w:val="004D5552"/>
    <w:rsid w:val="004D5627"/>
    <w:rsid w:val="004D569B"/>
    <w:rsid w:val="004D57FF"/>
    <w:rsid w:val="004D586B"/>
    <w:rsid w:val="004D5924"/>
    <w:rsid w:val="004D5B51"/>
    <w:rsid w:val="004D5D0E"/>
    <w:rsid w:val="004D5D2D"/>
    <w:rsid w:val="004D5D41"/>
    <w:rsid w:val="004D5D44"/>
    <w:rsid w:val="004D5DD6"/>
    <w:rsid w:val="004D5F35"/>
    <w:rsid w:val="004D60AE"/>
    <w:rsid w:val="004D60DA"/>
    <w:rsid w:val="004D6119"/>
    <w:rsid w:val="004D6276"/>
    <w:rsid w:val="004D62C9"/>
    <w:rsid w:val="004D631F"/>
    <w:rsid w:val="004D6489"/>
    <w:rsid w:val="004D65D8"/>
    <w:rsid w:val="004D660B"/>
    <w:rsid w:val="004D6642"/>
    <w:rsid w:val="004D6885"/>
    <w:rsid w:val="004D689A"/>
    <w:rsid w:val="004D6950"/>
    <w:rsid w:val="004D6A12"/>
    <w:rsid w:val="004D6A13"/>
    <w:rsid w:val="004D6B33"/>
    <w:rsid w:val="004D6BBA"/>
    <w:rsid w:val="004D6BCC"/>
    <w:rsid w:val="004D6C8D"/>
    <w:rsid w:val="004D6D56"/>
    <w:rsid w:val="004D6DBE"/>
    <w:rsid w:val="004D6E37"/>
    <w:rsid w:val="004D6E86"/>
    <w:rsid w:val="004D6EA5"/>
    <w:rsid w:val="004D6ECD"/>
    <w:rsid w:val="004D6EDD"/>
    <w:rsid w:val="004D6F47"/>
    <w:rsid w:val="004D7178"/>
    <w:rsid w:val="004D718A"/>
    <w:rsid w:val="004D71DA"/>
    <w:rsid w:val="004D7214"/>
    <w:rsid w:val="004D722D"/>
    <w:rsid w:val="004D7239"/>
    <w:rsid w:val="004D725B"/>
    <w:rsid w:val="004D7309"/>
    <w:rsid w:val="004D7361"/>
    <w:rsid w:val="004D7698"/>
    <w:rsid w:val="004D76DA"/>
    <w:rsid w:val="004D7789"/>
    <w:rsid w:val="004D7797"/>
    <w:rsid w:val="004D7876"/>
    <w:rsid w:val="004D78AB"/>
    <w:rsid w:val="004D7913"/>
    <w:rsid w:val="004D79BA"/>
    <w:rsid w:val="004D79BC"/>
    <w:rsid w:val="004D79D2"/>
    <w:rsid w:val="004D7A07"/>
    <w:rsid w:val="004D7AF6"/>
    <w:rsid w:val="004D7AFB"/>
    <w:rsid w:val="004D7BCF"/>
    <w:rsid w:val="004D7C40"/>
    <w:rsid w:val="004D7D80"/>
    <w:rsid w:val="004D7E78"/>
    <w:rsid w:val="004D7FA8"/>
    <w:rsid w:val="004D7FC5"/>
    <w:rsid w:val="004E0018"/>
    <w:rsid w:val="004E007F"/>
    <w:rsid w:val="004E00EA"/>
    <w:rsid w:val="004E0149"/>
    <w:rsid w:val="004E0197"/>
    <w:rsid w:val="004E0315"/>
    <w:rsid w:val="004E0345"/>
    <w:rsid w:val="004E0365"/>
    <w:rsid w:val="004E0376"/>
    <w:rsid w:val="004E045A"/>
    <w:rsid w:val="004E04AE"/>
    <w:rsid w:val="004E05BE"/>
    <w:rsid w:val="004E0672"/>
    <w:rsid w:val="004E06AA"/>
    <w:rsid w:val="004E0794"/>
    <w:rsid w:val="004E0839"/>
    <w:rsid w:val="004E0951"/>
    <w:rsid w:val="004E0A31"/>
    <w:rsid w:val="004E0ABA"/>
    <w:rsid w:val="004E0B1F"/>
    <w:rsid w:val="004E0C8E"/>
    <w:rsid w:val="004E0C9C"/>
    <w:rsid w:val="004E0D6A"/>
    <w:rsid w:val="004E0DAF"/>
    <w:rsid w:val="004E0EF6"/>
    <w:rsid w:val="004E0EF7"/>
    <w:rsid w:val="004E10AB"/>
    <w:rsid w:val="004E1232"/>
    <w:rsid w:val="004E126A"/>
    <w:rsid w:val="004E126C"/>
    <w:rsid w:val="004E12D3"/>
    <w:rsid w:val="004E131A"/>
    <w:rsid w:val="004E13A1"/>
    <w:rsid w:val="004E148C"/>
    <w:rsid w:val="004E1506"/>
    <w:rsid w:val="004E1659"/>
    <w:rsid w:val="004E1662"/>
    <w:rsid w:val="004E166F"/>
    <w:rsid w:val="004E1804"/>
    <w:rsid w:val="004E192F"/>
    <w:rsid w:val="004E1968"/>
    <w:rsid w:val="004E1A2A"/>
    <w:rsid w:val="004E1AD9"/>
    <w:rsid w:val="004E1C47"/>
    <w:rsid w:val="004E1C53"/>
    <w:rsid w:val="004E1D3C"/>
    <w:rsid w:val="004E1DD2"/>
    <w:rsid w:val="004E1DD4"/>
    <w:rsid w:val="004E1F2B"/>
    <w:rsid w:val="004E1FBF"/>
    <w:rsid w:val="004E211D"/>
    <w:rsid w:val="004E2217"/>
    <w:rsid w:val="004E22C9"/>
    <w:rsid w:val="004E2350"/>
    <w:rsid w:val="004E238F"/>
    <w:rsid w:val="004E2464"/>
    <w:rsid w:val="004E24AD"/>
    <w:rsid w:val="004E24F4"/>
    <w:rsid w:val="004E2574"/>
    <w:rsid w:val="004E25E9"/>
    <w:rsid w:val="004E262B"/>
    <w:rsid w:val="004E2699"/>
    <w:rsid w:val="004E279B"/>
    <w:rsid w:val="004E28E6"/>
    <w:rsid w:val="004E28F2"/>
    <w:rsid w:val="004E2978"/>
    <w:rsid w:val="004E29DA"/>
    <w:rsid w:val="004E2ACC"/>
    <w:rsid w:val="004E2AF1"/>
    <w:rsid w:val="004E2BBF"/>
    <w:rsid w:val="004E2BFB"/>
    <w:rsid w:val="004E2C0B"/>
    <w:rsid w:val="004E2E90"/>
    <w:rsid w:val="004E2F31"/>
    <w:rsid w:val="004E2F3C"/>
    <w:rsid w:val="004E2F41"/>
    <w:rsid w:val="004E30A1"/>
    <w:rsid w:val="004E30A8"/>
    <w:rsid w:val="004E30CD"/>
    <w:rsid w:val="004E3304"/>
    <w:rsid w:val="004E331D"/>
    <w:rsid w:val="004E3348"/>
    <w:rsid w:val="004E339D"/>
    <w:rsid w:val="004E33EB"/>
    <w:rsid w:val="004E34EC"/>
    <w:rsid w:val="004E3502"/>
    <w:rsid w:val="004E3552"/>
    <w:rsid w:val="004E3588"/>
    <w:rsid w:val="004E360E"/>
    <w:rsid w:val="004E368E"/>
    <w:rsid w:val="004E3834"/>
    <w:rsid w:val="004E38E1"/>
    <w:rsid w:val="004E3982"/>
    <w:rsid w:val="004E3A88"/>
    <w:rsid w:val="004E3B37"/>
    <w:rsid w:val="004E3B3D"/>
    <w:rsid w:val="004E3B52"/>
    <w:rsid w:val="004E3C48"/>
    <w:rsid w:val="004E3C84"/>
    <w:rsid w:val="004E3CAA"/>
    <w:rsid w:val="004E3CBE"/>
    <w:rsid w:val="004E3CCA"/>
    <w:rsid w:val="004E3E26"/>
    <w:rsid w:val="004E3E95"/>
    <w:rsid w:val="004E3E98"/>
    <w:rsid w:val="004E3EED"/>
    <w:rsid w:val="004E3F28"/>
    <w:rsid w:val="004E3F5B"/>
    <w:rsid w:val="004E3FE8"/>
    <w:rsid w:val="004E41CF"/>
    <w:rsid w:val="004E4229"/>
    <w:rsid w:val="004E4253"/>
    <w:rsid w:val="004E42C8"/>
    <w:rsid w:val="004E459C"/>
    <w:rsid w:val="004E45B0"/>
    <w:rsid w:val="004E465F"/>
    <w:rsid w:val="004E4666"/>
    <w:rsid w:val="004E46DF"/>
    <w:rsid w:val="004E474F"/>
    <w:rsid w:val="004E4767"/>
    <w:rsid w:val="004E476A"/>
    <w:rsid w:val="004E47FF"/>
    <w:rsid w:val="004E48C9"/>
    <w:rsid w:val="004E48E4"/>
    <w:rsid w:val="004E4AFC"/>
    <w:rsid w:val="004E4B2F"/>
    <w:rsid w:val="004E4B9A"/>
    <w:rsid w:val="004E4BCC"/>
    <w:rsid w:val="004E4C5B"/>
    <w:rsid w:val="004E4DA5"/>
    <w:rsid w:val="004E4E51"/>
    <w:rsid w:val="004E4F11"/>
    <w:rsid w:val="004E5125"/>
    <w:rsid w:val="004E5185"/>
    <w:rsid w:val="004E51B0"/>
    <w:rsid w:val="004E544D"/>
    <w:rsid w:val="004E54E3"/>
    <w:rsid w:val="004E5528"/>
    <w:rsid w:val="004E5559"/>
    <w:rsid w:val="004E57C8"/>
    <w:rsid w:val="004E584F"/>
    <w:rsid w:val="004E5865"/>
    <w:rsid w:val="004E588B"/>
    <w:rsid w:val="004E58DA"/>
    <w:rsid w:val="004E5908"/>
    <w:rsid w:val="004E5986"/>
    <w:rsid w:val="004E5B72"/>
    <w:rsid w:val="004E5BA0"/>
    <w:rsid w:val="004E5BD5"/>
    <w:rsid w:val="004E5C5A"/>
    <w:rsid w:val="004E5CA8"/>
    <w:rsid w:val="004E5DCE"/>
    <w:rsid w:val="004E5E7E"/>
    <w:rsid w:val="004E5F20"/>
    <w:rsid w:val="004E5F2C"/>
    <w:rsid w:val="004E5F4B"/>
    <w:rsid w:val="004E5F95"/>
    <w:rsid w:val="004E5F97"/>
    <w:rsid w:val="004E6005"/>
    <w:rsid w:val="004E604E"/>
    <w:rsid w:val="004E6078"/>
    <w:rsid w:val="004E6199"/>
    <w:rsid w:val="004E61E1"/>
    <w:rsid w:val="004E6230"/>
    <w:rsid w:val="004E627F"/>
    <w:rsid w:val="004E6376"/>
    <w:rsid w:val="004E642F"/>
    <w:rsid w:val="004E643A"/>
    <w:rsid w:val="004E64C5"/>
    <w:rsid w:val="004E64D9"/>
    <w:rsid w:val="004E64F4"/>
    <w:rsid w:val="004E6694"/>
    <w:rsid w:val="004E6822"/>
    <w:rsid w:val="004E6850"/>
    <w:rsid w:val="004E68D0"/>
    <w:rsid w:val="004E6A15"/>
    <w:rsid w:val="004E6A1D"/>
    <w:rsid w:val="004E6A85"/>
    <w:rsid w:val="004E6AE1"/>
    <w:rsid w:val="004E6B11"/>
    <w:rsid w:val="004E6BCF"/>
    <w:rsid w:val="004E6CBE"/>
    <w:rsid w:val="004E6CEE"/>
    <w:rsid w:val="004E6D7E"/>
    <w:rsid w:val="004E6D80"/>
    <w:rsid w:val="004E70E7"/>
    <w:rsid w:val="004E71B7"/>
    <w:rsid w:val="004E7215"/>
    <w:rsid w:val="004E7219"/>
    <w:rsid w:val="004E72F8"/>
    <w:rsid w:val="004E7323"/>
    <w:rsid w:val="004E73E0"/>
    <w:rsid w:val="004E7420"/>
    <w:rsid w:val="004E7496"/>
    <w:rsid w:val="004E75A1"/>
    <w:rsid w:val="004E7604"/>
    <w:rsid w:val="004E767B"/>
    <w:rsid w:val="004E777D"/>
    <w:rsid w:val="004E7842"/>
    <w:rsid w:val="004E78CB"/>
    <w:rsid w:val="004E7B24"/>
    <w:rsid w:val="004E7B31"/>
    <w:rsid w:val="004E7B7C"/>
    <w:rsid w:val="004E7BB0"/>
    <w:rsid w:val="004E7BE7"/>
    <w:rsid w:val="004E7C32"/>
    <w:rsid w:val="004E7CAB"/>
    <w:rsid w:val="004E7D25"/>
    <w:rsid w:val="004E7D2F"/>
    <w:rsid w:val="004E7DD4"/>
    <w:rsid w:val="004E7E01"/>
    <w:rsid w:val="004E7E4B"/>
    <w:rsid w:val="004E7E7C"/>
    <w:rsid w:val="004E7F06"/>
    <w:rsid w:val="004F000F"/>
    <w:rsid w:val="004F00F2"/>
    <w:rsid w:val="004F01A7"/>
    <w:rsid w:val="004F02D1"/>
    <w:rsid w:val="004F0300"/>
    <w:rsid w:val="004F0332"/>
    <w:rsid w:val="004F034C"/>
    <w:rsid w:val="004F03BF"/>
    <w:rsid w:val="004F04DE"/>
    <w:rsid w:val="004F05D0"/>
    <w:rsid w:val="004F06D2"/>
    <w:rsid w:val="004F0778"/>
    <w:rsid w:val="004F0814"/>
    <w:rsid w:val="004F085B"/>
    <w:rsid w:val="004F092C"/>
    <w:rsid w:val="004F0AE6"/>
    <w:rsid w:val="004F0B28"/>
    <w:rsid w:val="004F0B75"/>
    <w:rsid w:val="004F0C3B"/>
    <w:rsid w:val="004F0C63"/>
    <w:rsid w:val="004F0C7D"/>
    <w:rsid w:val="004F0F55"/>
    <w:rsid w:val="004F0F66"/>
    <w:rsid w:val="004F0F95"/>
    <w:rsid w:val="004F10CC"/>
    <w:rsid w:val="004F1120"/>
    <w:rsid w:val="004F11AA"/>
    <w:rsid w:val="004F11BD"/>
    <w:rsid w:val="004F13E2"/>
    <w:rsid w:val="004F1485"/>
    <w:rsid w:val="004F1516"/>
    <w:rsid w:val="004F1520"/>
    <w:rsid w:val="004F15B1"/>
    <w:rsid w:val="004F15F8"/>
    <w:rsid w:val="004F15FB"/>
    <w:rsid w:val="004F177E"/>
    <w:rsid w:val="004F17FA"/>
    <w:rsid w:val="004F184B"/>
    <w:rsid w:val="004F1866"/>
    <w:rsid w:val="004F1932"/>
    <w:rsid w:val="004F19D3"/>
    <w:rsid w:val="004F1A2A"/>
    <w:rsid w:val="004F1B42"/>
    <w:rsid w:val="004F1BEF"/>
    <w:rsid w:val="004F1C51"/>
    <w:rsid w:val="004F1C9C"/>
    <w:rsid w:val="004F1CD8"/>
    <w:rsid w:val="004F1D3F"/>
    <w:rsid w:val="004F1D95"/>
    <w:rsid w:val="004F1DF2"/>
    <w:rsid w:val="004F1E89"/>
    <w:rsid w:val="004F1EB4"/>
    <w:rsid w:val="004F1FC0"/>
    <w:rsid w:val="004F1FCA"/>
    <w:rsid w:val="004F20B3"/>
    <w:rsid w:val="004F2124"/>
    <w:rsid w:val="004F218E"/>
    <w:rsid w:val="004F21AB"/>
    <w:rsid w:val="004F21E6"/>
    <w:rsid w:val="004F2203"/>
    <w:rsid w:val="004F2293"/>
    <w:rsid w:val="004F23D5"/>
    <w:rsid w:val="004F241E"/>
    <w:rsid w:val="004F25C2"/>
    <w:rsid w:val="004F2641"/>
    <w:rsid w:val="004F2756"/>
    <w:rsid w:val="004F27FE"/>
    <w:rsid w:val="004F2880"/>
    <w:rsid w:val="004F2B52"/>
    <w:rsid w:val="004F2CF9"/>
    <w:rsid w:val="004F2E3B"/>
    <w:rsid w:val="004F2EAC"/>
    <w:rsid w:val="004F2EF1"/>
    <w:rsid w:val="004F2F1D"/>
    <w:rsid w:val="004F302E"/>
    <w:rsid w:val="004F3058"/>
    <w:rsid w:val="004F30F5"/>
    <w:rsid w:val="004F3140"/>
    <w:rsid w:val="004F327E"/>
    <w:rsid w:val="004F33BD"/>
    <w:rsid w:val="004F340E"/>
    <w:rsid w:val="004F343B"/>
    <w:rsid w:val="004F36E7"/>
    <w:rsid w:val="004F3752"/>
    <w:rsid w:val="004F376A"/>
    <w:rsid w:val="004F3796"/>
    <w:rsid w:val="004F37CB"/>
    <w:rsid w:val="004F37FF"/>
    <w:rsid w:val="004F39A9"/>
    <w:rsid w:val="004F39B9"/>
    <w:rsid w:val="004F3A74"/>
    <w:rsid w:val="004F3B8A"/>
    <w:rsid w:val="004F3C42"/>
    <w:rsid w:val="004F3D54"/>
    <w:rsid w:val="004F3D8F"/>
    <w:rsid w:val="004F3E29"/>
    <w:rsid w:val="004F3E51"/>
    <w:rsid w:val="004F3E6C"/>
    <w:rsid w:val="004F3EF1"/>
    <w:rsid w:val="004F3EFF"/>
    <w:rsid w:val="004F3FD6"/>
    <w:rsid w:val="004F4087"/>
    <w:rsid w:val="004F40BD"/>
    <w:rsid w:val="004F41E2"/>
    <w:rsid w:val="004F423E"/>
    <w:rsid w:val="004F428F"/>
    <w:rsid w:val="004F433B"/>
    <w:rsid w:val="004F43E1"/>
    <w:rsid w:val="004F444C"/>
    <w:rsid w:val="004F4797"/>
    <w:rsid w:val="004F47EA"/>
    <w:rsid w:val="004F47EB"/>
    <w:rsid w:val="004F4868"/>
    <w:rsid w:val="004F4893"/>
    <w:rsid w:val="004F499B"/>
    <w:rsid w:val="004F4A4B"/>
    <w:rsid w:val="004F4A8E"/>
    <w:rsid w:val="004F4AB7"/>
    <w:rsid w:val="004F4B10"/>
    <w:rsid w:val="004F4B92"/>
    <w:rsid w:val="004F4C04"/>
    <w:rsid w:val="004F4C98"/>
    <w:rsid w:val="004F4CE4"/>
    <w:rsid w:val="004F4D33"/>
    <w:rsid w:val="004F4E27"/>
    <w:rsid w:val="004F4E5E"/>
    <w:rsid w:val="004F4EBE"/>
    <w:rsid w:val="004F4FA4"/>
    <w:rsid w:val="004F4FA5"/>
    <w:rsid w:val="004F5118"/>
    <w:rsid w:val="004F513F"/>
    <w:rsid w:val="004F51AC"/>
    <w:rsid w:val="004F5313"/>
    <w:rsid w:val="004F549A"/>
    <w:rsid w:val="004F54C4"/>
    <w:rsid w:val="004F5827"/>
    <w:rsid w:val="004F588F"/>
    <w:rsid w:val="004F599E"/>
    <w:rsid w:val="004F5A76"/>
    <w:rsid w:val="004F5AA6"/>
    <w:rsid w:val="004F5AB6"/>
    <w:rsid w:val="004F5B2E"/>
    <w:rsid w:val="004F5B77"/>
    <w:rsid w:val="004F5C0C"/>
    <w:rsid w:val="004F5D46"/>
    <w:rsid w:val="004F5DCA"/>
    <w:rsid w:val="004F5E45"/>
    <w:rsid w:val="004F5E98"/>
    <w:rsid w:val="004F5F83"/>
    <w:rsid w:val="004F5FC2"/>
    <w:rsid w:val="004F60BA"/>
    <w:rsid w:val="004F61AD"/>
    <w:rsid w:val="004F6234"/>
    <w:rsid w:val="004F62CC"/>
    <w:rsid w:val="004F6364"/>
    <w:rsid w:val="004F64C5"/>
    <w:rsid w:val="004F650E"/>
    <w:rsid w:val="004F6529"/>
    <w:rsid w:val="004F65D6"/>
    <w:rsid w:val="004F65EB"/>
    <w:rsid w:val="004F66F6"/>
    <w:rsid w:val="004F688B"/>
    <w:rsid w:val="004F68A7"/>
    <w:rsid w:val="004F68C3"/>
    <w:rsid w:val="004F68E2"/>
    <w:rsid w:val="004F6921"/>
    <w:rsid w:val="004F692C"/>
    <w:rsid w:val="004F69D4"/>
    <w:rsid w:val="004F6A4B"/>
    <w:rsid w:val="004F6B04"/>
    <w:rsid w:val="004F6B75"/>
    <w:rsid w:val="004F6BFC"/>
    <w:rsid w:val="004F6EC9"/>
    <w:rsid w:val="004F6EEA"/>
    <w:rsid w:val="004F6F60"/>
    <w:rsid w:val="004F6FA7"/>
    <w:rsid w:val="004F7016"/>
    <w:rsid w:val="004F7171"/>
    <w:rsid w:val="004F723E"/>
    <w:rsid w:val="004F7272"/>
    <w:rsid w:val="004F7349"/>
    <w:rsid w:val="004F7392"/>
    <w:rsid w:val="004F73A5"/>
    <w:rsid w:val="004F760C"/>
    <w:rsid w:val="004F76CD"/>
    <w:rsid w:val="004F793A"/>
    <w:rsid w:val="004F793D"/>
    <w:rsid w:val="004F7977"/>
    <w:rsid w:val="004F7B16"/>
    <w:rsid w:val="004F7BC7"/>
    <w:rsid w:val="004F7BE3"/>
    <w:rsid w:val="004F7CF0"/>
    <w:rsid w:val="004F7D9E"/>
    <w:rsid w:val="004F7DDD"/>
    <w:rsid w:val="004F7DE4"/>
    <w:rsid w:val="004F7E01"/>
    <w:rsid w:val="004F7E6C"/>
    <w:rsid w:val="004F7F03"/>
    <w:rsid w:val="00500172"/>
    <w:rsid w:val="005001B3"/>
    <w:rsid w:val="00500220"/>
    <w:rsid w:val="005002D7"/>
    <w:rsid w:val="005003A3"/>
    <w:rsid w:val="0050040C"/>
    <w:rsid w:val="0050040F"/>
    <w:rsid w:val="00500420"/>
    <w:rsid w:val="00500482"/>
    <w:rsid w:val="005004F9"/>
    <w:rsid w:val="00500584"/>
    <w:rsid w:val="00500612"/>
    <w:rsid w:val="00500650"/>
    <w:rsid w:val="00500688"/>
    <w:rsid w:val="00500692"/>
    <w:rsid w:val="005006DC"/>
    <w:rsid w:val="005007E9"/>
    <w:rsid w:val="0050083C"/>
    <w:rsid w:val="00500857"/>
    <w:rsid w:val="00500898"/>
    <w:rsid w:val="005008EF"/>
    <w:rsid w:val="005009F8"/>
    <w:rsid w:val="00500A83"/>
    <w:rsid w:val="00500D44"/>
    <w:rsid w:val="00500E47"/>
    <w:rsid w:val="00500F2B"/>
    <w:rsid w:val="00500F6A"/>
    <w:rsid w:val="00500F99"/>
    <w:rsid w:val="00501028"/>
    <w:rsid w:val="00501052"/>
    <w:rsid w:val="00501058"/>
    <w:rsid w:val="00501087"/>
    <w:rsid w:val="0050123A"/>
    <w:rsid w:val="005012E8"/>
    <w:rsid w:val="0050130F"/>
    <w:rsid w:val="00501409"/>
    <w:rsid w:val="0050157D"/>
    <w:rsid w:val="00501621"/>
    <w:rsid w:val="0050165F"/>
    <w:rsid w:val="00501671"/>
    <w:rsid w:val="0050167A"/>
    <w:rsid w:val="0050168D"/>
    <w:rsid w:val="005017ED"/>
    <w:rsid w:val="005017F2"/>
    <w:rsid w:val="0050180C"/>
    <w:rsid w:val="005018B0"/>
    <w:rsid w:val="005018F5"/>
    <w:rsid w:val="00501994"/>
    <w:rsid w:val="00501A19"/>
    <w:rsid w:val="00501A27"/>
    <w:rsid w:val="00501B2B"/>
    <w:rsid w:val="00501B7E"/>
    <w:rsid w:val="00501B8B"/>
    <w:rsid w:val="00501B8D"/>
    <w:rsid w:val="00501C6B"/>
    <w:rsid w:val="00501C81"/>
    <w:rsid w:val="00501DF1"/>
    <w:rsid w:val="00501E88"/>
    <w:rsid w:val="00501E99"/>
    <w:rsid w:val="00501F2B"/>
    <w:rsid w:val="00501FA4"/>
    <w:rsid w:val="005020D4"/>
    <w:rsid w:val="00502179"/>
    <w:rsid w:val="00502195"/>
    <w:rsid w:val="00502213"/>
    <w:rsid w:val="005023EC"/>
    <w:rsid w:val="005024AE"/>
    <w:rsid w:val="005024F8"/>
    <w:rsid w:val="00502502"/>
    <w:rsid w:val="00502557"/>
    <w:rsid w:val="0050257E"/>
    <w:rsid w:val="00502739"/>
    <w:rsid w:val="00502796"/>
    <w:rsid w:val="005027BA"/>
    <w:rsid w:val="005027C6"/>
    <w:rsid w:val="00502890"/>
    <w:rsid w:val="005028B1"/>
    <w:rsid w:val="005028DF"/>
    <w:rsid w:val="00502950"/>
    <w:rsid w:val="005029E5"/>
    <w:rsid w:val="005029E8"/>
    <w:rsid w:val="00502A3E"/>
    <w:rsid w:val="00502A4E"/>
    <w:rsid w:val="00502AA7"/>
    <w:rsid w:val="00502B0F"/>
    <w:rsid w:val="00502B6F"/>
    <w:rsid w:val="00502C99"/>
    <w:rsid w:val="00502CA7"/>
    <w:rsid w:val="00502D37"/>
    <w:rsid w:val="00502DDB"/>
    <w:rsid w:val="00502F45"/>
    <w:rsid w:val="00502FEF"/>
    <w:rsid w:val="00503006"/>
    <w:rsid w:val="0050304A"/>
    <w:rsid w:val="0050306C"/>
    <w:rsid w:val="00503226"/>
    <w:rsid w:val="0050325F"/>
    <w:rsid w:val="005032AE"/>
    <w:rsid w:val="005032DF"/>
    <w:rsid w:val="005032F6"/>
    <w:rsid w:val="00503578"/>
    <w:rsid w:val="00503596"/>
    <w:rsid w:val="00503685"/>
    <w:rsid w:val="0050376D"/>
    <w:rsid w:val="00503812"/>
    <w:rsid w:val="0050388A"/>
    <w:rsid w:val="0050393F"/>
    <w:rsid w:val="00503A20"/>
    <w:rsid w:val="00503B65"/>
    <w:rsid w:val="00503BEE"/>
    <w:rsid w:val="00503C4E"/>
    <w:rsid w:val="00503CE8"/>
    <w:rsid w:val="00503D00"/>
    <w:rsid w:val="00503D8D"/>
    <w:rsid w:val="00503E01"/>
    <w:rsid w:val="00503EAF"/>
    <w:rsid w:val="00503EE9"/>
    <w:rsid w:val="00503EF1"/>
    <w:rsid w:val="00503FB5"/>
    <w:rsid w:val="005042B3"/>
    <w:rsid w:val="005042E5"/>
    <w:rsid w:val="005042FA"/>
    <w:rsid w:val="0050436E"/>
    <w:rsid w:val="005043B7"/>
    <w:rsid w:val="005043C1"/>
    <w:rsid w:val="0050449F"/>
    <w:rsid w:val="00504530"/>
    <w:rsid w:val="0050457D"/>
    <w:rsid w:val="005046AC"/>
    <w:rsid w:val="005046BA"/>
    <w:rsid w:val="0050473E"/>
    <w:rsid w:val="00504747"/>
    <w:rsid w:val="00504764"/>
    <w:rsid w:val="0050478A"/>
    <w:rsid w:val="005047A7"/>
    <w:rsid w:val="005047CD"/>
    <w:rsid w:val="00504893"/>
    <w:rsid w:val="00504BED"/>
    <w:rsid w:val="00504C14"/>
    <w:rsid w:val="00504C85"/>
    <w:rsid w:val="00504D39"/>
    <w:rsid w:val="00504FB6"/>
    <w:rsid w:val="00505049"/>
    <w:rsid w:val="0050507E"/>
    <w:rsid w:val="005050D6"/>
    <w:rsid w:val="00505124"/>
    <w:rsid w:val="0050517F"/>
    <w:rsid w:val="00505194"/>
    <w:rsid w:val="005051E7"/>
    <w:rsid w:val="00505274"/>
    <w:rsid w:val="005052FC"/>
    <w:rsid w:val="00505325"/>
    <w:rsid w:val="00505342"/>
    <w:rsid w:val="00505345"/>
    <w:rsid w:val="005054A1"/>
    <w:rsid w:val="005057CA"/>
    <w:rsid w:val="005058F9"/>
    <w:rsid w:val="005059B2"/>
    <w:rsid w:val="00505A4E"/>
    <w:rsid w:val="00505A67"/>
    <w:rsid w:val="00505A80"/>
    <w:rsid w:val="00505B39"/>
    <w:rsid w:val="00505C6D"/>
    <w:rsid w:val="00505D08"/>
    <w:rsid w:val="00505D40"/>
    <w:rsid w:val="00505D51"/>
    <w:rsid w:val="00505FC5"/>
    <w:rsid w:val="00505FDD"/>
    <w:rsid w:val="00506001"/>
    <w:rsid w:val="0050600F"/>
    <w:rsid w:val="0050612A"/>
    <w:rsid w:val="00506199"/>
    <w:rsid w:val="00506253"/>
    <w:rsid w:val="0050625D"/>
    <w:rsid w:val="005062D6"/>
    <w:rsid w:val="005062F4"/>
    <w:rsid w:val="0050633C"/>
    <w:rsid w:val="00506696"/>
    <w:rsid w:val="005066DA"/>
    <w:rsid w:val="005067A4"/>
    <w:rsid w:val="005067DF"/>
    <w:rsid w:val="00506807"/>
    <w:rsid w:val="00506945"/>
    <w:rsid w:val="005069DC"/>
    <w:rsid w:val="00506ACA"/>
    <w:rsid w:val="00506AEA"/>
    <w:rsid w:val="00506B08"/>
    <w:rsid w:val="00506BAE"/>
    <w:rsid w:val="00506C04"/>
    <w:rsid w:val="00506CB9"/>
    <w:rsid w:val="00506D9B"/>
    <w:rsid w:val="00506DA0"/>
    <w:rsid w:val="00506EA3"/>
    <w:rsid w:val="00506F47"/>
    <w:rsid w:val="00506F9A"/>
    <w:rsid w:val="0050719D"/>
    <w:rsid w:val="005072B6"/>
    <w:rsid w:val="00507304"/>
    <w:rsid w:val="00507322"/>
    <w:rsid w:val="00507359"/>
    <w:rsid w:val="005074A6"/>
    <w:rsid w:val="00507606"/>
    <w:rsid w:val="0050789D"/>
    <w:rsid w:val="005078E4"/>
    <w:rsid w:val="00507917"/>
    <w:rsid w:val="00507A62"/>
    <w:rsid w:val="00507A78"/>
    <w:rsid w:val="00507C00"/>
    <w:rsid w:val="00507C8F"/>
    <w:rsid w:val="00507CA1"/>
    <w:rsid w:val="00507DC2"/>
    <w:rsid w:val="00507E37"/>
    <w:rsid w:val="00507E4E"/>
    <w:rsid w:val="00507E68"/>
    <w:rsid w:val="0051005E"/>
    <w:rsid w:val="00510099"/>
    <w:rsid w:val="005100C0"/>
    <w:rsid w:val="005100F3"/>
    <w:rsid w:val="00510172"/>
    <w:rsid w:val="0051027A"/>
    <w:rsid w:val="005102F2"/>
    <w:rsid w:val="0051034B"/>
    <w:rsid w:val="00510510"/>
    <w:rsid w:val="0051058E"/>
    <w:rsid w:val="005105FE"/>
    <w:rsid w:val="00510640"/>
    <w:rsid w:val="005106E6"/>
    <w:rsid w:val="005107A1"/>
    <w:rsid w:val="005107BD"/>
    <w:rsid w:val="005107C9"/>
    <w:rsid w:val="0051083D"/>
    <w:rsid w:val="0051089A"/>
    <w:rsid w:val="005108A7"/>
    <w:rsid w:val="005108DF"/>
    <w:rsid w:val="0051098A"/>
    <w:rsid w:val="005109A9"/>
    <w:rsid w:val="00510AA6"/>
    <w:rsid w:val="00510B17"/>
    <w:rsid w:val="00510BBC"/>
    <w:rsid w:val="00510C84"/>
    <w:rsid w:val="00510CB4"/>
    <w:rsid w:val="00510D77"/>
    <w:rsid w:val="00510DF8"/>
    <w:rsid w:val="00510E13"/>
    <w:rsid w:val="00510E39"/>
    <w:rsid w:val="00510E68"/>
    <w:rsid w:val="00510FE2"/>
    <w:rsid w:val="0051113F"/>
    <w:rsid w:val="005111D0"/>
    <w:rsid w:val="005111E2"/>
    <w:rsid w:val="005111F0"/>
    <w:rsid w:val="00511259"/>
    <w:rsid w:val="005112B3"/>
    <w:rsid w:val="005112C5"/>
    <w:rsid w:val="005112F7"/>
    <w:rsid w:val="00511384"/>
    <w:rsid w:val="00511439"/>
    <w:rsid w:val="0051154B"/>
    <w:rsid w:val="00511558"/>
    <w:rsid w:val="005115F5"/>
    <w:rsid w:val="005116CE"/>
    <w:rsid w:val="00511705"/>
    <w:rsid w:val="0051170F"/>
    <w:rsid w:val="005117E1"/>
    <w:rsid w:val="0051186D"/>
    <w:rsid w:val="00511890"/>
    <w:rsid w:val="005118F4"/>
    <w:rsid w:val="00511B17"/>
    <w:rsid w:val="00511B1D"/>
    <w:rsid w:val="00511B99"/>
    <w:rsid w:val="00511BB4"/>
    <w:rsid w:val="00511BFB"/>
    <w:rsid w:val="00511BFC"/>
    <w:rsid w:val="00511C35"/>
    <w:rsid w:val="00511DDC"/>
    <w:rsid w:val="00511F55"/>
    <w:rsid w:val="00512101"/>
    <w:rsid w:val="00512187"/>
    <w:rsid w:val="00512246"/>
    <w:rsid w:val="005122BA"/>
    <w:rsid w:val="005122FE"/>
    <w:rsid w:val="00512379"/>
    <w:rsid w:val="0051237D"/>
    <w:rsid w:val="005124F1"/>
    <w:rsid w:val="0051250D"/>
    <w:rsid w:val="00512529"/>
    <w:rsid w:val="00512634"/>
    <w:rsid w:val="0051265B"/>
    <w:rsid w:val="00512910"/>
    <w:rsid w:val="005129C0"/>
    <w:rsid w:val="00512A5D"/>
    <w:rsid w:val="00512B5E"/>
    <w:rsid w:val="00512B94"/>
    <w:rsid w:val="00512C1A"/>
    <w:rsid w:val="00512CBA"/>
    <w:rsid w:val="00512D72"/>
    <w:rsid w:val="00512E0C"/>
    <w:rsid w:val="00512E5D"/>
    <w:rsid w:val="00512EBF"/>
    <w:rsid w:val="00513092"/>
    <w:rsid w:val="00513171"/>
    <w:rsid w:val="005131AC"/>
    <w:rsid w:val="00513232"/>
    <w:rsid w:val="005134CA"/>
    <w:rsid w:val="00513558"/>
    <w:rsid w:val="0051365D"/>
    <w:rsid w:val="0051368D"/>
    <w:rsid w:val="005137B2"/>
    <w:rsid w:val="0051385D"/>
    <w:rsid w:val="00513937"/>
    <w:rsid w:val="00513947"/>
    <w:rsid w:val="0051394D"/>
    <w:rsid w:val="005139E8"/>
    <w:rsid w:val="00513A45"/>
    <w:rsid w:val="00513A65"/>
    <w:rsid w:val="00513BC9"/>
    <w:rsid w:val="00513C5B"/>
    <w:rsid w:val="00513C80"/>
    <w:rsid w:val="00513C83"/>
    <w:rsid w:val="00513C90"/>
    <w:rsid w:val="00513CD9"/>
    <w:rsid w:val="00513D12"/>
    <w:rsid w:val="00513D31"/>
    <w:rsid w:val="00513E3D"/>
    <w:rsid w:val="00513ED7"/>
    <w:rsid w:val="00513EDE"/>
    <w:rsid w:val="00514069"/>
    <w:rsid w:val="0051411A"/>
    <w:rsid w:val="0051411E"/>
    <w:rsid w:val="005141B9"/>
    <w:rsid w:val="0051438B"/>
    <w:rsid w:val="005143E7"/>
    <w:rsid w:val="005143EA"/>
    <w:rsid w:val="0051450D"/>
    <w:rsid w:val="00514536"/>
    <w:rsid w:val="00514597"/>
    <w:rsid w:val="005146A1"/>
    <w:rsid w:val="005146F3"/>
    <w:rsid w:val="00514734"/>
    <w:rsid w:val="005147DF"/>
    <w:rsid w:val="005147E9"/>
    <w:rsid w:val="0051482C"/>
    <w:rsid w:val="0051497C"/>
    <w:rsid w:val="00514B41"/>
    <w:rsid w:val="00514B7A"/>
    <w:rsid w:val="00514C2C"/>
    <w:rsid w:val="00514C90"/>
    <w:rsid w:val="00514E38"/>
    <w:rsid w:val="00514E4B"/>
    <w:rsid w:val="00514E97"/>
    <w:rsid w:val="00514F24"/>
    <w:rsid w:val="00514F41"/>
    <w:rsid w:val="0051512F"/>
    <w:rsid w:val="005151C6"/>
    <w:rsid w:val="0051523E"/>
    <w:rsid w:val="00515259"/>
    <w:rsid w:val="005152ED"/>
    <w:rsid w:val="00515340"/>
    <w:rsid w:val="00515362"/>
    <w:rsid w:val="00515388"/>
    <w:rsid w:val="005153EC"/>
    <w:rsid w:val="00515575"/>
    <w:rsid w:val="00515714"/>
    <w:rsid w:val="00515775"/>
    <w:rsid w:val="005157BA"/>
    <w:rsid w:val="005157C4"/>
    <w:rsid w:val="005157C5"/>
    <w:rsid w:val="00515875"/>
    <w:rsid w:val="0051594B"/>
    <w:rsid w:val="0051597A"/>
    <w:rsid w:val="00515A02"/>
    <w:rsid w:val="00515A56"/>
    <w:rsid w:val="00515BD0"/>
    <w:rsid w:val="00515BE7"/>
    <w:rsid w:val="00515BFE"/>
    <w:rsid w:val="00515C59"/>
    <w:rsid w:val="00515C70"/>
    <w:rsid w:val="00515CBE"/>
    <w:rsid w:val="00515CD8"/>
    <w:rsid w:val="00515D01"/>
    <w:rsid w:val="00515DDB"/>
    <w:rsid w:val="00515E23"/>
    <w:rsid w:val="00515ED3"/>
    <w:rsid w:val="00515F31"/>
    <w:rsid w:val="0051608E"/>
    <w:rsid w:val="005161D4"/>
    <w:rsid w:val="00516238"/>
    <w:rsid w:val="00516259"/>
    <w:rsid w:val="00516262"/>
    <w:rsid w:val="00516297"/>
    <w:rsid w:val="00516500"/>
    <w:rsid w:val="0051655D"/>
    <w:rsid w:val="00516568"/>
    <w:rsid w:val="00516600"/>
    <w:rsid w:val="00516692"/>
    <w:rsid w:val="005166C6"/>
    <w:rsid w:val="005166F4"/>
    <w:rsid w:val="00516785"/>
    <w:rsid w:val="0051683E"/>
    <w:rsid w:val="00516843"/>
    <w:rsid w:val="005168F5"/>
    <w:rsid w:val="0051693C"/>
    <w:rsid w:val="00516992"/>
    <w:rsid w:val="00516A6B"/>
    <w:rsid w:val="00516AB0"/>
    <w:rsid w:val="00516AC2"/>
    <w:rsid w:val="00516BB0"/>
    <w:rsid w:val="00516BE2"/>
    <w:rsid w:val="00516BE7"/>
    <w:rsid w:val="00516C00"/>
    <w:rsid w:val="00516D19"/>
    <w:rsid w:val="00516D7D"/>
    <w:rsid w:val="00516E8D"/>
    <w:rsid w:val="00516EA4"/>
    <w:rsid w:val="00516F54"/>
    <w:rsid w:val="00516F8D"/>
    <w:rsid w:val="005170E0"/>
    <w:rsid w:val="00517179"/>
    <w:rsid w:val="0051717C"/>
    <w:rsid w:val="00517257"/>
    <w:rsid w:val="00517300"/>
    <w:rsid w:val="00517419"/>
    <w:rsid w:val="005174FA"/>
    <w:rsid w:val="005175A5"/>
    <w:rsid w:val="005175AB"/>
    <w:rsid w:val="00517602"/>
    <w:rsid w:val="00517659"/>
    <w:rsid w:val="005176B6"/>
    <w:rsid w:val="005177A8"/>
    <w:rsid w:val="005177EE"/>
    <w:rsid w:val="00517896"/>
    <w:rsid w:val="0051793B"/>
    <w:rsid w:val="0051794F"/>
    <w:rsid w:val="005179E2"/>
    <w:rsid w:val="005179F5"/>
    <w:rsid w:val="00517A12"/>
    <w:rsid w:val="00517AAB"/>
    <w:rsid w:val="00517B22"/>
    <w:rsid w:val="00517B60"/>
    <w:rsid w:val="00517BA0"/>
    <w:rsid w:val="00517BE6"/>
    <w:rsid w:val="00517C8C"/>
    <w:rsid w:val="00517CDF"/>
    <w:rsid w:val="00517CFB"/>
    <w:rsid w:val="00517DC4"/>
    <w:rsid w:val="00517DC8"/>
    <w:rsid w:val="00520070"/>
    <w:rsid w:val="00520071"/>
    <w:rsid w:val="005200E6"/>
    <w:rsid w:val="00520247"/>
    <w:rsid w:val="005202D1"/>
    <w:rsid w:val="0052047F"/>
    <w:rsid w:val="00520519"/>
    <w:rsid w:val="0052051A"/>
    <w:rsid w:val="00520526"/>
    <w:rsid w:val="00520544"/>
    <w:rsid w:val="005205A2"/>
    <w:rsid w:val="0052068D"/>
    <w:rsid w:val="00520788"/>
    <w:rsid w:val="005207E8"/>
    <w:rsid w:val="0052096C"/>
    <w:rsid w:val="00520A95"/>
    <w:rsid w:val="00520B79"/>
    <w:rsid w:val="00520BEF"/>
    <w:rsid w:val="00520C2B"/>
    <w:rsid w:val="00520C32"/>
    <w:rsid w:val="00520C6C"/>
    <w:rsid w:val="00520CAD"/>
    <w:rsid w:val="00520CFE"/>
    <w:rsid w:val="00520D38"/>
    <w:rsid w:val="00520D44"/>
    <w:rsid w:val="00520DA5"/>
    <w:rsid w:val="00520E58"/>
    <w:rsid w:val="00520E80"/>
    <w:rsid w:val="00520E8D"/>
    <w:rsid w:val="0052105A"/>
    <w:rsid w:val="0052106C"/>
    <w:rsid w:val="005211D8"/>
    <w:rsid w:val="005212EB"/>
    <w:rsid w:val="005212F7"/>
    <w:rsid w:val="0052131E"/>
    <w:rsid w:val="005213B4"/>
    <w:rsid w:val="0052141D"/>
    <w:rsid w:val="00521458"/>
    <w:rsid w:val="00521468"/>
    <w:rsid w:val="00521474"/>
    <w:rsid w:val="0052147B"/>
    <w:rsid w:val="005214E0"/>
    <w:rsid w:val="005214EE"/>
    <w:rsid w:val="00521563"/>
    <w:rsid w:val="005215DC"/>
    <w:rsid w:val="005216A0"/>
    <w:rsid w:val="0052177F"/>
    <w:rsid w:val="005218CC"/>
    <w:rsid w:val="005218E2"/>
    <w:rsid w:val="00521958"/>
    <w:rsid w:val="00521A3D"/>
    <w:rsid w:val="00521B2B"/>
    <w:rsid w:val="00521B88"/>
    <w:rsid w:val="00521CB1"/>
    <w:rsid w:val="00521D24"/>
    <w:rsid w:val="00521D42"/>
    <w:rsid w:val="00521DAF"/>
    <w:rsid w:val="00521DDB"/>
    <w:rsid w:val="00521E27"/>
    <w:rsid w:val="00521E8F"/>
    <w:rsid w:val="00521F1C"/>
    <w:rsid w:val="00521FC0"/>
    <w:rsid w:val="00521FCC"/>
    <w:rsid w:val="00522080"/>
    <w:rsid w:val="0052208C"/>
    <w:rsid w:val="005220FE"/>
    <w:rsid w:val="0052210E"/>
    <w:rsid w:val="005221BC"/>
    <w:rsid w:val="005222F9"/>
    <w:rsid w:val="0052232D"/>
    <w:rsid w:val="00522358"/>
    <w:rsid w:val="0052235D"/>
    <w:rsid w:val="00522381"/>
    <w:rsid w:val="005223EC"/>
    <w:rsid w:val="00522462"/>
    <w:rsid w:val="005225D2"/>
    <w:rsid w:val="0052263F"/>
    <w:rsid w:val="00522719"/>
    <w:rsid w:val="005227AA"/>
    <w:rsid w:val="00522903"/>
    <w:rsid w:val="00522982"/>
    <w:rsid w:val="005229CD"/>
    <w:rsid w:val="00522A73"/>
    <w:rsid w:val="00522A7A"/>
    <w:rsid w:val="00522AC9"/>
    <w:rsid w:val="00522AD6"/>
    <w:rsid w:val="00522B1F"/>
    <w:rsid w:val="00522B52"/>
    <w:rsid w:val="00522BC3"/>
    <w:rsid w:val="00522CB0"/>
    <w:rsid w:val="00522D82"/>
    <w:rsid w:val="00522E25"/>
    <w:rsid w:val="00522E26"/>
    <w:rsid w:val="00522EC0"/>
    <w:rsid w:val="00522FF9"/>
    <w:rsid w:val="005230F4"/>
    <w:rsid w:val="005231B2"/>
    <w:rsid w:val="00523245"/>
    <w:rsid w:val="00523286"/>
    <w:rsid w:val="00523297"/>
    <w:rsid w:val="005233AF"/>
    <w:rsid w:val="005233B2"/>
    <w:rsid w:val="00523410"/>
    <w:rsid w:val="00523437"/>
    <w:rsid w:val="00523590"/>
    <w:rsid w:val="00523653"/>
    <w:rsid w:val="005236D8"/>
    <w:rsid w:val="00523708"/>
    <w:rsid w:val="0052375D"/>
    <w:rsid w:val="005237A5"/>
    <w:rsid w:val="005237F8"/>
    <w:rsid w:val="00523873"/>
    <w:rsid w:val="005238B6"/>
    <w:rsid w:val="005238CF"/>
    <w:rsid w:val="0052393C"/>
    <w:rsid w:val="00523A33"/>
    <w:rsid w:val="00523A51"/>
    <w:rsid w:val="00523B16"/>
    <w:rsid w:val="00523B24"/>
    <w:rsid w:val="00523B70"/>
    <w:rsid w:val="00523BC9"/>
    <w:rsid w:val="00523BDA"/>
    <w:rsid w:val="00523D43"/>
    <w:rsid w:val="00523DB5"/>
    <w:rsid w:val="00523E53"/>
    <w:rsid w:val="00523F2A"/>
    <w:rsid w:val="00523F52"/>
    <w:rsid w:val="00523FDC"/>
    <w:rsid w:val="0052400C"/>
    <w:rsid w:val="005240A8"/>
    <w:rsid w:val="005240BA"/>
    <w:rsid w:val="005240F2"/>
    <w:rsid w:val="00524157"/>
    <w:rsid w:val="00524194"/>
    <w:rsid w:val="0052419D"/>
    <w:rsid w:val="0052425E"/>
    <w:rsid w:val="0052429B"/>
    <w:rsid w:val="0052449E"/>
    <w:rsid w:val="00524533"/>
    <w:rsid w:val="00524587"/>
    <w:rsid w:val="00524590"/>
    <w:rsid w:val="005247BE"/>
    <w:rsid w:val="005247F8"/>
    <w:rsid w:val="00524883"/>
    <w:rsid w:val="005248AF"/>
    <w:rsid w:val="005248C9"/>
    <w:rsid w:val="005248E6"/>
    <w:rsid w:val="00524944"/>
    <w:rsid w:val="00524952"/>
    <w:rsid w:val="005249A3"/>
    <w:rsid w:val="00524A9D"/>
    <w:rsid w:val="00524D5D"/>
    <w:rsid w:val="00524E83"/>
    <w:rsid w:val="00524ED2"/>
    <w:rsid w:val="00524EDF"/>
    <w:rsid w:val="00524F46"/>
    <w:rsid w:val="00524F64"/>
    <w:rsid w:val="005250B0"/>
    <w:rsid w:val="00525104"/>
    <w:rsid w:val="005251E3"/>
    <w:rsid w:val="0052528B"/>
    <w:rsid w:val="005252EA"/>
    <w:rsid w:val="0052532E"/>
    <w:rsid w:val="00525370"/>
    <w:rsid w:val="005253FB"/>
    <w:rsid w:val="00525446"/>
    <w:rsid w:val="00525451"/>
    <w:rsid w:val="005256A5"/>
    <w:rsid w:val="0052575C"/>
    <w:rsid w:val="005257B0"/>
    <w:rsid w:val="00525846"/>
    <w:rsid w:val="005258A2"/>
    <w:rsid w:val="00525966"/>
    <w:rsid w:val="00525A14"/>
    <w:rsid w:val="00525A2E"/>
    <w:rsid w:val="00525AD1"/>
    <w:rsid w:val="00525B26"/>
    <w:rsid w:val="00525B78"/>
    <w:rsid w:val="00525B8B"/>
    <w:rsid w:val="00525BDF"/>
    <w:rsid w:val="00525D50"/>
    <w:rsid w:val="00525DAD"/>
    <w:rsid w:val="00525E1A"/>
    <w:rsid w:val="00525E3E"/>
    <w:rsid w:val="00525E90"/>
    <w:rsid w:val="00525FC8"/>
    <w:rsid w:val="0052607C"/>
    <w:rsid w:val="005260EC"/>
    <w:rsid w:val="0052612F"/>
    <w:rsid w:val="00526149"/>
    <w:rsid w:val="005261BA"/>
    <w:rsid w:val="00526285"/>
    <w:rsid w:val="0052635A"/>
    <w:rsid w:val="0052635D"/>
    <w:rsid w:val="005263D6"/>
    <w:rsid w:val="00526444"/>
    <w:rsid w:val="0052645B"/>
    <w:rsid w:val="0052656B"/>
    <w:rsid w:val="005265B8"/>
    <w:rsid w:val="005265C9"/>
    <w:rsid w:val="00526623"/>
    <w:rsid w:val="00526642"/>
    <w:rsid w:val="0052667D"/>
    <w:rsid w:val="0052683C"/>
    <w:rsid w:val="00526889"/>
    <w:rsid w:val="0052694B"/>
    <w:rsid w:val="00526986"/>
    <w:rsid w:val="005269C2"/>
    <w:rsid w:val="00526A14"/>
    <w:rsid w:val="00526C30"/>
    <w:rsid w:val="00526CA9"/>
    <w:rsid w:val="00526D6C"/>
    <w:rsid w:val="00526DCF"/>
    <w:rsid w:val="00526E2E"/>
    <w:rsid w:val="00526E85"/>
    <w:rsid w:val="00526F2F"/>
    <w:rsid w:val="005270A5"/>
    <w:rsid w:val="005271C0"/>
    <w:rsid w:val="005271F0"/>
    <w:rsid w:val="0052725A"/>
    <w:rsid w:val="00527315"/>
    <w:rsid w:val="005273AE"/>
    <w:rsid w:val="005273B7"/>
    <w:rsid w:val="00527662"/>
    <w:rsid w:val="0052768A"/>
    <w:rsid w:val="005276A9"/>
    <w:rsid w:val="0052784D"/>
    <w:rsid w:val="00527964"/>
    <w:rsid w:val="00527AD6"/>
    <w:rsid w:val="00527BA8"/>
    <w:rsid w:val="00527BD0"/>
    <w:rsid w:val="00527C68"/>
    <w:rsid w:val="00527CCA"/>
    <w:rsid w:val="00527CEB"/>
    <w:rsid w:val="00527D06"/>
    <w:rsid w:val="00527D52"/>
    <w:rsid w:val="00527D87"/>
    <w:rsid w:val="00527E08"/>
    <w:rsid w:val="00527F5D"/>
    <w:rsid w:val="00527FB9"/>
    <w:rsid w:val="00530029"/>
    <w:rsid w:val="0053005B"/>
    <w:rsid w:val="00530087"/>
    <w:rsid w:val="005300D9"/>
    <w:rsid w:val="00530131"/>
    <w:rsid w:val="00530153"/>
    <w:rsid w:val="005301F8"/>
    <w:rsid w:val="005302D9"/>
    <w:rsid w:val="0053032F"/>
    <w:rsid w:val="00530415"/>
    <w:rsid w:val="005305E7"/>
    <w:rsid w:val="0053062E"/>
    <w:rsid w:val="005306AC"/>
    <w:rsid w:val="005306C3"/>
    <w:rsid w:val="005306CC"/>
    <w:rsid w:val="00530899"/>
    <w:rsid w:val="005308EC"/>
    <w:rsid w:val="005308FE"/>
    <w:rsid w:val="00530991"/>
    <w:rsid w:val="00530A6E"/>
    <w:rsid w:val="00530AC4"/>
    <w:rsid w:val="00530CE6"/>
    <w:rsid w:val="00530D64"/>
    <w:rsid w:val="00530D70"/>
    <w:rsid w:val="00530DCB"/>
    <w:rsid w:val="00530E0A"/>
    <w:rsid w:val="00530E9A"/>
    <w:rsid w:val="00530F76"/>
    <w:rsid w:val="0053102C"/>
    <w:rsid w:val="005311B3"/>
    <w:rsid w:val="005311C0"/>
    <w:rsid w:val="005312B4"/>
    <w:rsid w:val="005312FC"/>
    <w:rsid w:val="00531358"/>
    <w:rsid w:val="00531465"/>
    <w:rsid w:val="005315EB"/>
    <w:rsid w:val="005316B8"/>
    <w:rsid w:val="00531853"/>
    <w:rsid w:val="00531910"/>
    <w:rsid w:val="00531982"/>
    <w:rsid w:val="00531A10"/>
    <w:rsid w:val="00531BA0"/>
    <w:rsid w:val="00531BC2"/>
    <w:rsid w:val="00531C71"/>
    <w:rsid w:val="00531CC2"/>
    <w:rsid w:val="00531D99"/>
    <w:rsid w:val="00531E19"/>
    <w:rsid w:val="00531EBC"/>
    <w:rsid w:val="00531F0A"/>
    <w:rsid w:val="005320B0"/>
    <w:rsid w:val="005321F8"/>
    <w:rsid w:val="0053257A"/>
    <w:rsid w:val="005325DC"/>
    <w:rsid w:val="005326D5"/>
    <w:rsid w:val="00532742"/>
    <w:rsid w:val="00532848"/>
    <w:rsid w:val="00532872"/>
    <w:rsid w:val="00532938"/>
    <w:rsid w:val="005329F8"/>
    <w:rsid w:val="00532CFF"/>
    <w:rsid w:val="00532D62"/>
    <w:rsid w:val="00532DFA"/>
    <w:rsid w:val="00532E47"/>
    <w:rsid w:val="00532EFD"/>
    <w:rsid w:val="00532F7F"/>
    <w:rsid w:val="005330B4"/>
    <w:rsid w:val="005330C5"/>
    <w:rsid w:val="00533107"/>
    <w:rsid w:val="00533198"/>
    <w:rsid w:val="00533209"/>
    <w:rsid w:val="005332FD"/>
    <w:rsid w:val="00533311"/>
    <w:rsid w:val="0053342C"/>
    <w:rsid w:val="00533437"/>
    <w:rsid w:val="00533504"/>
    <w:rsid w:val="00533534"/>
    <w:rsid w:val="00533536"/>
    <w:rsid w:val="0053359C"/>
    <w:rsid w:val="005335C0"/>
    <w:rsid w:val="005336AD"/>
    <w:rsid w:val="00533799"/>
    <w:rsid w:val="00533905"/>
    <w:rsid w:val="00533A21"/>
    <w:rsid w:val="00533AB1"/>
    <w:rsid w:val="00533AF2"/>
    <w:rsid w:val="00533B15"/>
    <w:rsid w:val="00533B51"/>
    <w:rsid w:val="00533D00"/>
    <w:rsid w:val="00533DD4"/>
    <w:rsid w:val="00533DF3"/>
    <w:rsid w:val="00533E10"/>
    <w:rsid w:val="00533F93"/>
    <w:rsid w:val="005340BB"/>
    <w:rsid w:val="005340CE"/>
    <w:rsid w:val="005340FB"/>
    <w:rsid w:val="005342A0"/>
    <w:rsid w:val="005342BF"/>
    <w:rsid w:val="005342C7"/>
    <w:rsid w:val="00534357"/>
    <w:rsid w:val="0053437B"/>
    <w:rsid w:val="005343E9"/>
    <w:rsid w:val="005343F0"/>
    <w:rsid w:val="00534416"/>
    <w:rsid w:val="0053444A"/>
    <w:rsid w:val="0053448F"/>
    <w:rsid w:val="0053449A"/>
    <w:rsid w:val="005344A7"/>
    <w:rsid w:val="00534510"/>
    <w:rsid w:val="00534523"/>
    <w:rsid w:val="00534694"/>
    <w:rsid w:val="00534695"/>
    <w:rsid w:val="005346ED"/>
    <w:rsid w:val="00534716"/>
    <w:rsid w:val="0053473C"/>
    <w:rsid w:val="0053487F"/>
    <w:rsid w:val="00534891"/>
    <w:rsid w:val="00534895"/>
    <w:rsid w:val="005348A0"/>
    <w:rsid w:val="005348B2"/>
    <w:rsid w:val="00534ACA"/>
    <w:rsid w:val="00534AD4"/>
    <w:rsid w:val="00534AE9"/>
    <w:rsid w:val="00534BA9"/>
    <w:rsid w:val="00534C55"/>
    <w:rsid w:val="00534CD4"/>
    <w:rsid w:val="00534E16"/>
    <w:rsid w:val="00534E32"/>
    <w:rsid w:val="00534E63"/>
    <w:rsid w:val="00534EAA"/>
    <w:rsid w:val="00534FEC"/>
    <w:rsid w:val="00535065"/>
    <w:rsid w:val="00535068"/>
    <w:rsid w:val="0053508A"/>
    <w:rsid w:val="005350AB"/>
    <w:rsid w:val="00535157"/>
    <w:rsid w:val="00535180"/>
    <w:rsid w:val="005352BF"/>
    <w:rsid w:val="005353BC"/>
    <w:rsid w:val="00535405"/>
    <w:rsid w:val="00535411"/>
    <w:rsid w:val="0053547E"/>
    <w:rsid w:val="005354B8"/>
    <w:rsid w:val="005354CE"/>
    <w:rsid w:val="005354E7"/>
    <w:rsid w:val="00535578"/>
    <w:rsid w:val="005355DD"/>
    <w:rsid w:val="0053560F"/>
    <w:rsid w:val="0053565A"/>
    <w:rsid w:val="00535697"/>
    <w:rsid w:val="0053569E"/>
    <w:rsid w:val="005357AD"/>
    <w:rsid w:val="0053590B"/>
    <w:rsid w:val="00535946"/>
    <w:rsid w:val="00535948"/>
    <w:rsid w:val="00535949"/>
    <w:rsid w:val="00535958"/>
    <w:rsid w:val="00535C21"/>
    <w:rsid w:val="00535D0E"/>
    <w:rsid w:val="00535D68"/>
    <w:rsid w:val="00535E87"/>
    <w:rsid w:val="00535E93"/>
    <w:rsid w:val="00535F7A"/>
    <w:rsid w:val="0053602A"/>
    <w:rsid w:val="0053603D"/>
    <w:rsid w:val="00536089"/>
    <w:rsid w:val="00536106"/>
    <w:rsid w:val="00536205"/>
    <w:rsid w:val="0053624F"/>
    <w:rsid w:val="00536269"/>
    <w:rsid w:val="0053627C"/>
    <w:rsid w:val="005362B4"/>
    <w:rsid w:val="005362FA"/>
    <w:rsid w:val="00536409"/>
    <w:rsid w:val="00536485"/>
    <w:rsid w:val="005364EB"/>
    <w:rsid w:val="005365AB"/>
    <w:rsid w:val="00536657"/>
    <w:rsid w:val="00536676"/>
    <w:rsid w:val="00536696"/>
    <w:rsid w:val="005367D6"/>
    <w:rsid w:val="005367ED"/>
    <w:rsid w:val="005368B0"/>
    <w:rsid w:val="005368CA"/>
    <w:rsid w:val="00536919"/>
    <w:rsid w:val="00536963"/>
    <w:rsid w:val="00536A2B"/>
    <w:rsid w:val="00536B62"/>
    <w:rsid w:val="00536BD4"/>
    <w:rsid w:val="00536BFD"/>
    <w:rsid w:val="00536C2A"/>
    <w:rsid w:val="00536C37"/>
    <w:rsid w:val="00536D76"/>
    <w:rsid w:val="00536DBE"/>
    <w:rsid w:val="00536E37"/>
    <w:rsid w:val="00536F1C"/>
    <w:rsid w:val="00536FE1"/>
    <w:rsid w:val="00537026"/>
    <w:rsid w:val="00537028"/>
    <w:rsid w:val="00537037"/>
    <w:rsid w:val="005370AF"/>
    <w:rsid w:val="0053742A"/>
    <w:rsid w:val="00537431"/>
    <w:rsid w:val="00537515"/>
    <w:rsid w:val="005376C2"/>
    <w:rsid w:val="005377A9"/>
    <w:rsid w:val="005377BF"/>
    <w:rsid w:val="00537818"/>
    <w:rsid w:val="005378A1"/>
    <w:rsid w:val="0053796C"/>
    <w:rsid w:val="00537A01"/>
    <w:rsid w:val="00537A7B"/>
    <w:rsid w:val="00537AD6"/>
    <w:rsid w:val="00537AF7"/>
    <w:rsid w:val="00537BE2"/>
    <w:rsid w:val="00537C85"/>
    <w:rsid w:val="00537CE6"/>
    <w:rsid w:val="00537CED"/>
    <w:rsid w:val="00537D38"/>
    <w:rsid w:val="00537E24"/>
    <w:rsid w:val="00537E2A"/>
    <w:rsid w:val="00537E8C"/>
    <w:rsid w:val="00537ECD"/>
    <w:rsid w:val="00537EF4"/>
    <w:rsid w:val="00537F23"/>
    <w:rsid w:val="0054003B"/>
    <w:rsid w:val="005400D2"/>
    <w:rsid w:val="005400DB"/>
    <w:rsid w:val="005401A2"/>
    <w:rsid w:val="00540263"/>
    <w:rsid w:val="00540291"/>
    <w:rsid w:val="005402DC"/>
    <w:rsid w:val="005403ED"/>
    <w:rsid w:val="005404F9"/>
    <w:rsid w:val="005405C9"/>
    <w:rsid w:val="005405E1"/>
    <w:rsid w:val="005407BC"/>
    <w:rsid w:val="0054089F"/>
    <w:rsid w:val="005408BE"/>
    <w:rsid w:val="005408EB"/>
    <w:rsid w:val="00540997"/>
    <w:rsid w:val="005409F6"/>
    <w:rsid w:val="00540A92"/>
    <w:rsid w:val="00540CD5"/>
    <w:rsid w:val="00540DBA"/>
    <w:rsid w:val="00540E85"/>
    <w:rsid w:val="00540F4D"/>
    <w:rsid w:val="00540F58"/>
    <w:rsid w:val="0054102F"/>
    <w:rsid w:val="00541056"/>
    <w:rsid w:val="0054119A"/>
    <w:rsid w:val="005411A9"/>
    <w:rsid w:val="0054128C"/>
    <w:rsid w:val="005412DD"/>
    <w:rsid w:val="00541379"/>
    <w:rsid w:val="00541442"/>
    <w:rsid w:val="0054150B"/>
    <w:rsid w:val="0054162C"/>
    <w:rsid w:val="005416D8"/>
    <w:rsid w:val="00541735"/>
    <w:rsid w:val="005417B4"/>
    <w:rsid w:val="0054188F"/>
    <w:rsid w:val="005419B8"/>
    <w:rsid w:val="00541AC4"/>
    <w:rsid w:val="00541AD6"/>
    <w:rsid w:val="00541B44"/>
    <w:rsid w:val="00541B98"/>
    <w:rsid w:val="00541D28"/>
    <w:rsid w:val="00541D29"/>
    <w:rsid w:val="00541D43"/>
    <w:rsid w:val="00541DEB"/>
    <w:rsid w:val="00541E74"/>
    <w:rsid w:val="00541F23"/>
    <w:rsid w:val="00541FE8"/>
    <w:rsid w:val="00542088"/>
    <w:rsid w:val="00542137"/>
    <w:rsid w:val="00542139"/>
    <w:rsid w:val="0054213A"/>
    <w:rsid w:val="0054217B"/>
    <w:rsid w:val="00542192"/>
    <w:rsid w:val="00542322"/>
    <w:rsid w:val="00542354"/>
    <w:rsid w:val="005423A4"/>
    <w:rsid w:val="005423B5"/>
    <w:rsid w:val="005423EF"/>
    <w:rsid w:val="00542445"/>
    <w:rsid w:val="005424B2"/>
    <w:rsid w:val="00542522"/>
    <w:rsid w:val="00542610"/>
    <w:rsid w:val="00542627"/>
    <w:rsid w:val="0054291A"/>
    <w:rsid w:val="00542933"/>
    <w:rsid w:val="00542A20"/>
    <w:rsid w:val="00542ADB"/>
    <w:rsid w:val="00542B1C"/>
    <w:rsid w:val="00542B75"/>
    <w:rsid w:val="00542BCC"/>
    <w:rsid w:val="00542C2D"/>
    <w:rsid w:val="00542C31"/>
    <w:rsid w:val="00542C91"/>
    <w:rsid w:val="00542CE3"/>
    <w:rsid w:val="00542CEF"/>
    <w:rsid w:val="00542D92"/>
    <w:rsid w:val="00542ECB"/>
    <w:rsid w:val="00542EE0"/>
    <w:rsid w:val="00542F1E"/>
    <w:rsid w:val="00542F22"/>
    <w:rsid w:val="00542F29"/>
    <w:rsid w:val="00542F66"/>
    <w:rsid w:val="0054300E"/>
    <w:rsid w:val="00543147"/>
    <w:rsid w:val="0054315F"/>
    <w:rsid w:val="0054330A"/>
    <w:rsid w:val="00543350"/>
    <w:rsid w:val="0054335A"/>
    <w:rsid w:val="00543449"/>
    <w:rsid w:val="00543495"/>
    <w:rsid w:val="005434A0"/>
    <w:rsid w:val="005434B1"/>
    <w:rsid w:val="005434E2"/>
    <w:rsid w:val="0054351B"/>
    <w:rsid w:val="00543554"/>
    <w:rsid w:val="0054357E"/>
    <w:rsid w:val="00543587"/>
    <w:rsid w:val="005435E6"/>
    <w:rsid w:val="005435ED"/>
    <w:rsid w:val="00543602"/>
    <w:rsid w:val="005436A6"/>
    <w:rsid w:val="00543713"/>
    <w:rsid w:val="00543743"/>
    <w:rsid w:val="0054374A"/>
    <w:rsid w:val="005437C4"/>
    <w:rsid w:val="005437F6"/>
    <w:rsid w:val="0054380C"/>
    <w:rsid w:val="00543811"/>
    <w:rsid w:val="0054389A"/>
    <w:rsid w:val="00543A3A"/>
    <w:rsid w:val="00543AF5"/>
    <w:rsid w:val="00543B26"/>
    <w:rsid w:val="00543B92"/>
    <w:rsid w:val="00543BA1"/>
    <w:rsid w:val="00543BDD"/>
    <w:rsid w:val="00543D0E"/>
    <w:rsid w:val="00543D18"/>
    <w:rsid w:val="00543D1A"/>
    <w:rsid w:val="00543D3A"/>
    <w:rsid w:val="00543DD0"/>
    <w:rsid w:val="00543DD3"/>
    <w:rsid w:val="00543DE5"/>
    <w:rsid w:val="00543E55"/>
    <w:rsid w:val="00543E6A"/>
    <w:rsid w:val="00543FEA"/>
    <w:rsid w:val="005440BA"/>
    <w:rsid w:val="00544100"/>
    <w:rsid w:val="0054412D"/>
    <w:rsid w:val="005441A6"/>
    <w:rsid w:val="005441B0"/>
    <w:rsid w:val="00544213"/>
    <w:rsid w:val="00544223"/>
    <w:rsid w:val="0054424D"/>
    <w:rsid w:val="005442D9"/>
    <w:rsid w:val="005442E8"/>
    <w:rsid w:val="00544382"/>
    <w:rsid w:val="005443B0"/>
    <w:rsid w:val="005444D4"/>
    <w:rsid w:val="005444ED"/>
    <w:rsid w:val="00544565"/>
    <w:rsid w:val="00544591"/>
    <w:rsid w:val="005445B5"/>
    <w:rsid w:val="005445E7"/>
    <w:rsid w:val="0054465A"/>
    <w:rsid w:val="005446CC"/>
    <w:rsid w:val="00544798"/>
    <w:rsid w:val="005447B9"/>
    <w:rsid w:val="005447DE"/>
    <w:rsid w:val="00544909"/>
    <w:rsid w:val="00544A7A"/>
    <w:rsid w:val="00544A90"/>
    <w:rsid w:val="00544AFB"/>
    <w:rsid w:val="00544B6D"/>
    <w:rsid w:val="00544D79"/>
    <w:rsid w:val="00544DA8"/>
    <w:rsid w:val="00544DAF"/>
    <w:rsid w:val="00544DDF"/>
    <w:rsid w:val="00544E66"/>
    <w:rsid w:val="00544EEB"/>
    <w:rsid w:val="00544F18"/>
    <w:rsid w:val="005450B0"/>
    <w:rsid w:val="005451C5"/>
    <w:rsid w:val="0054522E"/>
    <w:rsid w:val="00545292"/>
    <w:rsid w:val="005452AF"/>
    <w:rsid w:val="00545318"/>
    <w:rsid w:val="005453C3"/>
    <w:rsid w:val="00545401"/>
    <w:rsid w:val="00545465"/>
    <w:rsid w:val="005454C0"/>
    <w:rsid w:val="00545692"/>
    <w:rsid w:val="005456DE"/>
    <w:rsid w:val="00545767"/>
    <w:rsid w:val="005457A8"/>
    <w:rsid w:val="00545816"/>
    <w:rsid w:val="00545825"/>
    <w:rsid w:val="00545841"/>
    <w:rsid w:val="00545846"/>
    <w:rsid w:val="0054588A"/>
    <w:rsid w:val="005458D0"/>
    <w:rsid w:val="005458EC"/>
    <w:rsid w:val="00545920"/>
    <w:rsid w:val="005459FD"/>
    <w:rsid w:val="00545AFF"/>
    <w:rsid w:val="00545BEB"/>
    <w:rsid w:val="00545BF3"/>
    <w:rsid w:val="00545CC6"/>
    <w:rsid w:val="00545CFC"/>
    <w:rsid w:val="00545EBC"/>
    <w:rsid w:val="00546029"/>
    <w:rsid w:val="005460C7"/>
    <w:rsid w:val="00546132"/>
    <w:rsid w:val="0054615C"/>
    <w:rsid w:val="00546193"/>
    <w:rsid w:val="005462A5"/>
    <w:rsid w:val="005463B2"/>
    <w:rsid w:val="00546530"/>
    <w:rsid w:val="00546569"/>
    <w:rsid w:val="00546735"/>
    <w:rsid w:val="00546761"/>
    <w:rsid w:val="00546777"/>
    <w:rsid w:val="005467DD"/>
    <w:rsid w:val="00546877"/>
    <w:rsid w:val="0054690B"/>
    <w:rsid w:val="005469C3"/>
    <w:rsid w:val="00546A62"/>
    <w:rsid w:val="00546AFA"/>
    <w:rsid w:val="00546B8C"/>
    <w:rsid w:val="00546BB4"/>
    <w:rsid w:val="00546C9A"/>
    <w:rsid w:val="00546CA3"/>
    <w:rsid w:val="00546D04"/>
    <w:rsid w:val="00546E4C"/>
    <w:rsid w:val="00546E62"/>
    <w:rsid w:val="005470A4"/>
    <w:rsid w:val="0054719F"/>
    <w:rsid w:val="005471C8"/>
    <w:rsid w:val="0054722E"/>
    <w:rsid w:val="00547352"/>
    <w:rsid w:val="00547395"/>
    <w:rsid w:val="005473C0"/>
    <w:rsid w:val="0054740B"/>
    <w:rsid w:val="00547466"/>
    <w:rsid w:val="005474D4"/>
    <w:rsid w:val="00547507"/>
    <w:rsid w:val="0054754D"/>
    <w:rsid w:val="005475A3"/>
    <w:rsid w:val="00547623"/>
    <w:rsid w:val="00547630"/>
    <w:rsid w:val="005476AF"/>
    <w:rsid w:val="005476C0"/>
    <w:rsid w:val="005478B0"/>
    <w:rsid w:val="005478F8"/>
    <w:rsid w:val="00547939"/>
    <w:rsid w:val="00547956"/>
    <w:rsid w:val="0054797C"/>
    <w:rsid w:val="00547A15"/>
    <w:rsid w:val="00547A60"/>
    <w:rsid w:val="00547A75"/>
    <w:rsid w:val="00547AE8"/>
    <w:rsid w:val="00547B45"/>
    <w:rsid w:val="00547B55"/>
    <w:rsid w:val="00547BF4"/>
    <w:rsid w:val="00547C89"/>
    <w:rsid w:val="00547CEA"/>
    <w:rsid w:val="00547D56"/>
    <w:rsid w:val="00547DFE"/>
    <w:rsid w:val="00547E23"/>
    <w:rsid w:val="00547E5D"/>
    <w:rsid w:val="00547F1D"/>
    <w:rsid w:val="00547FD1"/>
    <w:rsid w:val="00547FE9"/>
    <w:rsid w:val="00550108"/>
    <w:rsid w:val="005501AC"/>
    <w:rsid w:val="005501E1"/>
    <w:rsid w:val="0055032C"/>
    <w:rsid w:val="0055037F"/>
    <w:rsid w:val="005503DD"/>
    <w:rsid w:val="00550419"/>
    <w:rsid w:val="00550515"/>
    <w:rsid w:val="00550577"/>
    <w:rsid w:val="005505A6"/>
    <w:rsid w:val="005507A8"/>
    <w:rsid w:val="00550866"/>
    <w:rsid w:val="0055091A"/>
    <w:rsid w:val="005509BF"/>
    <w:rsid w:val="00550A68"/>
    <w:rsid w:val="00550A69"/>
    <w:rsid w:val="00550A8D"/>
    <w:rsid w:val="00550BAE"/>
    <w:rsid w:val="00550C04"/>
    <w:rsid w:val="00550C1E"/>
    <w:rsid w:val="00550C21"/>
    <w:rsid w:val="00550C49"/>
    <w:rsid w:val="00550C8A"/>
    <w:rsid w:val="00550DBE"/>
    <w:rsid w:val="00550DE6"/>
    <w:rsid w:val="00550DFD"/>
    <w:rsid w:val="00550EBB"/>
    <w:rsid w:val="00550ECF"/>
    <w:rsid w:val="00550F12"/>
    <w:rsid w:val="00550F48"/>
    <w:rsid w:val="00551141"/>
    <w:rsid w:val="0055123E"/>
    <w:rsid w:val="00551264"/>
    <w:rsid w:val="00551454"/>
    <w:rsid w:val="00551468"/>
    <w:rsid w:val="00551477"/>
    <w:rsid w:val="00551485"/>
    <w:rsid w:val="00551529"/>
    <w:rsid w:val="00551582"/>
    <w:rsid w:val="0055165F"/>
    <w:rsid w:val="00551756"/>
    <w:rsid w:val="0055180E"/>
    <w:rsid w:val="0055186F"/>
    <w:rsid w:val="00551888"/>
    <w:rsid w:val="00551955"/>
    <w:rsid w:val="00551A67"/>
    <w:rsid w:val="00551A6A"/>
    <w:rsid w:val="00551B09"/>
    <w:rsid w:val="00551B4B"/>
    <w:rsid w:val="00551B8D"/>
    <w:rsid w:val="00551C51"/>
    <w:rsid w:val="00551CCD"/>
    <w:rsid w:val="00551E38"/>
    <w:rsid w:val="00551EC6"/>
    <w:rsid w:val="00551F27"/>
    <w:rsid w:val="00551F4B"/>
    <w:rsid w:val="00551FB5"/>
    <w:rsid w:val="0055208C"/>
    <w:rsid w:val="005520D9"/>
    <w:rsid w:val="005521C6"/>
    <w:rsid w:val="0055220D"/>
    <w:rsid w:val="00552342"/>
    <w:rsid w:val="00552378"/>
    <w:rsid w:val="005524BE"/>
    <w:rsid w:val="005524EA"/>
    <w:rsid w:val="00552513"/>
    <w:rsid w:val="0055255B"/>
    <w:rsid w:val="005526EE"/>
    <w:rsid w:val="00552797"/>
    <w:rsid w:val="00552875"/>
    <w:rsid w:val="005528CA"/>
    <w:rsid w:val="00552AA9"/>
    <w:rsid w:val="00552B19"/>
    <w:rsid w:val="00552B97"/>
    <w:rsid w:val="00552CB6"/>
    <w:rsid w:val="00552CB9"/>
    <w:rsid w:val="00552CF5"/>
    <w:rsid w:val="00552D4A"/>
    <w:rsid w:val="00552D4D"/>
    <w:rsid w:val="00552D5D"/>
    <w:rsid w:val="00552D5E"/>
    <w:rsid w:val="00552D8C"/>
    <w:rsid w:val="00552D90"/>
    <w:rsid w:val="00552DA4"/>
    <w:rsid w:val="00552E47"/>
    <w:rsid w:val="00552EDE"/>
    <w:rsid w:val="00552EEC"/>
    <w:rsid w:val="00552F58"/>
    <w:rsid w:val="005530D5"/>
    <w:rsid w:val="00553156"/>
    <w:rsid w:val="005532A7"/>
    <w:rsid w:val="00553309"/>
    <w:rsid w:val="00553369"/>
    <w:rsid w:val="0055337E"/>
    <w:rsid w:val="005533AF"/>
    <w:rsid w:val="005534E9"/>
    <w:rsid w:val="0055358B"/>
    <w:rsid w:val="005536C0"/>
    <w:rsid w:val="005536D7"/>
    <w:rsid w:val="00553828"/>
    <w:rsid w:val="00553C3A"/>
    <w:rsid w:val="00553D01"/>
    <w:rsid w:val="00553D37"/>
    <w:rsid w:val="00553D9E"/>
    <w:rsid w:val="00553DB9"/>
    <w:rsid w:val="00553DFE"/>
    <w:rsid w:val="00553E1F"/>
    <w:rsid w:val="00553F5A"/>
    <w:rsid w:val="00553FE8"/>
    <w:rsid w:val="00554056"/>
    <w:rsid w:val="005540C4"/>
    <w:rsid w:val="005540E1"/>
    <w:rsid w:val="005541CD"/>
    <w:rsid w:val="00554239"/>
    <w:rsid w:val="005543C8"/>
    <w:rsid w:val="005544D3"/>
    <w:rsid w:val="005546D3"/>
    <w:rsid w:val="0055475A"/>
    <w:rsid w:val="00554891"/>
    <w:rsid w:val="005548F7"/>
    <w:rsid w:val="00554980"/>
    <w:rsid w:val="005549B7"/>
    <w:rsid w:val="00554A00"/>
    <w:rsid w:val="00554BEA"/>
    <w:rsid w:val="00554C75"/>
    <w:rsid w:val="00554CD0"/>
    <w:rsid w:val="00554E89"/>
    <w:rsid w:val="00555000"/>
    <w:rsid w:val="0055510C"/>
    <w:rsid w:val="0055511E"/>
    <w:rsid w:val="005551E3"/>
    <w:rsid w:val="00555325"/>
    <w:rsid w:val="00555403"/>
    <w:rsid w:val="00555488"/>
    <w:rsid w:val="005556E7"/>
    <w:rsid w:val="00555729"/>
    <w:rsid w:val="00555736"/>
    <w:rsid w:val="005557B4"/>
    <w:rsid w:val="005557CA"/>
    <w:rsid w:val="00555855"/>
    <w:rsid w:val="00555917"/>
    <w:rsid w:val="00555969"/>
    <w:rsid w:val="005559ED"/>
    <w:rsid w:val="00555B01"/>
    <w:rsid w:val="00555B07"/>
    <w:rsid w:val="00555B24"/>
    <w:rsid w:val="00555C0B"/>
    <w:rsid w:val="00555E13"/>
    <w:rsid w:val="00555E74"/>
    <w:rsid w:val="00555EC1"/>
    <w:rsid w:val="00555F0D"/>
    <w:rsid w:val="005562E8"/>
    <w:rsid w:val="0055634A"/>
    <w:rsid w:val="00556497"/>
    <w:rsid w:val="005564DB"/>
    <w:rsid w:val="005566C1"/>
    <w:rsid w:val="005566DA"/>
    <w:rsid w:val="00556822"/>
    <w:rsid w:val="00556848"/>
    <w:rsid w:val="005569DD"/>
    <w:rsid w:val="00556A5C"/>
    <w:rsid w:val="00556D47"/>
    <w:rsid w:val="00556D89"/>
    <w:rsid w:val="00556DEF"/>
    <w:rsid w:val="00556EE8"/>
    <w:rsid w:val="00556FD6"/>
    <w:rsid w:val="00556FE2"/>
    <w:rsid w:val="00557031"/>
    <w:rsid w:val="005570D9"/>
    <w:rsid w:val="005570F5"/>
    <w:rsid w:val="005571A9"/>
    <w:rsid w:val="00557207"/>
    <w:rsid w:val="00557219"/>
    <w:rsid w:val="005572A8"/>
    <w:rsid w:val="005572EA"/>
    <w:rsid w:val="0055735D"/>
    <w:rsid w:val="005573BA"/>
    <w:rsid w:val="005573D3"/>
    <w:rsid w:val="0055748D"/>
    <w:rsid w:val="005574EA"/>
    <w:rsid w:val="00557555"/>
    <w:rsid w:val="00557598"/>
    <w:rsid w:val="005576ED"/>
    <w:rsid w:val="0055777D"/>
    <w:rsid w:val="00557826"/>
    <w:rsid w:val="00557885"/>
    <w:rsid w:val="00557927"/>
    <w:rsid w:val="00557983"/>
    <w:rsid w:val="00557A04"/>
    <w:rsid w:val="00557B15"/>
    <w:rsid w:val="00557B51"/>
    <w:rsid w:val="00557B8F"/>
    <w:rsid w:val="00557BBC"/>
    <w:rsid w:val="00557D91"/>
    <w:rsid w:val="00557DA3"/>
    <w:rsid w:val="00557E0A"/>
    <w:rsid w:val="00557E5F"/>
    <w:rsid w:val="00557E76"/>
    <w:rsid w:val="00557E7D"/>
    <w:rsid w:val="00557EA5"/>
    <w:rsid w:val="00557ECA"/>
    <w:rsid w:val="00557F2B"/>
    <w:rsid w:val="00557F5E"/>
    <w:rsid w:val="00560071"/>
    <w:rsid w:val="005600CE"/>
    <w:rsid w:val="0056016D"/>
    <w:rsid w:val="005602F5"/>
    <w:rsid w:val="00560351"/>
    <w:rsid w:val="005604C0"/>
    <w:rsid w:val="005604EA"/>
    <w:rsid w:val="00560554"/>
    <w:rsid w:val="00560592"/>
    <w:rsid w:val="005605FE"/>
    <w:rsid w:val="00560667"/>
    <w:rsid w:val="005606A8"/>
    <w:rsid w:val="00560759"/>
    <w:rsid w:val="00560790"/>
    <w:rsid w:val="005607BC"/>
    <w:rsid w:val="005607C2"/>
    <w:rsid w:val="00560837"/>
    <w:rsid w:val="00560886"/>
    <w:rsid w:val="005608F1"/>
    <w:rsid w:val="00560900"/>
    <w:rsid w:val="00560943"/>
    <w:rsid w:val="00560949"/>
    <w:rsid w:val="00560AFF"/>
    <w:rsid w:val="00560C21"/>
    <w:rsid w:val="00560C99"/>
    <w:rsid w:val="00560CBD"/>
    <w:rsid w:val="00560CF3"/>
    <w:rsid w:val="00560DB1"/>
    <w:rsid w:val="00560DC6"/>
    <w:rsid w:val="00560E66"/>
    <w:rsid w:val="00560EB8"/>
    <w:rsid w:val="00560F13"/>
    <w:rsid w:val="005610C5"/>
    <w:rsid w:val="00561135"/>
    <w:rsid w:val="0056119D"/>
    <w:rsid w:val="005611BB"/>
    <w:rsid w:val="005611E3"/>
    <w:rsid w:val="00561259"/>
    <w:rsid w:val="0056127A"/>
    <w:rsid w:val="00561355"/>
    <w:rsid w:val="00561451"/>
    <w:rsid w:val="00561497"/>
    <w:rsid w:val="0056161A"/>
    <w:rsid w:val="0056173E"/>
    <w:rsid w:val="00561754"/>
    <w:rsid w:val="005617F8"/>
    <w:rsid w:val="00561940"/>
    <w:rsid w:val="00561AD9"/>
    <w:rsid w:val="00561BA3"/>
    <w:rsid w:val="00561C10"/>
    <w:rsid w:val="00561C3D"/>
    <w:rsid w:val="00561C83"/>
    <w:rsid w:val="00561D94"/>
    <w:rsid w:val="00561E5A"/>
    <w:rsid w:val="00561ED0"/>
    <w:rsid w:val="0056200A"/>
    <w:rsid w:val="00562061"/>
    <w:rsid w:val="005620F6"/>
    <w:rsid w:val="00562155"/>
    <w:rsid w:val="005621E5"/>
    <w:rsid w:val="005622CD"/>
    <w:rsid w:val="005623BE"/>
    <w:rsid w:val="005623C8"/>
    <w:rsid w:val="005624A7"/>
    <w:rsid w:val="005624D9"/>
    <w:rsid w:val="00562503"/>
    <w:rsid w:val="00562632"/>
    <w:rsid w:val="00562671"/>
    <w:rsid w:val="005627BE"/>
    <w:rsid w:val="005628C3"/>
    <w:rsid w:val="00562944"/>
    <w:rsid w:val="005629A2"/>
    <w:rsid w:val="005629C6"/>
    <w:rsid w:val="005629FF"/>
    <w:rsid w:val="00562A53"/>
    <w:rsid w:val="00562A93"/>
    <w:rsid w:val="00562AB8"/>
    <w:rsid w:val="00562AC4"/>
    <w:rsid w:val="00562AD0"/>
    <w:rsid w:val="00562B09"/>
    <w:rsid w:val="00562C55"/>
    <w:rsid w:val="00562C5C"/>
    <w:rsid w:val="00562D44"/>
    <w:rsid w:val="00562D4D"/>
    <w:rsid w:val="00562D85"/>
    <w:rsid w:val="00562E12"/>
    <w:rsid w:val="00562E57"/>
    <w:rsid w:val="00562E83"/>
    <w:rsid w:val="00562E94"/>
    <w:rsid w:val="00562F17"/>
    <w:rsid w:val="00562F86"/>
    <w:rsid w:val="00563190"/>
    <w:rsid w:val="00563219"/>
    <w:rsid w:val="00563337"/>
    <w:rsid w:val="005633EE"/>
    <w:rsid w:val="00563508"/>
    <w:rsid w:val="0056350B"/>
    <w:rsid w:val="005635B9"/>
    <w:rsid w:val="00563663"/>
    <w:rsid w:val="005636F8"/>
    <w:rsid w:val="0056374F"/>
    <w:rsid w:val="0056383E"/>
    <w:rsid w:val="0056388C"/>
    <w:rsid w:val="00563984"/>
    <w:rsid w:val="005639BD"/>
    <w:rsid w:val="00563B54"/>
    <w:rsid w:val="00563B66"/>
    <w:rsid w:val="00563B90"/>
    <w:rsid w:val="00563BAA"/>
    <w:rsid w:val="00563BCB"/>
    <w:rsid w:val="00563BED"/>
    <w:rsid w:val="00563CD1"/>
    <w:rsid w:val="00563D0F"/>
    <w:rsid w:val="00563D83"/>
    <w:rsid w:val="00563D9D"/>
    <w:rsid w:val="00563DA7"/>
    <w:rsid w:val="00563E24"/>
    <w:rsid w:val="00563E6D"/>
    <w:rsid w:val="00563E80"/>
    <w:rsid w:val="00563F9A"/>
    <w:rsid w:val="0056402A"/>
    <w:rsid w:val="00564079"/>
    <w:rsid w:val="005640BC"/>
    <w:rsid w:val="00564121"/>
    <w:rsid w:val="005641A2"/>
    <w:rsid w:val="005642B4"/>
    <w:rsid w:val="0056440D"/>
    <w:rsid w:val="00564512"/>
    <w:rsid w:val="005645D1"/>
    <w:rsid w:val="0056466D"/>
    <w:rsid w:val="005646A5"/>
    <w:rsid w:val="005646D5"/>
    <w:rsid w:val="00564701"/>
    <w:rsid w:val="00564708"/>
    <w:rsid w:val="00564719"/>
    <w:rsid w:val="0056471E"/>
    <w:rsid w:val="00564760"/>
    <w:rsid w:val="00564793"/>
    <w:rsid w:val="00564905"/>
    <w:rsid w:val="0056493E"/>
    <w:rsid w:val="0056495E"/>
    <w:rsid w:val="00564AAD"/>
    <w:rsid w:val="00564B07"/>
    <w:rsid w:val="00564B31"/>
    <w:rsid w:val="00564B92"/>
    <w:rsid w:val="00564C56"/>
    <w:rsid w:val="00564C8B"/>
    <w:rsid w:val="00564D92"/>
    <w:rsid w:val="00564DD3"/>
    <w:rsid w:val="00564DF6"/>
    <w:rsid w:val="00564EE0"/>
    <w:rsid w:val="00564FBF"/>
    <w:rsid w:val="00565074"/>
    <w:rsid w:val="005651A3"/>
    <w:rsid w:val="005651BF"/>
    <w:rsid w:val="005652E2"/>
    <w:rsid w:val="005653B0"/>
    <w:rsid w:val="005653D4"/>
    <w:rsid w:val="005653F1"/>
    <w:rsid w:val="00565456"/>
    <w:rsid w:val="005654F8"/>
    <w:rsid w:val="00565660"/>
    <w:rsid w:val="005656B0"/>
    <w:rsid w:val="005656C7"/>
    <w:rsid w:val="005656EA"/>
    <w:rsid w:val="0056578D"/>
    <w:rsid w:val="005657B4"/>
    <w:rsid w:val="0056582C"/>
    <w:rsid w:val="005658B4"/>
    <w:rsid w:val="005658FB"/>
    <w:rsid w:val="005659E1"/>
    <w:rsid w:val="00565B8F"/>
    <w:rsid w:val="00565C03"/>
    <w:rsid w:val="00565C4E"/>
    <w:rsid w:val="00565C91"/>
    <w:rsid w:val="00565C92"/>
    <w:rsid w:val="00565CC4"/>
    <w:rsid w:val="00565DD0"/>
    <w:rsid w:val="00565DE6"/>
    <w:rsid w:val="00565EF3"/>
    <w:rsid w:val="00565FC8"/>
    <w:rsid w:val="00566041"/>
    <w:rsid w:val="00566075"/>
    <w:rsid w:val="00566078"/>
    <w:rsid w:val="00566087"/>
    <w:rsid w:val="005660E0"/>
    <w:rsid w:val="005660EE"/>
    <w:rsid w:val="005660FA"/>
    <w:rsid w:val="0056613C"/>
    <w:rsid w:val="00566218"/>
    <w:rsid w:val="005662EE"/>
    <w:rsid w:val="00566474"/>
    <w:rsid w:val="005665FB"/>
    <w:rsid w:val="00566627"/>
    <w:rsid w:val="00566631"/>
    <w:rsid w:val="00566641"/>
    <w:rsid w:val="005666A6"/>
    <w:rsid w:val="005666BB"/>
    <w:rsid w:val="00566705"/>
    <w:rsid w:val="005667F3"/>
    <w:rsid w:val="0056683A"/>
    <w:rsid w:val="00566864"/>
    <w:rsid w:val="00566882"/>
    <w:rsid w:val="005669B4"/>
    <w:rsid w:val="005669D2"/>
    <w:rsid w:val="00566AB9"/>
    <w:rsid w:val="00566C17"/>
    <w:rsid w:val="00566CA7"/>
    <w:rsid w:val="00566E3E"/>
    <w:rsid w:val="00566E52"/>
    <w:rsid w:val="00567151"/>
    <w:rsid w:val="00567170"/>
    <w:rsid w:val="005671D4"/>
    <w:rsid w:val="005671E6"/>
    <w:rsid w:val="005671F2"/>
    <w:rsid w:val="00567204"/>
    <w:rsid w:val="00567232"/>
    <w:rsid w:val="00567271"/>
    <w:rsid w:val="00567274"/>
    <w:rsid w:val="0056730A"/>
    <w:rsid w:val="005673FE"/>
    <w:rsid w:val="00567475"/>
    <w:rsid w:val="005674E2"/>
    <w:rsid w:val="00567537"/>
    <w:rsid w:val="0056753E"/>
    <w:rsid w:val="0056759B"/>
    <w:rsid w:val="005675D1"/>
    <w:rsid w:val="005675D9"/>
    <w:rsid w:val="005675E9"/>
    <w:rsid w:val="00567707"/>
    <w:rsid w:val="0056771D"/>
    <w:rsid w:val="00567724"/>
    <w:rsid w:val="00567768"/>
    <w:rsid w:val="005677F9"/>
    <w:rsid w:val="0056785D"/>
    <w:rsid w:val="00567A7C"/>
    <w:rsid w:val="00567D43"/>
    <w:rsid w:val="00567F01"/>
    <w:rsid w:val="00567FAD"/>
    <w:rsid w:val="00567FF8"/>
    <w:rsid w:val="00570062"/>
    <w:rsid w:val="0057007F"/>
    <w:rsid w:val="005701BC"/>
    <w:rsid w:val="00570216"/>
    <w:rsid w:val="00570232"/>
    <w:rsid w:val="005702C2"/>
    <w:rsid w:val="00570352"/>
    <w:rsid w:val="005703E2"/>
    <w:rsid w:val="00570400"/>
    <w:rsid w:val="00570473"/>
    <w:rsid w:val="00570771"/>
    <w:rsid w:val="0057086C"/>
    <w:rsid w:val="0057095C"/>
    <w:rsid w:val="005709EA"/>
    <w:rsid w:val="00570AA1"/>
    <w:rsid w:val="00570B2D"/>
    <w:rsid w:val="00570BFA"/>
    <w:rsid w:val="00570C49"/>
    <w:rsid w:val="00570C4C"/>
    <w:rsid w:val="00570C52"/>
    <w:rsid w:val="00570D6E"/>
    <w:rsid w:val="00570E13"/>
    <w:rsid w:val="00570E79"/>
    <w:rsid w:val="00570EB1"/>
    <w:rsid w:val="00570EDF"/>
    <w:rsid w:val="00570FA2"/>
    <w:rsid w:val="00570FBC"/>
    <w:rsid w:val="00570FEC"/>
    <w:rsid w:val="0057101D"/>
    <w:rsid w:val="005710FD"/>
    <w:rsid w:val="0057121A"/>
    <w:rsid w:val="00571292"/>
    <w:rsid w:val="005713D1"/>
    <w:rsid w:val="005714AD"/>
    <w:rsid w:val="005715BB"/>
    <w:rsid w:val="005715C2"/>
    <w:rsid w:val="005715C6"/>
    <w:rsid w:val="00571774"/>
    <w:rsid w:val="005717BA"/>
    <w:rsid w:val="005717BB"/>
    <w:rsid w:val="005717C1"/>
    <w:rsid w:val="00571811"/>
    <w:rsid w:val="00571814"/>
    <w:rsid w:val="00571837"/>
    <w:rsid w:val="0057184C"/>
    <w:rsid w:val="00571887"/>
    <w:rsid w:val="0057196E"/>
    <w:rsid w:val="005719C4"/>
    <w:rsid w:val="005719CA"/>
    <w:rsid w:val="00571B3E"/>
    <w:rsid w:val="00571C30"/>
    <w:rsid w:val="00571CBA"/>
    <w:rsid w:val="00571CF2"/>
    <w:rsid w:val="00571D07"/>
    <w:rsid w:val="00571D0D"/>
    <w:rsid w:val="00571D20"/>
    <w:rsid w:val="00571EC1"/>
    <w:rsid w:val="00571F25"/>
    <w:rsid w:val="00571F52"/>
    <w:rsid w:val="00572048"/>
    <w:rsid w:val="0057204E"/>
    <w:rsid w:val="005720FC"/>
    <w:rsid w:val="0057212D"/>
    <w:rsid w:val="00572145"/>
    <w:rsid w:val="005721FF"/>
    <w:rsid w:val="00572266"/>
    <w:rsid w:val="00572273"/>
    <w:rsid w:val="005722AC"/>
    <w:rsid w:val="005722B3"/>
    <w:rsid w:val="005722B6"/>
    <w:rsid w:val="0057236B"/>
    <w:rsid w:val="0057249E"/>
    <w:rsid w:val="005724B4"/>
    <w:rsid w:val="00572664"/>
    <w:rsid w:val="00572684"/>
    <w:rsid w:val="005726DF"/>
    <w:rsid w:val="005726FE"/>
    <w:rsid w:val="0057272B"/>
    <w:rsid w:val="0057272D"/>
    <w:rsid w:val="0057274B"/>
    <w:rsid w:val="005727AB"/>
    <w:rsid w:val="005727FA"/>
    <w:rsid w:val="0057289F"/>
    <w:rsid w:val="005728BC"/>
    <w:rsid w:val="005729E5"/>
    <w:rsid w:val="00572A18"/>
    <w:rsid w:val="00572A95"/>
    <w:rsid w:val="00572B04"/>
    <w:rsid w:val="00572B86"/>
    <w:rsid w:val="00572BF8"/>
    <w:rsid w:val="00572C24"/>
    <w:rsid w:val="00572C3D"/>
    <w:rsid w:val="00572CB7"/>
    <w:rsid w:val="00572D69"/>
    <w:rsid w:val="00572D70"/>
    <w:rsid w:val="00572D9F"/>
    <w:rsid w:val="00572F0D"/>
    <w:rsid w:val="00572F21"/>
    <w:rsid w:val="00572F45"/>
    <w:rsid w:val="00573029"/>
    <w:rsid w:val="005731A0"/>
    <w:rsid w:val="005731F1"/>
    <w:rsid w:val="0057320B"/>
    <w:rsid w:val="005732A5"/>
    <w:rsid w:val="005732F5"/>
    <w:rsid w:val="005732F9"/>
    <w:rsid w:val="0057330A"/>
    <w:rsid w:val="0057332C"/>
    <w:rsid w:val="00573369"/>
    <w:rsid w:val="00573380"/>
    <w:rsid w:val="0057339B"/>
    <w:rsid w:val="005733E9"/>
    <w:rsid w:val="00573511"/>
    <w:rsid w:val="0057354F"/>
    <w:rsid w:val="00573605"/>
    <w:rsid w:val="0057367B"/>
    <w:rsid w:val="005737EB"/>
    <w:rsid w:val="0057381C"/>
    <w:rsid w:val="00573848"/>
    <w:rsid w:val="005739DB"/>
    <w:rsid w:val="00573A81"/>
    <w:rsid w:val="00573AAD"/>
    <w:rsid w:val="00573B1E"/>
    <w:rsid w:val="00573BB9"/>
    <w:rsid w:val="00573C23"/>
    <w:rsid w:val="00573C9E"/>
    <w:rsid w:val="00573E5B"/>
    <w:rsid w:val="00573F05"/>
    <w:rsid w:val="00573F6B"/>
    <w:rsid w:val="00573FED"/>
    <w:rsid w:val="00573FFC"/>
    <w:rsid w:val="0057404C"/>
    <w:rsid w:val="00574064"/>
    <w:rsid w:val="005740EB"/>
    <w:rsid w:val="005741CB"/>
    <w:rsid w:val="00574245"/>
    <w:rsid w:val="005742E0"/>
    <w:rsid w:val="00574304"/>
    <w:rsid w:val="00574312"/>
    <w:rsid w:val="0057433D"/>
    <w:rsid w:val="0057445F"/>
    <w:rsid w:val="0057449A"/>
    <w:rsid w:val="0057457D"/>
    <w:rsid w:val="005745CA"/>
    <w:rsid w:val="00574827"/>
    <w:rsid w:val="00574864"/>
    <w:rsid w:val="00574873"/>
    <w:rsid w:val="00574927"/>
    <w:rsid w:val="00574AA9"/>
    <w:rsid w:val="00574CF8"/>
    <w:rsid w:val="00574F3F"/>
    <w:rsid w:val="00574F66"/>
    <w:rsid w:val="00575056"/>
    <w:rsid w:val="00575179"/>
    <w:rsid w:val="00575209"/>
    <w:rsid w:val="00575286"/>
    <w:rsid w:val="005752B0"/>
    <w:rsid w:val="005752BA"/>
    <w:rsid w:val="005754F0"/>
    <w:rsid w:val="00575509"/>
    <w:rsid w:val="00575523"/>
    <w:rsid w:val="005757D7"/>
    <w:rsid w:val="00575876"/>
    <w:rsid w:val="005758B5"/>
    <w:rsid w:val="005758D5"/>
    <w:rsid w:val="00575956"/>
    <w:rsid w:val="00575AC3"/>
    <w:rsid w:val="00575C15"/>
    <w:rsid w:val="00575CDF"/>
    <w:rsid w:val="00575D0C"/>
    <w:rsid w:val="00575D90"/>
    <w:rsid w:val="00575E40"/>
    <w:rsid w:val="00575EF1"/>
    <w:rsid w:val="00575F3A"/>
    <w:rsid w:val="00575F49"/>
    <w:rsid w:val="00575FBF"/>
    <w:rsid w:val="00575FD4"/>
    <w:rsid w:val="0057601E"/>
    <w:rsid w:val="0057603D"/>
    <w:rsid w:val="00576086"/>
    <w:rsid w:val="0057609C"/>
    <w:rsid w:val="005760D2"/>
    <w:rsid w:val="005760F4"/>
    <w:rsid w:val="0057617E"/>
    <w:rsid w:val="005762AC"/>
    <w:rsid w:val="005762C5"/>
    <w:rsid w:val="005762CE"/>
    <w:rsid w:val="00576446"/>
    <w:rsid w:val="005764B0"/>
    <w:rsid w:val="005764ED"/>
    <w:rsid w:val="00576575"/>
    <w:rsid w:val="0057658F"/>
    <w:rsid w:val="0057663F"/>
    <w:rsid w:val="00576736"/>
    <w:rsid w:val="0057688D"/>
    <w:rsid w:val="005768E8"/>
    <w:rsid w:val="0057693B"/>
    <w:rsid w:val="00576955"/>
    <w:rsid w:val="00576BA0"/>
    <w:rsid w:val="00576BB3"/>
    <w:rsid w:val="00576BEB"/>
    <w:rsid w:val="00576DE4"/>
    <w:rsid w:val="00576E98"/>
    <w:rsid w:val="00576F07"/>
    <w:rsid w:val="00576F0D"/>
    <w:rsid w:val="0057702C"/>
    <w:rsid w:val="00577113"/>
    <w:rsid w:val="005771B3"/>
    <w:rsid w:val="005771F6"/>
    <w:rsid w:val="00577277"/>
    <w:rsid w:val="005773E8"/>
    <w:rsid w:val="00577436"/>
    <w:rsid w:val="005774EE"/>
    <w:rsid w:val="005775B2"/>
    <w:rsid w:val="00577616"/>
    <w:rsid w:val="005777B0"/>
    <w:rsid w:val="005778CB"/>
    <w:rsid w:val="005778E7"/>
    <w:rsid w:val="005779BC"/>
    <w:rsid w:val="00577A17"/>
    <w:rsid w:val="00577B96"/>
    <w:rsid w:val="00577BC2"/>
    <w:rsid w:val="00577C29"/>
    <w:rsid w:val="00577E84"/>
    <w:rsid w:val="00577F70"/>
    <w:rsid w:val="00577FEE"/>
    <w:rsid w:val="005800FB"/>
    <w:rsid w:val="00580120"/>
    <w:rsid w:val="00580223"/>
    <w:rsid w:val="00580293"/>
    <w:rsid w:val="005802F9"/>
    <w:rsid w:val="00580365"/>
    <w:rsid w:val="005803B9"/>
    <w:rsid w:val="0058040F"/>
    <w:rsid w:val="00580528"/>
    <w:rsid w:val="00580575"/>
    <w:rsid w:val="005806DF"/>
    <w:rsid w:val="0058073A"/>
    <w:rsid w:val="00580811"/>
    <w:rsid w:val="00580817"/>
    <w:rsid w:val="0058088A"/>
    <w:rsid w:val="005808CB"/>
    <w:rsid w:val="0058091E"/>
    <w:rsid w:val="00580944"/>
    <w:rsid w:val="0058096B"/>
    <w:rsid w:val="005809BF"/>
    <w:rsid w:val="00580A49"/>
    <w:rsid w:val="00580B6C"/>
    <w:rsid w:val="00580B6D"/>
    <w:rsid w:val="00580CAC"/>
    <w:rsid w:val="00580D27"/>
    <w:rsid w:val="00580D78"/>
    <w:rsid w:val="00580D8D"/>
    <w:rsid w:val="00580DD1"/>
    <w:rsid w:val="00580DFA"/>
    <w:rsid w:val="00580E27"/>
    <w:rsid w:val="00580ED0"/>
    <w:rsid w:val="00580FAD"/>
    <w:rsid w:val="00581014"/>
    <w:rsid w:val="00581025"/>
    <w:rsid w:val="0058105A"/>
    <w:rsid w:val="00581120"/>
    <w:rsid w:val="0058113F"/>
    <w:rsid w:val="00581281"/>
    <w:rsid w:val="00581285"/>
    <w:rsid w:val="005812AB"/>
    <w:rsid w:val="005812D1"/>
    <w:rsid w:val="005812E2"/>
    <w:rsid w:val="00581357"/>
    <w:rsid w:val="005813E4"/>
    <w:rsid w:val="005813E8"/>
    <w:rsid w:val="00581409"/>
    <w:rsid w:val="0058141C"/>
    <w:rsid w:val="00581449"/>
    <w:rsid w:val="00581469"/>
    <w:rsid w:val="00581529"/>
    <w:rsid w:val="00581530"/>
    <w:rsid w:val="00581581"/>
    <w:rsid w:val="0058162F"/>
    <w:rsid w:val="005818BD"/>
    <w:rsid w:val="0058195B"/>
    <w:rsid w:val="0058198A"/>
    <w:rsid w:val="005819D8"/>
    <w:rsid w:val="00581A95"/>
    <w:rsid w:val="00581B51"/>
    <w:rsid w:val="00581B68"/>
    <w:rsid w:val="00581B75"/>
    <w:rsid w:val="00581C2B"/>
    <w:rsid w:val="00581C90"/>
    <w:rsid w:val="00581CE4"/>
    <w:rsid w:val="00581CF6"/>
    <w:rsid w:val="00581FDD"/>
    <w:rsid w:val="0058210C"/>
    <w:rsid w:val="00582120"/>
    <w:rsid w:val="0058212C"/>
    <w:rsid w:val="005821D5"/>
    <w:rsid w:val="005821E6"/>
    <w:rsid w:val="005823DD"/>
    <w:rsid w:val="00582417"/>
    <w:rsid w:val="005826FB"/>
    <w:rsid w:val="0058274A"/>
    <w:rsid w:val="005827C3"/>
    <w:rsid w:val="005827CE"/>
    <w:rsid w:val="005827F8"/>
    <w:rsid w:val="00582A61"/>
    <w:rsid w:val="00582A7C"/>
    <w:rsid w:val="00582BE5"/>
    <w:rsid w:val="00582C3F"/>
    <w:rsid w:val="00582C65"/>
    <w:rsid w:val="00582C97"/>
    <w:rsid w:val="00582CD8"/>
    <w:rsid w:val="00582DBE"/>
    <w:rsid w:val="00582DDA"/>
    <w:rsid w:val="00582E35"/>
    <w:rsid w:val="00582E9C"/>
    <w:rsid w:val="00582EBC"/>
    <w:rsid w:val="00582F1C"/>
    <w:rsid w:val="00582F3C"/>
    <w:rsid w:val="00582F51"/>
    <w:rsid w:val="0058301D"/>
    <w:rsid w:val="00583040"/>
    <w:rsid w:val="005831B8"/>
    <w:rsid w:val="005831C2"/>
    <w:rsid w:val="005831E8"/>
    <w:rsid w:val="00583210"/>
    <w:rsid w:val="00583216"/>
    <w:rsid w:val="00583323"/>
    <w:rsid w:val="00583343"/>
    <w:rsid w:val="0058339B"/>
    <w:rsid w:val="005833A9"/>
    <w:rsid w:val="005835B5"/>
    <w:rsid w:val="00583691"/>
    <w:rsid w:val="005836D5"/>
    <w:rsid w:val="00583719"/>
    <w:rsid w:val="0058373A"/>
    <w:rsid w:val="00583790"/>
    <w:rsid w:val="00583946"/>
    <w:rsid w:val="00583969"/>
    <w:rsid w:val="00583975"/>
    <w:rsid w:val="0058399D"/>
    <w:rsid w:val="00583A13"/>
    <w:rsid w:val="00583A27"/>
    <w:rsid w:val="00583A64"/>
    <w:rsid w:val="00583A94"/>
    <w:rsid w:val="00583B48"/>
    <w:rsid w:val="00583B8A"/>
    <w:rsid w:val="00583CE5"/>
    <w:rsid w:val="00583E1E"/>
    <w:rsid w:val="00583E4C"/>
    <w:rsid w:val="00583E6E"/>
    <w:rsid w:val="0058406A"/>
    <w:rsid w:val="005840FB"/>
    <w:rsid w:val="005841FC"/>
    <w:rsid w:val="0058424D"/>
    <w:rsid w:val="005842A9"/>
    <w:rsid w:val="005842AA"/>
    <w:rsid w:val="005842BD"/>
    <w:rsid w:val="005842C3"/>
    <w:rsid w:val="005843A5"/>
    <w:rsid w:val="00584474"/>
    <w:rsid w:val="005844D1"/>
    <w:rsid w:val="00584515"/>
    <w:rsid w:val="005845EA"/>
    <w:rsid w:val="005847F7"/>
    <w:rsid w:val="005848F5"/>
    <w:rsid w:val="00584B4E"/>
    <w:rsid w:val="00584BEC"/>
    <w:rsid w:val="00584BFB"/>
    <w:rsid w:val="00584BFD"/>
    <w:rsid w:val="00584CC2"/>
    <w:rsid w:val="00584CEC"/>
    <w:rsid w:val="00584D10"/>
    <w:rsid w:val="00584D6E"/>
    <w:rsid w:val="00584E20"/>
    <w:rsid w:val="00584FDD"/>
    <w:rsid w:val="00585136"/>
    <w:rsid w:val="00585210"/>
    <w:rsid w:val="0058523F"/>
    <w:rsid w:val="00585289"/>
    <w:rsid w:val="005852A5"/>
    <w:rsid w:val="00585334"/>
    <w:rsid w:val="0058534A"/>
    <w:rsid w:val="005854CE"/>
    <w:rsid w:val="0058550A"/>
    <w:rsid w:val="00585632"/>
    <w:rsid w:val="0058563B"/>
    <w:rsid w:val="00585766"/>
    <w:rsid w:val="005857A4"/>
    <w:rsid w:val="005857FF"/>
    <w:rsid w:val="00585877"/>
    <w:rsid w:val="005858F6"/>
    <w:rsid w:val="0058599F"/>
    <w:rsid w:val="005859FA"/>
    <w:rsid w:val="00585A1E"/>
    <w:rsid w:val="00585ABE"/>
    <w:rsid w:val="00585B06"/>
    <w:rsid w:val="00585B95"/>
    <w:rsid w:val="00585C48"/>
    <w:rsid w:val="00585CD1"/>
    <w:rsid w:val="00585D49"/>
    <w:rsid w:val="00585E6D"/>
    <w:rsid w:val="00585F91"/>
    <w:rsid w:val="00586000"/>
    <w:rsid w:val="0058602E"/>
    <w:rsid w:val="00586037"/>
    <w:rsid w:val="00586090"/>
    <w:rsid w:val="00586095"/>
    <w:rsid w:val="005860A6"/>
    <w:rsid w:val="00586166"/>
    <w:rsid w:val="00586308"/>
    <w:rsid w:val="00586423"/>
    <w:rsid w:val="00586509"/>
    <w:rsid w:val="00586596"/>
    <w:rsid w:val="005865AE"/>
    <w:rsid w:val="005865FA"/>
    <w:rsid w:val="00586665"/>
    <w:rsid w:val="0058677B"/>
    <w:rsid w:val="00586809"/>
    <w:rsid w:val="005868B1"/>
    <w:rsid w:val="005868DE"/>
    <w:rsid w:val="00586A1A"/>
    <w:rsid w:val="00586A5F"/>
    <w:rsid w:val="00586AD4"/>
    <w:rsid w:val="00586B09"/>
    <w:rsid w:val="00586B2D"/>
    <w:rsid w:val="00586B7A"/>
    <w:rsid w:val="00586B84"/>
    <w:rsid w:val="00586BB2"/>
    <w:rsid w:val="00586CFB"/>
    <w:rsid w:val="00586D1E"/>
    <w:rsid w:val="00586E59"/>
    <w:rsid w:val="00586F2F"/>
    <w:rsid w:val="00586F4E"/>
    <w:rsid w:val="00586F8A"/>
    <w:rsid w:val="00586F93"/>
    <w:rsid w:val="00586FBD"/>
    <w:rsid w:val="0058700A"/>
    <w:rsid w:val="0058704A"/>
    <w:rsid w:val="0058705E"/>
    <w:rsid w:val="00587098"/>
    <w:rsid w:val="00587122"/>
    <w:rsid w:val="00587181"/>
    <w:rsid w:val="00587292"/>
    <w:rsid w:val="00587373"/>
    <w:rsid w:val="0058741F"/>
    <w:rsid w:val="00587488"/>
    <w:rsid w:val="0058749E"/>
    <w:rsid w:val="005874CD"/>
    <w:rsid w:val="00587528"/>
    <w:rsid w:val="00587572"/>
    <w:rsid w:val="00587596"/>
    <w:rsid w:val="005875A9"/>
    <w:rsid w:val="005875E5"/>
    <w:rsid w:val="0058770D"/>
    <w:rsid w:val="00587741"/>
    <w:rsid w:val="005877AC"/>
    <w:rsid w:val="005877B5"/>
    <w:rsid w:val="00587826"/>
    <w:rsid w:val="005879C5"/>
    <w:rsid w:val="00587B1D"/>
    <w:rsid w:val="00587C9D"/>
    <w:rsid w:val="00587CB0"/>
    <w:rsid w:val="00587CC8"/>
    <w:rsid w:val="00587D12"/>
    <w:rsid w:val="00587D39"/>
    <w:rsid w:val="00587D9B"/>
    <w:rsid w:val="00587DE1"/>
    <w:rsid w:val="00587E2F"/>
    <w:rsid w:val="00587EB4"/>
    <w:rsid w:val="00590011"/>
    <w:rsid w:val="00590060"/>
    <w:rsid w:val="005900C9"/>
    <w:rsid w:val="005900F2"/>
    <w:rsid w:val="0059011B"/>
    <w:rsid w:val="005901FB"/>
    <w:rsid w:val="005902C7"/>
    <w:rsid w:val="005903A2"/>
    <w:rsid w:val="005903E9"/>
    <w:rsid w:val="00590455"/>
    <w:rsid w:val="0059046D"/>
    <w:rsid w:val="00590517"/>
    <w:rsid w:val="0059054B"/>
    <w:rsid w:val="005905A8"/>
    <w:rsid w:val="0059061B"/>
    <w:rsid w:val="00590759"/>
    <w:rsid w:val="005907C9"/>
    <w:rsid w:val="005907FB"/>
    <w:rsid w:val="00590862"/>
    <w:rsid w:val="005908A3"/>
    <w:rsid w:val="005908D5"/>
    <w:rsid w:val="00590964"/>
    <w:rsid w:val="005909B6"/>
    <w:rsid w:val="005909CD"/>
    <w:rsid w:val="00590A55"/>
    <w:rsid w:val="00590AC1"/>
    <w:rsid w:val="00590B8D"/>
    <w:rsid w:val="00590BBD"/>
    <w:rsid w:val="00590C39"/>
    <w:rsid w:val="00590CD9"/>
    <w:rsid w:val="00590D27"/>
    <w:rsid w:val="00590D9B"/>
    <w:rsid w:val="00590D9F"/>
    <w:rsid w:val="00590E14"/>
    <w:rsid w:val="00590E93"/>
    <w:rsid w:val="00590F1D"/>
    <w:rsid w:val="00590F26"/>
    <w:rsid w:val="005911A9"/>
    <w:rsid w:val="005912D9"/>
    <w:rsid w:val="00591359"/>
    <w:rsid w:val="005913BF"/>
    <w:rsid w:val="005913CE"/>
    <w:rsid w:val="00591453"/>
    <w:rsid w:val="005914CC"/>
    <w:rsid w:val="00591563"/>
    <w:rsid w:val="0059157E"/>
    <w:rsid w:val="0059162F"/>
    <w:rsid w:val="00591732"/>
    <w:rsid w:val="00591738"/>
    <w:rsid w:val="00591745"/>
    <w:rsid w:val="00591763"/>
    <w:rsid w:val="00591781"/>
    <w:rsid w:val="005917F3"/>
    <w:rsid w:val="0059190E"/>
    <w:rsid w:val="00591AF0"/>
    <w:rsid w:val="00591C36"/>
    <w:rsid w:val="00591C66"/>
    <w:rsid w:val="00591CB1"/>
    <w:rsid w:val="00591D2E"/>
    <w:rsid w:val="00591DD6"/>
    <w:rsid w:val="00591DDF"/>
    <w:rsid w:val="00591E78"/>
    <w:rsid w:val="00591EE3"/>
    <w:rsid w:val="00591F08"/>
    <w:rsid w:val="00591FCE"/>
    <w:rsid w:val="00592058"/>
    <w:rsid w:val="0059210A"/>
    <w:rsid w:val="00592140"/>
    <w:rsid w:val="0059228E"/>
    <w:rsid w:val="005922CE"/>
    <w:rsid w:val="005922EB"/>
    <w:rsid w:val="00592315"/>
    <w:rsid w:val="005923B5"/>
    <w:rsid w:val="005923D7"/>
    <w:rsid w:val="00592484"/>
    <w:rsid w:val="0059251B"/>
    <w:rsid w:val="005925C1"/>
    <w:rsid w:val="005925D2"/>
    <w:rsid w:val="00592675"/>
    <w:rsid w:val="005926E1"/>
    <w:rsid w:val="00592715"/>
    <w:rsid w:val="00592766"/>
    <w:rsid w:val="005927E0"/>
    <w:rsid w:val="005928F6"/>
    <w:rsid w:val="00592A55"/>
    <w:rsid w:val="00592B5A"/>
    <w:rsid w:val="00592C16"/>
    <w:rsid w:val="00592CED"/>
    <w:rsid w:val="00592CFB"/>
    <w:rsid w:val="00592DA2"/>
    <w:rsid w:val="00592DB7"/>
    <w:rsid w:val="00592DEB"/>
    <w:rsid w:val="00592E0A"/>
    <w:rsid w:val="00592E69"/>
    <w:rsid w:val="00592F47"/>
    <w:rsid w:val="00592FF9"/>
    <w:rsid w:val="005931BA"/>
    <w:rsid w:val="005931F8"/>
    <w:rsid w:val="00593288"/>
    <w:rsid w:val="00593322"/>
    <w:rsid w:val="0059332B"/>
    <w:rsid w:val="00593354"/>
    <w:rsid w:val="00593474"/>
    <w:rsid w:val="0059348E"/>
    <w:rsid w:val="005934F3"/>
    <w:rsid w:val="00593768"/>
    <w:rsid w:val="00593851"/>
    <w:rsid w:val="00593990"/>
    <w:rsid w:val="005939E9"/>
    <w:rsid w:val="005939F0"/>
    <w:rsid w:val="00593A1C"/>
    <w:rsid w:val="00593A8F"/>
    <w:rsid w:val="00593AC8"/>
    <w:rsid w:val="00593BD2"/>
    <w:rsid w:val="00593BE7"/>
    <w:rsid w:val="00593C17"/>
    <w:rsid w:val="00593CA8"/>
    <w:rsid w:val="00593D6E"/>
    <w:rsid w:val="00593D86"/>
    <w:rsid w:val="00593E0B"/>
    <w:rsid w:val="00593E9B"/>
    <w:rsid w:val="00593F65"/>
    <w:rsid w:val="00593FA0"/>
    <w:rsid w:val="00593FB1"/>
    <w:rsid w:val="0059400D"/>
    <w:rsid w:val="00594024"/>
    <w:rsid w:val="00594053"/>
    <w:rsid w:val="005940B5"/>
    <w:rsid w:val="00594105"/>
    <w:rsid w:val="0059414F"/>
    <w:rsid w:val="00594187"/>
    <w:rsid w:val="005942B0"/>
    <w:rsid w:val="005942CA"/>
    <w:rsid w:val="005943F5"/>
    <w:rsid w:val="00594492"/>
    <w:rsid w:val="005944AC"/>
    <w:rsid w:val="0059450F"/>
    <w:rsid w:val="005945A0"/>
    <w:rsid w:val="005945CC"/>
    <w:rsid w:val="00594692"/>
    <w:rsid w:val="00594696"/>
    <w:rsid w:val="005947A7"/>
    <w:rsid w:val="00594818"/>
    <w:rsid w:val="005948DA"/>
    <w:rsid w:val="00594B60"/>
    <w:rsid w:val="00594BD2"/>
    <w:rsid w:val="00594CA7"/>
    <w:rsid w:val="00594D2A"/>
    <w:rsid w:val="00594DF6"/>
    <w:rsid w:val="00594E58"/>
    <w:rsid w:val="00594E96"/>
    <w:rsid w:val="00594EDB"/>
    <w:rsid w:val="00595084"/>
    <w:rsid w:val="0059508A"/>
    <w:rsid w:val="00595179"/>
    <w:rsid w:val="00595265"/>
    <w:rsid w:val="00595384"/>
    <w:rsid w:val="005953E6"/>
    <w:rsid w:val="00595480"/>
    <w:rsid w:val="005954E7"/>
    <w:rsid w:val="0059556C"/>
    <w:rsid w:val="005956B7"/>
    <w:rsid w:val="00595715"/>
    <w:rsid w:val="0059572D"/>
    <w:rsid w:val="0059585E"/>
    <w:rsid w:val="00595866"/>
    <w:rsid w:val="0059595D"/>
    <w:rsid w:val="00595999"/>
    <w:rsid w:val="005959D8"/>
    <w:rsid w:val="00595AF2"/>
    <w:rsid w:val="00595D9D"/>
    <w:rsid w:val="00595DA0"/>
    <w:rsid w:val="00595DEF"/>
    <w:rsid w:val="00595E41"/>
    <w:rsid w:val="00595E46"/>
    <w:rsid w:val="00595F4F"/>
    <w:rsid w:val="00595F52"/>
    <w:rsid w:val="00595F6A"/>
    <w:rsid w:val="00595F7C"/>
    <w:rsid w:val="00595F83"/>
    <w:rsid w:val="00595FF5"/>
    <w:rsid w:val="00596025"/>
    <w:rsid w:val="0059608F"/>
    <w:rsid w:val="00596119"/>
    <w:rsid w:val="00596206"/>
    <w:rsid w:val="00596251"/>
    <w:rsid w:val="005962A6"/>
    <w:rsid w:val="00596317"/>
    <w:rsid w:val="00596336"/>
    <w:rsid w:val="005963E1"/>
    <w:rsid w:val="00596406"/>
    <w:rsid w:val="00596514"/>
    <w:rsid w:val="00596566"/>
    <w:rsid w:val="00596631"/>
    <w:rsid w:val="005966B7"/>
    <w:rsid w:val="005966B9"/>
    <w:rsid w:val="0059699D"/>
    <w:rsid w:val="00596A9F"/>
    <w:rsid w:val="00596B5B"/>
    <w:rsid w:val="00596B93"/>
    <w:rsid w:val="00596B9E"/>
    <w:rsid w:val="00596BFE"/>
    <w:rsid w:val="00596CE0"/>
    <w:rsid w:val="00596CFA"/>
    <w:rsid w:val="00596E1E"/>
    <w:rsid w:val="00596F7B"/>
    <w:rsid w:val="00596FF5"/>
    <w:rsid w:val="00597023"/>
    <w:rsid w:val="0059707A"/>
    <w:rsid w:val="005971A3"/>
    <w:rsid w:val="005971D3"/>
    <w:rsid w:val="005971FB"/>
    <w:rsid w:val="0059725B"/>
    <w:rsid w:val="0059728A"/>
    <w:rsid w:val="005972A3"/>
    <w:rsid w:val="0059736A"/>
    <w:rsid w:val="005973BD"/>
    <w:rsid w:val="00597402"/>
    <w:rsid w:val="005974A8"/>
    <w:rsid w:val="00597554"/>
    <w:rsid w:val="005976B8"/>
    <w:rsid w:val="005977FA"/>
    <w:rsid w:val="005978D2"/>
    <w:rsid w:val="005978F1"/>
    <w:rsid w:val="00597A11"/>
    <w:rsid w:val="00597A6C"/>
    <w:rsid w:val="00597B77"/>
    <w:rsid w:val="00597B8F"/>
    <w:rsid w:val="00597B96"/>
    <w:rsid w:val="00597BAD"/>
    <w:rsid w:val="00597C62"/>
    <w:rsid w:val="00597C8E"/>
    <w:rsid w:val="00597D8A"/>
    <w:rsid w:val="00597D8B"/>
    <w:rsid w:val="00597E95"/>
    <w:rsid w:val="00597F6E"/>
    <w:rsid w:val="005A0094"/>
    <w:rsid w:val="005A00CD"/>
    <w:rsid w:val="005A0106"/>
    <w:rsid w:val="005A0120"/>
    <w:rsid w:val="005A016A"/>
    <w:rsid w:val="005A024F"/>
    <w:rsid w:val="005A0269"/>
    <w:rsid w:val="005A02DA"/>
    <w:rsid w:val="005A0498"/>
    <w:rsid w:val="005A04A9"/>
    <w:rsid w:val="005A0511"/>
    <w:rsid w:val="005A0571"/>
    <w:rsid w:val="005A0587"/>
    <w:rsid w:val="005A05EF"/>
    <w:rsid w:val="005A05FE"/>
    <w:rsid w:val="005A063D"/>
    <w:rsid w:val="005A06E6"/>
    <w:rsid w:val="005A07AF"/>
    <w:rsid w:val="005A07B1"/>
    <w:rsid w:val="005A0818"/>
    <w:rsid w:val="005A08AC"/>
    <w:rsid w:val="005A08E0"/>
    <w:rsid w:val="005A08F4"/>
    <w:rsid w:val="005A096D"/>
    <w:rsid w:val="005A09CB"/>
    <w:rsid w:val="005A09E8"/>
    <w:rsid w:val="005A0A16"/>
    <w:rsid w:val="005A0A25"/>
    <w:rsid w:val="005A0AD8"/>
    <w:rsid w:val="005A0B97"/>
    <w:rsid w:val="005A0BF8"/>
    <w:rsid w:val="005A0C5A"/>
    <w:rsid w:val="005A0C7B"/>
    <w:rsid w:val="005A0D27"/>
    <w:rsid w:val="005A0DBA"/>
    <w:rsid w:val="005A0EAD"/>
    <w:rsid w:val="005A0FFC"/>
    <w:rsid w:val="005A100B"/>
    <w:rsid w:val="005A10DC"/>
    <w:rsid w:val="005A1129"/>
    <w:rsid w:val="005A113C"/>
    <w:rsid w:val="005A1281"/>
    <w:rsid w:val="005A13E8"/>
    <w:rsid w:val="005A141E"/>
    <w:rsid w:val="005A1446"/>
    <w:rsid w:val="005A1593"/>
    <w:rsid w:val="005A160B"/>
    <w:rsid w:val="005A1610"/>
    <w:rsid w:val="005A1689"/>
    <w:rsid w:val="005A1703"/>
    <w:rsid w:val="005A1743"/>
    <w:rsid w:val="005A1774"/>
    <w:rsid w:val="005A1857"/>
    <w:rsid w:val="005A185F"/>
    <w:rsid w:val="005A18C2"/>
    <w:rsid w:val="005A1994"/>
    <w:rsid w:val="005A1AF1"/>
    <w:rsid w:val="005A1BAA"/>
    <w:rsid w:val="005A1CCA"/>
    <w:rsid w:val="005A1D2B"/>
    <w:rsid w:val="005A1E7B"/>
    <w:rsid w:val="005A1ED4"/>
    <w:rsid w:val="005A1EF2"/>
    <w:rsid w:val="005A1F04"/>
    <w:rsid w:val="005A2010"/>
    <w:rsid w:val="005A2099"/>
    <w:rsid w:val="005A2167"/>
    <w:rsid w:val="005A2222"/>
    <w:rsid w:val="005A2296"/>
    <w:rsid w:val="005A22E3"/>
    <w:rsid w:val="005A254E"/>
    <w:rsid w:val="005A2617"/>
    <w:rsid w:val="005A2688"/>
    <w:rsid w:val="005A2691"/>
    <w:rsid w:val="005A2693"/>
    <w:rsid w:val="005A2712"/>
    <w:rsid w:val="005A2787"/>
    <w:rsid w:val="005A28DB"/>
    <w:rsid w:val="005A2951"/>
    <w:rsid w:val="005A2959"/>
    <w:rsid w:val="005A29C3"/>
    <w:rsid w:val="005A2A29"/>
    <w:rsid w:val="005A2A9F"/>
    <w:rsid w:val="005A2ABE"/>
    <w:rsid w:val="005A2B44"/>
    <w:rsid w:val="005A2B67"/>
    <w:rsid w:val="005A2BAE"/>
    <w:rsid w:val="005A2D84"/>
    <w:rsid w:val="005A2DFB"/>
    <w:rsid w:val="005A2E17"/>
    <w:rsid w:val="005A2F4E"/>
    <w:rsid w:val="005A302D"/>
    <w:rsid w:val="005A304F"/>
    <w:rsid w:val="005A307F"/>
    <w:rsid w:val="005A30D1"/>
    <w:rsid w:val="005A3168"/>
    <w:rsid w:val="005A3184"/>
    <w:rsid w:val="005A31F9"/>
    <w:rsid w:val="005A3255"/>
    <w:rsid w:val="005A3257"/>
    <w:rsid w:val="005A32EB"/>
    <w:rsid w:val="005A3376"/>
    <w:rsid w:val="005A3507"/>
    <w:rsid w:val="005A359F"/>
    <w:rsid w:val="005A368E"/>
    <w:rsid w:val="005A3721"/>
    <w:rsid w:val="005A37D7"/>
    <w:rsid w:val="005A38B4"/>
    <w:rsid w:val="005A38B7"/>
    <w:rsid w:val="005A391E"/>
    <w:rsid w:val="005A3953"/>
    <w:rsid w:val="005A3A22"/>
    <w:rsid w:val="005A3A5C"/>
    <w:rsid w:val="005A3BC8"/>
    <w:rsid w:val="005A3C5E"/>
    <w:rsid w:val="005A3D18"/>
    <w:rsid w:val="005A3D39"/>
    <w:rsid w:val="005A3DBD"/>
    <w:rsid w:val="005A3DE8"/>
    <w:rsid w:val="005A3E42"/>
    <w:rsid w:val="005A3E58"/>
    <w:rsid w:val="005A3EE7"/>
    <w:rsid w:val="005A3F5F"/>
    <w:rsid w:val="005A3FE1"/>
    <w:rsid w:val="005A3FE5"/>
    <w:rsid w:val="005A4009"/>
    <w:rsid w:val="005A4013"/>
    <w:rsid w:val="005A4045"/>
    <w:rsid w:val="005A40A8"/>
    <w:rsid w:val="005A40C4"/>
    <w:rsid w:val="005A41DA"/>
    <w:rsid w:val="005A42F4"/>
    <w:rsid w:val="005A42FB"/>
    <w:rsid w:val="005A4308"/>
    <w:rsid w:val="005A4345"/>
    <w:rsid w:val="005A439B"/>
    <w:rsid w:val="005A43EB"/>
    <w:rsid w:val="005A4403"/>
    <w:rsid w:val="005A440E"/>
    <w:rsid w:val="005A4450"/>
    <w:rsid w:val="005A4548"/>
    <w:rsid w:val="005A4560"/>
    <w:rsid w:val="005A45C7"/>
    <w:rsid w:val="005A4637"/>
    <w:rsid w:val="005A4747"/>
    <w:rsid w:val="005A4748"/>
    <w:rsid w:val="005A483A"/>
    <w:rsid w:val="005A4865"/>
    <w:rsid w:val="005A48B2"/>
    <w:rsid w:val="005A4991"/>
    <w:rsid w:val="005A4AAE"/>
    <w:rsid w:val="005A4AE5"/>
    <w:rsid w:val="005A4BEF"/>
    <w:rsid w:val="005A4CA2"/>
    <w:rsid w:val="005A4D40"/>
    <w:rsid w:val="005A4DBD"/>
    <w:rsid w:val="005A4E12"/>
    <w:rsid w:val="005A4F50"/>
    <w:rsid w:val="005A507A"/>
    <w:rsid w:val="005A511C"/>
    <w:rsid w:val="005A51A2"/>
    <w:rsid w:val="005A51C9"/>
    <w:rsid w:val="005A52A9"/>
    <w:rsid w:val="005A52AC"/>
    <w:rsid w:val="005A531C"/>
    <w:rsid w:val="005A5476"/>
    <w:rsid w:val="005A54AE"/>
    <w:rsid w:val="005A54C8"/>
    <w:rsid w:val="005A554E"/>
    <w:rsid w:val="005A55DD"/>
    <w:rsid w:val="005A5637"/>
    <w:rsid w:val="005A5642"/>
    <w:rsid w:val="005A5807"/>
    <w:rsid w:val="005A5810"/>
    <w:rsid w:val="005A584A"/>
    <w:rsid w:val="005A5879"/>
    <w:rsid w:val="005A590E"/>
    <w:rsid w:val="005A5AB1"/>
    <w:rsid w:val="005A5B20"/>
    <w:rsid w:val="005A5B21"/>
    <w:rsid w:val="005A5BC1"/>
    <w:rsid w:val="005A5C78"/>
    <w:rsid w:val="005A5CBA"/>
    <w:rsid w:val="005A5CF7"/>
    <w:rsid w:val="005A5D9F"/>
    <w:rsid w:val="005A5DBB"/>
    <w:rsid w:val="005A5E96"/>
    <w:rsid w:val="005A5EA3"/>
    <w:rsid w:val="005A5F40"/>
    <w:rsid w:val="005A6070"/>
    <w:rsid w:val="005A616B"/>
    <w:rsid w:val="005A61F1"/>
    <w:rsid w:val="005A623F"/>
    <w:rsid w:val="005A63DB"/>
    <w:rsid w:val="005A646F"/>
    <w:rsid w:val="005A66E7"/>
    <w:rsid w:val="005A6730"/>
    <w:rsid w:val="005A6742"/>
    <w:rsid w:val="005A67EA"/>
    <w:rsid w:val="005A6849"/>
    <w:rsid w:val="005A6861"/>
    <w:rsid w:val="005A694A"/>
    <w:rsid w:val="005A69A6"/>
    <w:rsid w:val="005A69C8"/>
    <w:rsid w:val="005A6A15"/>
    <w:rsid w:val="005A6A4C"/>
    <w:rsid w:val="005A6AFE"/>
    <w:rsid w:val="005A6BB5"/>
    <w:rsid w:val="005A6BF1"/>
    <w:rsid w:val="005A6BF6"/>
    <w:rsid w:val="005A6CAA"/>
    <w:rsid w:val="005A6DBB"/>
    <w:rsid w:val="005A6F48"/>
    <w:rsid w:val="005A6FDF"/>
    <w:rsid w:val="005A70B0"/>
    <w:rsid w:val="005A7157"/>
    <w:rsid w:val="005A722B"/>
    <w:rsid w:val="005A7289"/>
    <w:rsid w:val="005A72BF"/>
    <w:rsid w:val="005A7388"/>
    <w:rsid w:val="005A73F4"/>
    <w:rsid w:val="005A7482"/>
    <w:rsid w:val="005A7520"/>
    <w:rsid w:val="005A752F"/>
    <w:rsid w:val="005A7578"/>
    <w:rsid w:val="005A7620"/>
    <w:rsid w:val="005A765B"/>
    <w:rsid w:val="005A7703"/>
    <w:rsid w:val="005A778B"/>
    <w:rsid w:val="005A781D"/>
    <w:rsid w:val="005A7827"/>
    <w:rsid w:val="005A786C"/>
    <w:rsid w:val="005A7991"/>
    <w:rsid w:val="005A7A68"/>
    <w:rsid w:val="005A7AFA"/>
    <w:rsid w:val="005A7BE2"/>
    <w:rsid w:val="005A7C81"/>
    <w:rsid w:val="005A7D01"/>
    <w:rsid w:val="005A7F60"/>
    <w:rsid w:val="005A7FFC"/>
    <w:rsid w:val="005B003A"/>
    <w:rsid w:val="005B0084"/>
    <w:rsid w:val="005B0114"/>
    <w:rsid w:val="005B0210"/>
    <w:rsid w:val="005B027A"/>
    <w:rsid w:val="005B0290"/>
    <w:rsid w:val="005B02A4"/>
    <w:rsid w:val="005B03E8"/>
    <w:rsid w:val="005B0558"/>
    <w:rsid w:val="005B061F"/>
    <w:rsid w:val="005B066E"/>
    <w:rsid w:val="005B06E9"/>
    <w:rsid w:val="005B07F0"/>
    <w:rsid w:val="005B084D"/>
    <w:rsid w:val="005B0A54"/>
    <w:rsid w:val="005B0AA0"/>
    <w:rsid w:val="005B0AB7"/>
    <w:rsid w:val="005B0B11"/>
    <w:rsid w:val="005B0CFE"/>
    <w:rsid w:val="005B0D02"/>
    <w:rsid w:val="005B0D86"/>
    <w:rsid w:val="005B0D95"/>
    <w:rsid w:val="005B0DC7"/>
    <w:rsid w:val="005B0E60"/>
    <w:rsid w:val="005B0EA4"/>
    <w:rsid w:val="005B0ED6"/>
    <w:rsid w:val="005B0F22"/>
    <w:rsid w:val="005B0FF7"/>
    <w:rsid w:val="005B1019"/>
    <w:rsid w:val="005B102A"/>
    <w:rsid w:val="005B1070"/>
    <w:rsid w:val="005B1091"/>
    <w:rsid w:val="005B11DB"/>
    <w:rsid w:val="005B1254"/>
    <w:rsid w:val="005B12C3"/>
    <w:rsid w:val="005B12D2"/>
    <w:rsid w:val="005B1321"/>
    <w:rsid w:val="005B134F"/>
    <w:rsid w:val="005B137F"/>
    <w:rsid w:val="005B15B0"/>
    <w:rsid w:val="005B17F8"/>
    <w:rsid w:val="005B18C1"/>
    <w:rsid w:val="005B1917"/>
    <w:rsid w:val="005B199A"/>
    <w:rsid w:val="005B1A75"/>
    <w:rsid w:val="005B1AF3"/>
    <w:rsid w:val="005B1AF8"/>
    <w:rsid w:val="005B1B0A"/>
    <w:rsid w:val="005B1B17"/>
    <w:rsid w:val="005B1C3D"/>
    <w:rsid w:val="005B1C59"/>
    <w:rsid w:val="005B1C67"/>
    <w:rsid w:val="005B1CE3"/>
    <w:rsid w:val="005B1CF6"/>
    <w:rsid w:val="005B1D67"/>
    <w:rsid w:val="005B1D9E"/>
    <w:rsid w:val="005B1DFA"/>
    <w:rsid w:val="005B1EF3"/>
    <w:rsid w:val="005B1F57"/>
    <w:rsid w:val="005B206C"/>
    <w:rsid w:val="005B20B1"/>
    <w:rsid w:val="005B218B"/>
    <w:rsid w:val="005B21E8"/>
    <w:rsid w:val="005B22CA"/>
    <w:rsid w:val="005B22D7"/>
    <w:rsid w:val="005B245A"/>
    <w:rsid w:val="005B24AD"/>
    <w:rsid w:val="005B251D"/>
    <w:rsid w:val="005B253C"/>
    <w:rsid w:val="005B25FB"/>
    <w:rsid w:val="005B2620"/>
    <w:rsid w:val="005B26AB"/>
    <w:rsid w:val="005B27FB"/>
    <w:rsid w:val="005B2877"/>
    <w:rsid w:val="005B2880"/>
    <w:rsid w:val="005B28D6"/>
    <w:rsid w:val="005B294B"/>
    <w:rsid w:val="005B2A2F"/>
    <w:rsid w:val="005B2AA3"/>
    <w:rsid w:val="005B2AE1"/>
    <w:rsid w:val="005B2B46"/>
    <w:rsid w:val="005B2C28"/>
    <w:rsid w:val="005B2C6F"/>
    <w:rsid w:val="005B2F10"/>
    <w:rsid w:val="005B2FA7"/>
    <w:rsid w:val="005B303E"/>
    <w:rsid w:val="005B3161"/>
    <w:rsid w:val="005B3226"/>
    <w:rsid w:val="005B324A"/>
    <w:rsid w:val="005B3279"/>
    <w:rsid w:val="005B32A3"/>
    <w:rsid w:val="005B333E"/>
    <w:rsid w:val="005B33C4"/>
    <w:rsid w:val="005B3435"/>
    <w:rsid w:val="005B3525"/>
    <w:rsid w:val="005B3548"/>
    <w:rsid w:val="005B3688"/>
    <w:rsid w:val="005B37AF"/>
    <w:rsid w:val="005B37B3"/>
    <w:rsid w:val="005B387C"/>
    <w:rsid w:val="005B3B4D"/>
    <w:rsid w:val="005B3B54"/>
    <w:rsid w:val="005B3C01"/>
    <w:rsid w:val="005B3C40"/>
    <w:rsid w:val="005B3C41"/>
    <w:rsid w:val="005B3CA6"/>
    <w:rsid w:val="005B3E0F"/>
    <w:rsid w:val="005B3F2E"/>
    <w:rsid w:val="005B3F3F"/>
    <w:rsid w:val="005B3FDD"/>
    <w:rsid w:val="005B4047"/>
    <w:rsid w:val="005B407B"/>
    <w:rsid w:val="005B4104"/>
    <w:rsid w:val="005B417D"/>
    <w:rsid w:val="005B41AA"/>
    <w:rsid w:val="005B422D"/>
    <w:rsid w:val="005B423A"/>
    <w:rsid w:val="005B424A"/>
    <w:rsid w:val="005B42BE"/>
    <w:rsid w:val="005B4405"/>
    <w:rsid w:val="005B453F"/>
    <w:rsid w:val="005B4714"/>
    <w:rsid w:val="005B4729"/>
    <w:rsid w:val="005B476C"/>
    <w:rsid w:val="005B48C8"/>
    <w:rsid w:val="005B48F2"/>
    <w:rsid w:val="005B4910"/>
    <w:rsid w:val="005B491A"/>
    <w:rsid w:val="005B4973"/>
    <w:rsid w:val="005B49B1"/>
    <w:rsid w:val="005B49B9"/>
    <w:rsid w:val="005B49C5"/>
    <w:rsid w:val="005B4A05"/>
    <w:rsid w:val="005B4A67"/>
    <w:rsid w:val="005B4B5C"/>
    <w:rsid w:val="005B4B87"/>
    <w:rsid w:val="005B4B8B"/>
    <w:rsid w:val="005B4BDC"/>
    <w:rsid w:val="005B4C46"/>
    <w:rsid w:val="005B4C93"/>
    <w:rsid w:val="005B4D19"/>
    <w:rsid w:val="005B4D1E"/>
    <w:rsid w:val="005B4D32"/>
    <w:rsid w:val="005B4F6E"/>
    <w:rsid w:val="005B4F7D"/>
    <w:rsid w:val="005B4FAC"/>
    <w:rsid w:val="005B504D"/>
    <w:rsid w:val="005B505A"/>
    <w:rsid w:val="005B5083"/>
    <w:rsid w:val="005B50B2"/>
    <w:rsid w:val="005B51D3"/>
    <w:rsid w:val="005B51EF"/>
    <w:rsid w:val="005B5389"/>
    <w:rsid w:val="005B53F1"/>
    <w:rsid w:val="005B5414"/>
    <w:rsid w:val="005B5488"/>
    <w:rsid w:val="005B554F"/>
    <w:rsid w:val="005B5742"/>
    <w:rsid w:val="005B576A"/>
    <w:rsid w:val="005B5797"/>
    <w:rsid w:val="005B5799"/>
    <w:rsid w:val="005B57E1"/>
    <w:rsid w:val="005B5824"/>
    <w:rsid w:val="005B587D"/>
    <w:rsid w:val="005B5892"/>
    <w:rsid w:val="005B58B7"/>
    <w:rsid w:val="005B592A"/>
    <w:rsid w:val="005B5945"/>
    <w:rsid w:val="005B59C3"/>
    <w:rsid w:val="005B59D8"/>
    <w:rsid w:val="005B59EF"/>
    <w:rsid w:val="005B5A0F"/>
    <w:rsid w:val="005B5A14"/>
    <w:rsid w:val="005B5C1E"/>
    <w:rsid w:val="005B5C21"/>
    <w:rsid w:val="005B5E2A"/>
    <w:rsid w:val="005B5E90"/>
    <w:rsid w:val="005B5F35"/>
    <w:rsid w:val="005B5FBE"/>
    <w:rsid w:val="005B6040"/>
    <w:rsid w:val="005B60A1"/>
    <w:rsid w:val="005B6174"/>
    <w:rsid w:val="005B61F6"/>
    <w:rsid w:val="005B6273"/>
    <w:rsid w:val="005B633C"/>
    <w:rsid w:val="005B633F"/>
    <w:rsid w:val="005B6398"/>
    <w:rsid w:val="005B63E2"/>
    <w:rsid w:val="005B6476"/>
    <w:rsid w:val="005B64BC"/>
    <w:rsid w:val="005B6517"/>
    <w:rsid w:val="005B6519"/>
    <w:rsid w:val="005B651B"/>
    <w:rsid w:val="005B6624"/>
    <w:rsid w:val="005B66B0"/>
    <w:rsid w:val="005B676C"/>
    <w:rsid w:val="005B687C"/>
    <w:rsid w:val="005B68FE"/>
    <w:rsid w:val="005B6957"/>
    <w:rsid w:val="005B6A57"/>
    <w:rsid w:val="005B6A82"/>
    <w:rsid w:val="005B6B1C"/>
    <w:rsid w:val="005B6BC1"/>
    <w:rsid w:val="005B6C66"/>
    <w:rsid w:val="005B6CD7"/>
    <w:rsid w:val="005B6D05"/>
    <w:rsid w:val="005B6D14"/>
    <w:rsid w:val="005B6E5C"/>
    <w:rsid w:val="005B6F38"/>
    <w:rsid w:val="005B6F98"/>
    <w:rsid w:val="005B6FAC"/>
    <w:rsid w:val="005B6FAD"/>
    <w:rsid w:val="005B6FBB"/>
    <w:rsid w:val="005B70BC"/>
    <w:rsid w:val="005B7351"/>
    <w:rsid w:val="005B7385"/>
    <w:rsid w:val="005B73CB"/>
    <w:rsid w:val="005B73F8"/>
    <w:rsid w:val="005B742D"/>
    <w:rsid w:val="005B7437"/>
    <w:rsid w:val="005B74B9"/>
    <w:rsid w:val="005B74E6"/>
    <w:rsid w:val="005B7517"/>
    <w:rsid w:val="005B75AA"/>
    <w:rsid w:val="005B75FB"/>
    <w:rsid w:val="005B763E"/>
    <w:rsid w:val="005B7657"/>
    <w:rsid w:val="005B766A"/>
    <w:rsid w:val="005B7688"/>
    <w:rsid w:val="005B76A3"/>
    <w:rsid w:val="005B76B6"/>
    <w:rsid w:val="005B774D"/>
    <w:rsid w:val="005B77A1"/>
    <w:rsid w:val="005B7838"/>
    <w:rsid w:val="005B79A1"/>
    <w:rsid w:val="005B79AF"/>
    <w:rsid w:val="005B79EC"/>
    <w:rsid w:val="005B7A1E"/>
    <w:rsid w:val="005B7A4D"/>
    <w:rsid w:val="005B7A77"/>
    <w:rsid w:val="005B7C28"/>
    <w:rsid w:val="005B7CE7"/>
    <w:rsid w:val="005B7DAE"/>
    <w:rsid w:val="005B7EC9"/>
    <w:rsid w:val="005B7ECA"/>
    <w:rsid w:val="005B7ED8"/>
    <w:rsid w:val="005B7F95"/>
    <w:rsid w:val="005C0053"/>
    <w:rsid w:val="005C0166"/>
    <w:rsid w:val="005C0179"/>
    <w:rsid w:val="005C025D"/>
    <w:rsid w:val="005C02A4"/>
    <w:rsid w:val="005C044F"/>
    <w:rsid w:val="005C04AA"/>
    <w:rsid w:val="005C04B2"/>
    <w:rsid w:val="005C0538"/>
    <w:rsid w:val="005C06A1"/>
    <w:rsid w:val="005C076A"/>
    <w:rsid w:val="005C07BB"/>
    <w:rsid w:val="005C0890"/>
    <w:rsid w:val="005C089B"/>
    <w:rsid w:val="005C08FA"/>
    <w:rsid w:val="005C0A28"/>
    <w:rsid w:val="005C0AD1"/>
    <w:rsid w:val="005C0B43"/>
    <w:rsid w:val="005C0B9F"/>
    <w:rsid w:val="005C0C52"/>
    <w:rsid w:val="005C0C6E"/>
    <w:rsid w:val="005C0CA0"/>
    <w:rsid w:val="005C0D99"/>
    <w:rsid w:val="005C0DE5"/>
    <w:rsid w:val="005C0E63"/>
    <w:rsid w:val="005C0F35"/>
    <w:rsid w:val="005C0FD2"/>
    <w:rsid w:val="005C106B"/>
    <w:rsid w:val="005C10DC"/>
    <w:rsid w:val="005C10E5"/>
    <w:rsid w:val="005C1108"/>
    <w:rsid w:val="005C1222"/>
    <w:rsid w:val="005C12B1"/>
    <w:rsid w:val="005C135C"/>
    <w:rsid w:val="005C1386"/>
    <w:rsid w:val="005C1395"/>
    <w:rsid w:val="005C13A8"/>
    <w:rsid w:val="005C13D5"/>
    <w:rsid w:val="005C1412"/>
    <w:rsid w:val="005C151C"/>
    <w:rsid w:val="005C1573"/>
    <w:rsid w:val="005C1628"/>
    <w:rsid w:val="005C16CD"/>
    <w:rsid w:val="005C1740"/>
    <w:rsid w:val="005C176C"/>
    <w:rsid w:val="005C1788"/>
    <w:rsid w:val="005C178F"/>
    <w:rsid w:val="005C17B2"/>
    <w:rsid w:val="005C1870"/>
    <w:rsid w:val="005C1906"/>
    <w:rsid w:val="005C1945"/>
    <w:rsid w:val="005C19CF"/>
    <w:rsid w:val="005C1C39"/>
    <w:rsid w:val="005C1CA3"/>
    <w:rsid w:val="005C1DC3"/>
    <w:rsid w:val="005C1E46"/>
    <w:rsid w:val="005C1E47"/>
    <w:rsid w:val="005C1EB0"/>
    <w:rsid w:val="005C1F31"/>
    <w:rsid w:val="005C1F7B"/>
    <w:rsid w:val="005C203B"/>
    <w:rsid w:val="005C20A2"/>
    <w:rsid w:val="005C20D2"/>
    <w:rsid w:val="005C20F5"/>
    <w:rsid w:val="005C2102"/>
    <w:rsid w:val="005C216D"/>
    <w:rsid w:val="005C22F3"/>
    <w:rsid w:val="005C2326"/>
    <w:rsid w:val="005C24A3"/>
    <w:rsid w:val="005C253D"/>
    <w:rsid w:val="005C25B5"/>
    <w:rsid w:val="005C268E"/>
    <w:rsid w:val="005C26C5"/>
    <w:rsid w:val="005C27BD"/>
    <w:rsid w:val="005C2875"/>
    <w:rsid w:val="005C2891"/>
    <w:rsid w:val="005C28CB"/>
    <w:rsid w:val="005C296E"/>
    <w:rsid w:val="005C2B62"/>
    <w:rsid w:val="005C2CFB"/>
    <w:rsid w:val="005C2D34"/>
    <w:rsid w:val="005C2EF9"/>
    <w:rsid w:val="005C2F24"/>
    <w:rsid w:val="005C2F34"/>
    <w:rsid w:val="005C3017"/>
    <w:rsid w:val="005C3057"/>
    <w:rsid w:val="005C3058"/>
    <w:rsid w:val="005C30D7"/>
    <w:rsid w:val="005C312E"/>
    <w:rsid w:val="005C3132"/>
    <w:rsid w:val="005C3274"/>
    <w:rsid w:val="005C3278"/>
    <w:rsid w:val="005C3292"/>
    <w:rsid w:val="005C32FE"/>
    <w:rsid w:val="005C330C"/>
    <w:rsid w:val="005C3359"/>
    <w:rsid w:val="005C352E"/>
    <w:rsid w:val="005C35D3"/>
    <w:rsid w:val="005C3667"/>
    <w:rsid w:val="005C369D"/>
    <w:rsid w:val="005C377B"/>
    <w:rsid w:val="005C37A8"/>
    <w:rsid w:val="005C3825"/>
    <w:rsid w:val="005C38EE"/>
    <w:rsid w:val="005C3AF7"/>
    <w:rsid w:val="005C3B12"/>
    <w:rsid w:val="005C3BB1"/>
    <w:rsid w:val="005C3BFD"/>
    <w:rsid w:val="005C3C00"/>
    <w:rsid w:val="005C3D3D"/>
    <w:rsid w:val="005C3D41"/>
    <w:rsid w:val="005C3D71"/>
    <w:rsid w:val="005C3DED"/>
    <w:rsid w:val="005C3E26"/>
    <w:rsid w:val="005C3E6D"/>
    <w:rsid w:val="005C3EE3"/>
    <w:rsid w:val="005C3FCB"/>
    <w:rsid w:val="005C4008"/>
    <w:rsid w:val="005C4077"/>
    <w:rsid w:val="005C4136"/>
    <w:rsid w:val="005C41EA"/>
    <w:rsid w:val="005C4276"/>
    <w:rsid w:val="005C431A"/>
    <w:rsid w:val="005C4324"/>
    <w:rsid w:val="005C4372"/>
    <w:rsid w:val="005C438E"/>
    <w:rsid w:val="005C450A"/>
    <w:rsid w:val="005C450F"/>
    <w:rsid w:val="005C4582"/>
    <w:rsid w:val="005C4583"/>
    <w:rsid w:val="005C45FD"/>
    <w:rsid w:val="005C4711"/>
    <w:rsid w:val="005C4797"/>
    <w:rsid w:val="005C48D2"/>
    <w:rsid w:val="005C4AC1"/>
    <w:rsid w:val="005C4ACA"/>
    <w:rsid w:val="005C4B14"/>
    <w:rsid w:val="005C4E6E"/>
    <w:rsid w:val="005C4EA6"/>
    <w:rsid w:val="005C4F95"/>
    <w:rsid w:val="005C5028"/>
    <w:rsid w:val="005C503A"/>
    <w:rsid w:val="005C50AD"/>
    <w:rsid w:val="005C50C8"/>
    <w:rsid w:val="005C5140"/>
    <w:rsid w:val="005C5353"/>
    <w:rsid w:val="005C536B"/>
    <w:rsid w:val="005C54E7"/>
    <w:rsid w:val="005C55B6"/>
    <w:rsid w:val="005C5630"/>
    <w:rsid w:val="005C56BC"/>
    <w:rsid w:val="005C56C1"/>
    <w:rsid w:val="005C570D"/>
    <w:rsid w:val="005C57D6"/>
    <w:rsid w:val="005C57F9"/>
    <w:rsid w:val="005C5809"/>
    <w:rsid w:val="005C58B9"/>
    <w:rsid w:val="005C5954"/>
    <w:rsid w:val="005C5A35"/>
    <w:rsid w:val="005C5B29"/>
    <w:rsid w:val="005C5B64"/>
    <w:rsid w:val="005C5C31"/>
    <w:rsid w:val="005C5CE4"/>
    <w:rsid w:val="005C5E33"/>
    <w:rsid w:val="005C5FFE"/>
    <w:rsid w:val="005C606F"/>
    <w:rsid w:val="005C6095"/>
    <w:rsid w:val="005C60AE"/>
    <w:rsid w:val="005C60CB"/>
    <w:rsid w:val="005C60F7"/>
    <w:rsid w:val="005C6161"/>
    <w:rsid w:val="005C61B2"/>
    <w:rsid w:val="005C62C7"/>
    <w:rsid w:val="005C6352"/>
    <w:rsid w:val="005C6396"/>
    <w:rsid w:val="005C656C"/>
    <w:rsid w:val="005C6570"/>
    <w:rsid w:val="005C65FF"/>
    <w:rsid w:val="005C661C"/>
    <w:rsid w:val="005C6640"/>
    <w:rsid w:val="005C6719"/>
    <w:rsid w:val="005C67CB"/>
    <w:rsid w:val="005C67E4"/>
    <w:rsid w:val="005C68D4"/>
    <w:rsid w:val="005C6907"/>
    <w:rsid w:val="005C6AB2"/>
    <w:rsid w:val="005C6AC1"/>
    <w:rsid w:val="005C6C9B"/>
    <w:rsid w:val="005C6D2B"/>
    <w:rsid w:val="005C6F52"/>
    <w:rsid w:val="005C6F80"/>
    <w:rsid w:val="005C709B"/>
    <w:rsid w:val="005C7151"/>
    <w:rsid w:val="005C71BD"/>
    <w:rsid w:val="005C7277"/>
    <w:rsid w:val="005C731B"/>
    <w:rsid w:val="005C737B"/>
    <w:rsid w:val="005C7383"/>
    <w:rsid w:val="005C7386"/>
    <w:rsid w:val="005C73CE"/>
    <w:rsid w:val="005C743B"/>
    <w:rsid w:val="005C74C6"/>
    <w:rsid w:val="005C7511"/>
    <w:rsid w:val="005C7563"/>
    <w:rsid w:val="005C76A7"/>
    <w:rsid w:val="005C7758"/>
    <w:rsid w:val="005C7796"/>
    <w:rsid w:val="005C79B5"/>
    <w:rsid w:val="005C79CD"/>
    <w:rsid w:val="005C7AB1"/>
    <w:rsid w:val="005C7AC9"/>
    <w:rsid w:val="005C7C51"/>
    <w:rsid w:val="005C7CCB"/>
    <w:rsid w:val="005C7CE3"/>
    <w:rsid w:val="005C7D99"/>
    <w:rsid w:val="005C7DD8"/>
    <w:rsid w:val="005C7DFF"/>
    <w:rsid w:val="005C7E85"/>
    <w:rsid w:val="005C7EA1"/>
    <w:rsid w:val="005C7EEB"/>
    <w:rsid w:val="005C7FCF"/>
    <w:rsid w:val="005D000A"/>
    <w:rsid w:val="005D003F"/>
    <w:rsid w:val="005D00E2"/>
    <w:rsid w:val="005D0129"/>
    <w:rsid w:val="005D01A2"/>
    <w:rsid w:val="005D024A"/>
    <w:rsid w:val="005D029D"/>
    <w:rsid w:val="005D02DD"/>
    <w:rsid w:val="005D0318"/>
    <w:rsid w:val="005D03CA"/>
    <w:rsid w:val="005D03ED"/>
    <w:rsid w:val="005D057B"/>
    <w:rsid w:val="005D05C5"/>
    <w:rsid w:val="005D05F3"/>
    <w:rsid w:val="005D0656"/>
    <w:rsid w:val="005D0696"/>
    <w:rsid w:val="005D073A"/>
    <w:rsid w:val="005D07BC"/>
    <w:rsid w:val="005D0811"/>
    <w:rsid w:val="005D0844"/>
    <w:rsid w:val="005D0852"/>
    <w:rsid w:val="005D08AE"/>
    <w:rsid w:val="005D08F5"/>
    <w:rsid w:val="005D0A16"/>
    <w:rsid w:val="005D0A53"/>
    <w:rsid w:val="005D0AC2"/>
    <w:rsid w:val="005D0AEF"/>
    <w:rsid w:val="005D0AFF"/>
    <w:rsid w:val="005D0B6B"/>
    <w:rsid w:val="005D0C63"/>
    <w:rsid w:val="005D0CF2"/>
    <w:rsid w:val="005D0DB4"/>
    <w:rsid w:val="005D0DF1"/>
    <w:rsid w:val="005D0E4D"/>
    <w:rsid w:val="005D0F00"/>
    <w:rsid w:val="005D0FEB"/>
    <w:rsid w:val="005D100A"/>
    <w:rsid w:val="005D103B"/>
    <w:rsid w:val="005D106C"/>
    <w:rsid w:val="005D1089"/>
    <w:rsid w:val="005D11FC"/>
    <w:rsid w:val="005D1202"/>
    <w:rsid w:val="005D12BD"/>
    <w:rsid w:val="005D12DA"/>
    <w:rsid w:val="005D12DC"/>
    <w:rsid w:val="005D1324"/>
    <w:rsid w:val="005D1335"/>
    <w:rsid w:val="005D13D0"/>
    <w:rsid w:val="005D1418"/>
    <w:rsid w:val="005D1482"/>
    <w:rsid w:val="005D14A5"/>
    <w:rsid w:val="005D14EC"/>
    <w:rsid w:val="005D1509"/>
    <w:rsid w:val="005D155A"/>
    <w:rsid w:val="005D1620"/>
    <w:rsid w:val="005D1626"/>
    <w:rsid w:val="005D1658"/>
    <w:rsid w:val="005D16F9"/>
    <w:rsid w:val="005D1723"/>
    <w:rsid w:val="005D176D"/>
    <w:rsid w:val="005D1770"/>
    <w:rsid w:val="005D17B7"/>
    <w:rsid w:val="005D17BC"/>
    <w:rsid w:val="005D195D"/>
    <w:rsid w:val="005D19F6"/>
    <w:rsid w:val="005D1BC4"/>
    <w:rsid w:val="005D1BE2"/>
    <w:rsid w:val="005D1C15"/>
    <w:rsid w:val="005D1C6F"/>
    <w:rsid w:val="005D1CDD"/>
    <w:rsid w:val="005D1E23"/>
    <w:rsid w:val="005D1E8A"/>
    <w:rsid w:val="005D1E92"/>
    <w:rsid w:val="005D1F33"/>
    <w:rsid w:val="005D1F60"/>
    <w:rsid w:val="005D206E"/>
    <w:rsid w:val="005D2097"/>
    <w:rsid w:val="005D20DA"/>
    <w:rsid w:val="005D2140"/>
    <w:rsid w:val="005D2177"/>
    <w:rsid w:val="005D21DB"/>
    <w:rsid w:val="005D21FE"/>
    <w:rsid w:val="005D2253"/>
    <w:rsid w:val="005D2277"/>
    <w:rsid w:val="005D2318"/>
    <w:rsid w:val="005D23F6"/>
    <w:rsid w:val="005D24A2"/>
    <w:rsid w:val="005D24F2"/>
    <w:rsid w:val="005D2524"/>
    <w:rsid w:val="005D25F1"/>
    <w:rsid w:val="005D260A"/>
    <w:rsid w:val="005D2642"/>
    <w:rsid w:val="005D26FB"/>
    <w:rsid w:val="005D276E"/>
    <w:rsid w:val="005D2816"/>
    <w:rsid w:val="005D2851"/>
    <w:rsid w:val="005D29C6"/>
    <w:rsid w:val="005D2A56"/>
    <w:rsid w:val="005D2B37"/>
    <w:rsid w:val="005D2B51"/>
    <w:rsid w:val="005D2C7E"/>
    <w:rsid w:val="005D2CF1"/>
    <w:rsid w:val="005D2D4F"/>
    <w:rsid w:val="005D2ECF"/>
    <w:rsid w:val="005D2ED4"/>
    <w:rsid w:val="005D2EEB"/>
    <w:rsid w:val="005D2F23"/>
    <w:rsid w:val="005D2F69"/>
    <w:rsid w:val="005D2FFB"/>
    <w:rsid w:val="005D306D"/>
    <w:rsid w:val="005D30EB"/>
    <w:rsid w:val="005D3111"/>
    <w:rsid w:val="005D3263"/>
    <w:rsid w:val="005D332F"/>
    <w:rsid w:val="005D33A3"/>
    <w:rsid w:val="005D33D8"/>
    <w:rsid w:val="005D33FB"/>
    <w:rsid w:val="005D34D6"/>
    <w:rsid w:val="005D3512"/>
    <w:rsid w:val="005D351F"/>
    <w:rsid w:val="005D3530"/>
    <w:rsid w:val="005D35BA"/>
    <w:rsid w:val="005D35E5"/>
    <w:rsid w:val="005D3628"/>
    <w:rsid w:val="005D3633"/>
    <w:rsid w:val="005D36D3"/>
    <w:rsid w:val="005D3762"/>
    <w:rsid w:val="005D3880"/>
    <w:rsid w:val="005D3893"/>
    <w:rsid w:val="005D38E0"/>
    <w:rsid w:val="005D38F5"/>
    <w:rsid w:val="005D3960"/>
    <w:rsid w:val="005D399C"/>
    <w:rsid w:val="005D39A9"/>
    <w:rsid w:val="005D39D9"/>
    <w:rsid w:val="005D3A69"/>
    <w:rsid w:val="005D3B24"/>
    <w:rsid w:val="005D3C94"/>
    <w:rsid w:val="005D3CD1"/>
    <w:rsid w:val="005D3DA5"/>
    <w:rsid w:val="005D3DBC"/>
    <w:rsid w:val="005D3DF0"/>
    <w:rsid w:val="005D3E9C"/>
    <w:rsid w:val="005D3F46"/>
    <w:rsid w:val="005D3FC7"/>
    <w:rsid w:val="005D40E4"/>
    <w:rsid w:val="005D4149"/>
    <w:rsid w:val="005D4157"/>
    <w:rsid w:val="005D41D5"/>
    <w:rsid w:val="005D41DF"/>
    <w:rsid w:val="005D439F"/>
    <w:rsid w:val="005D44B2"/>
    <w:rsid w:val="005D44CD"/>
    <w:rsid w:val="005D44E4"/>
    <w:rsid w:val="005D44F2"/>
    <w:rsid w:val="005D44FD"/>
    <w:rsid w:val="005D4503"/>
    <w:rsid w:val="005D4547"/>
    <w:rsid w:val="005D4559"/>
    <w:rsid w:val="005D45FD"/>
    <w:rsid w:val="005D4622"/>
    <w:rsid w:val="005D46F6"/>
    <w:rsid w:val="005D4779"/>
    <w:rsid w:val="005D481E"/>
    <w:rsid w:val="005D48AE"/>
    <w:rsid w:val="005D494E"/>
    <w:rsid w:val="005D4986"/>
    <w:rsid w:val="005D4A5E"/>
    <w:rsid w:val="005D4A6B"/>
    <w:rsid w:val="005D4A7D"/>
    <w:rsid w:val="005D4AE7"/>
    <w:rsid w:val="005D4CE8"/>
    <w:rsid w:val="005D4CF6"/>
    <w:rsid w:val="005D4DE3"/>
    <w:rsid w:val="005D4DF2"/>
    <w:rsid w:val="005D4E2D"/>
    <w:rsid w:val="005D4E31"/>
    <w:rsid w:val="005D4EFD"/>
    <w:rsid w:val="005D4F70"/>
    <w:rsid w:val="005D4FCF"/>
    <w:rsid w:val="005D4FD4"/>
    <w:rsid w:val="005D5013"/>
    <w:rsid w:val="005D50D4"/>
    <w:rsid w:val="005D5117"/>
    <w:rsid w:val="005D51E3"/>
    <w:rsid w:val="005D52BA"/>
    <w:rsid w:val="005D5314"/>
    <w:rsid w:val="005D53A5"/>
    <w:rsid w:val="005D5419"/>
    <w:rsid w:val="005D5441"/>
    <w:rsid w:val="005D5455"/>
    <w:rsid w:val="005D54C5"/>
    <w:rsid w:val="005D559E"/>
    <w:rsid w:val="005D58A3"/>
    <w:rsid w:val="005D58E7"/>
    <w:rsid w:val="005D591B"/>
    <w:rsid w:val="005D5968"/>
    <w:rsid w:val="005D5972"/>
    <w:rsid w:val="005D5A21"/>
    <w:rsid w:val="005D5B1D"/>
    <w:rsid w:val="005D5B20"/>
    <w:rsid w:val="005D5C04"/>
    <w:rsid w:val="005D5C69"/>
    <w:rsid w:val="005D5D03"/>
    <w:rsid w:val="005D5D4C"/>
    <w:rsid w:val="005D5D76"/>
    <w:rsid w:val="005D60EC"/>
    <w:rsid w:val="005D6139"/>
    <w:rsid w:val="005D61C2"/>
    <w:rsid w:val="005D620E"/>
    <w:rsid w:val="005D6225"/>
    <w:rsid w:val="005D625F"/>
    <w:rsid w:val="005D630B"/>
    <w:rsid w:val="005D6324"/>
    <w:rsid w:val="005D6354"/>
    <w:rsid w:val="005D63BD"/>
    <w:rsid w:val="005D63E6"/>
    <w:rsid w:val="005D64A9"/>
    <w:rsid w:val="005D64F4"/>
    <w:rsid w:val="005D672D"/>
    <w:rsid w:val="005D6763"/>
    <w:rsid w:val="005D6780"/>
    <w:rsid w:val="005D684C"/>
    <w:rsid w:val="005D69F0"/>
    <w:rsid w:val="005D6A12"/>
    <w:rsid w:val="005D6B91"/>
    <w:rsid w:val="005D6BE1"/>
    <w:rsid w:val="005D6BEA"/>
    <w:rsid w:val="005D6C88"/>
    <w:rsid w:val="005D6CF1"/>
    <w:rsid w:val="005D6D0F"/>
    <w:rsid w:val="005D6D64"/>
    <w:rsid w:val="005D6E02"/>
    <w:rsid w:val="005D6F38"/>
    <w:rsid w:val="005D6FCC"/>
    <w:rsid w:val="005D7092"/>
    <w:rsid w:val="005D7148"/>
    <w:rsid w:val="005D71E7"/>
    <w:rsid w:val="005D7225"/>
    <w:rsid w:val="005D72AA"/>
    <w:rsid w:val="005D7391"/>
    <w:rsid w:val="005D75E5"/>
    <w:rsid w:val="005D761A"/>
    <w:rsid w:val="005D76AE"/>
    <w:rsid w:val="005D76BF"/>
    <w:rsid w:val="005D77CA"/>
    <w:rsid w:val="005D7A9F"/>
    <w:rsid w:val="005D7AA1"/>
    <w:rsid w:val="005D7AB6"/>
    <w:rsid w:val="005D7B57"/>
    <w:rsid w:val="005D7B6F"/>
    <w:rsid w:val="005D7DD6"/>
    <w:rsid w:val="005D7FDB"/>
    <w:rsid w:val="005D7FE5"/>
    <w:rsid w:val="005E0041"/>
    <w:rsid w:val="005E00BB"/>
    <w:rsid w:val="005E00C1"/>
    <w:rsid w:val="005E0136"/>
    <w:rsid w:val="005E01C6"/>
    <w:rsid w:val="005E02AC"/>
    <w:rsid w:val="005E0367"/>
    <w:rsid w:val="005E03AE"/>
    <w:rsid w:val="005E0546"/>
    <w:rsid w:val="005E0580"/>
    <w:rsid w:val="005E06F5"/>
    <w:rsid w:val="005E0B45"/>
    <w:rsid w:val="005E0B6A"/>
    <w:rsid w:val="005E0C36"/>
    <w:rsid w:val="005E0DD6"/>
    <w:rsid w:val="005E0E33"/>
    <w:rsid w:val="005E0E86"/>
    <w:rsid w:val="005E0EE8"/>
    <w:rsid w:val="005E0F42"/>
    <w:rsid w:val="005E0FC2"/>
    <w:rsid w:val="005E111C"/>
    <w:rsid w:val="005E1145"/>
    <w:rsid w:val="005E145B"/>
    <w:rsid w:val="005E152E"/>
    <w:rsid w:val="005E1558"/>
    <w:rsid w:val="005E16AB"/>
    <w:rsid w:val="005E16EC"/>
    <w:rsid w:val="005E1928"/>
    <w:rsid w:val="005E199C"/>
    <w:rsid w:val="005E1A12"/>
    <w:rsid w:val="005E1AF5"/>
    <w:rsid w:val="005E1CAF"/>
    <w:rsid w:val="005E1D94"/>
    <w:rsid w:val="005E1D95"/>
    <w:rsid w:val="005E1E06"/>
    <w:rsid w:val="005E1ED1"/>
    <w:rsid w:val="005E1F5A"/>
    <w:rsid w:val="005E201F"/>
    <w:rsid w:val="005E20C1"/>
    <w:rsid w:val="005E2215"/>
    <w:rsid w:val="005E225C"/>
    <w:rsid w:val="005E2281"/>
    <w:rsid w:val="005E2293"/>
    <w:rsid w:val="005E22B6"/>
    <w:rsid w:val="005E22CA"/>
    <w:rsid w:val="005E2352"/>
    <w:rsid w:val="005E2614"/>
    <w:rsid w:val="005E27E6"/>
    <w:rsid w:val="005E297C"/>
    <w:rsid w:val="005E2A67"/>
    <w:rsid w:val="005E2A7B"/>
    <w:rsid w:val="005E2A85"/>
    <w:rsid w:val="005E2BE3"/>
    <w:rsid w:val="005E2C28"/>
    <w:rsid w:val="005E2C3E"/>
    <w:rsid w:val="005E2C5A"/>
    <w:rsid w:val="005E2E16"/>
    <w:rsid w:val="005E2F71"/>
    <w:rsid w:val="005E2FA9"/>
    <w:rsid w:val="005E30B6"/>
    <w:rsid w:val="005E3146"/>
    <w:rsid w:val="005E3157"/>
    <w:rsid w:val="005E315A"/>
    <w:rsid w:val="005E31D3"/>
    <w:rsid w:val="005E31E4"/>
    <w:rsid w:val="005E3231"/>
    <w:rsid w:val="005E332D"/>
    <w:rsid w:val="005E3334"/>
    <w:rsid w:val="005E347A"/>
    <w:rsid w:val="005E34B4"/>
    <w:rsid w:val="005E3753"/>
    <w:rsid w:val="005E3759"/>
    <w:rsid w:val="005E3820"/>
    <w:rsid w:val="005E3823"/>
    <w:rsid w:val="005E3AEB"/>
    <w:rsid w:val="005E3AF9"/>
    <w:rsid w:val="005E3B6A"/>
    <w:rsid w:val="005E3BC3"/>
    <w:rsid w:val="005E3C33"/>
    <w:rsid w:val="005E3C71"/>
    <w:rsid w:val="005E3CE4"/>
    <w:rsid w:val="005E3E7C"/>
    <w:rsid w:val="005E3EC1"/>
    <w:rsid w:val="005E3EC6"/>
    <w:rsid w:val="005E3F8A"/>
    <w:rsid w:val="005E3FAB"/>
    <w:rsid w:val="005E40E6"/>
    <w:rsid w:val="005E4116"/>
    <w:rsid w:val="005E4124"/>
    <w:rsid w:val="005E4202"/>
    <w:rsid w:val="005E4284"/>
    <w:rsid w:val="005E4342"/>
    <w:rsid w:val="005E4372"/>
    <w:rsid w:val="005E43D3"/>
    <w:rsid w:val="005E43E7"/>
    <w:rsid w:val="005E4417"/>
    <w:rsid w:val="005E444E"/>
    <w:rsid w:val="005E4461"/>
    <w:rsid w:val="005E4546"/>
    <w:rsid w:val="005E465A"/>
    <w:rsid w:val="005E46F4"/>
    <w:rsid w:val="005E4805"/>
    <w:rsid w:val="005E480C"/>
    <w:rsid w:val="005E48D8"/>
    <w:rsid w:val="005E48DC"/>
    <w:rsid w:val="005E4914"/>
    <w:rsid w:val="005E49AB"/>
    <w:rsid w:val="005E49E6"/>
    <w:rsid w:val="005E4AB4"/>
    <w:rsid w:val="005E4B1C"/>
    <w:rsid w:val="005E4B3A"/>
    <w:rsid w:val="005E4BBD"/>
    <w:rsid w:val="005E4C83"/>
    <w:rsid w:val="005E4D55"/>
    <w:rsid w:val="005E4DDA"/>
    <w:rsid w:val="005E4F11"/>
    <w:rsid w:val="005E4F41"/>
    <w:rsid w:val="005E5090"/>
    <w:rsid w:val="005E5091"/>
    <w:rsid w:val="005E511C"/>
    <w:rsid w:val="005E5180"/>
    <w:rsid w:val="005E51E5"/>
    <w:rsid w:val="005E5291"/>
    <w:rsid w:val="005E529B"/>
    <w:rsid w:val="005E5370"/>
    <w:rsid w:val="005E54C9"/>
    <w:rsid w:val="005E5537"/>
    <w:rsid w:val="005E5676"/>
    <w:rsid w:val="005E56AA"/>
    <w:rsid w:val="005E56DC"/>
    <w:rsid w:val="005E5719"/>
    <w:rsid w:val="005E5732"/>
    <w:rsid w:val="005E573E"/>
    <w:rsid w:val="005E5742"/>
    <w:rsid w:val="005E5756"/>
    <w:rsid w:val="005E5851"/>
    <w:rsid w:val="005E59B7"/>
    <w:rsid w:val="005E59F6"/>
    <w:rsid w:val="005E5A06"/>
    <w:rsid w:val="005E5A50"/>
    <w:rsid w:val="005E5B10"/>
    <w:rsid w:val="005E5BA9"/>
    <w:rsid w:val="005E5BED"/>
    <w:rsid w:val="005E5D25"/>
    <w:rsid w:val="005E5E8A"/>
    <w:rsid w:val="005E5EA8"/>
    <w:rsid w:val="005E5F3B"/>
    <w:rsid w:val="005E6047"/>
    <w:rsid w:val="005E610D"/>
    <w:rsid w:val="005E612A"/>
    <w:rsid w:val="005E61FB"/>
    <w:rsid w:val="005E628C"/>
    <w:rsid w:val="005E62A0"/>
    <w:rsid w:val="005E6324"/>
    <w:rsid w:val="005E632D"/>
    <w:rsid w:val="005E64CC"/>
    <w:rsid w:val="005E6514"/>
    <w:rsid w:val="005E651A"/>
    <w:rsid w:val="005E664B"/>
    <w:rsid w:val="005E6922"/>
    <w:rsid w:val="005E69F8"/>
    <w:rsid w:val="005E6A7C"/>
    <w:rsid w:val="005E6A9C"/>
    <w:rsid w:val="005E6B81"/>
    <w:rsid w:val="005E6BB1"/>
    <w:rsid w:val="005E6C03"/>
    <w:rsid w:val="005E6D61"/>
    <w:rsid w:val="005E6DC0"/>
    <w:rsid w:val="005E6EAC"/>
    <w:rsid w:val="005E6F84"/>
    <w:rsid w:val="005E7034"/>
    <w:rsid w:val="005E709E"/>
    <w:rsid w:val="005E70BC"/>
    <w:rsid w:val="005E710B"/>
    <w:rsid w:val="005E71B5"/>
    <w:rsid w:val="005E735A"/>
    <w:rsid w:val="005E73B4"/>
    <w:rsid w:val="005E74A2"/>
    <w:rsid w:val="005E7512"/>
    <w:rsid w:val="005E756D"/>
    <w:rsid w:val="005E758C"/>
    <w:rsid w:val="005E766A"/>
    <w:rsid w:val="005E767D"/>
    <w:rsid w:val="005E7689"/>
    <w:rsid w:val="005E76F2"/>
    <w:rsid w:val="005E7771"/>
    <w:rsid w:val="005E78B2"/>
    <w:rsid w:val="005E7918"/>
    <w:rsid w:val="005E793C"/>
    <w:rsid w:val="005E7943"/>
    <w:rsid w:val="005E7A1C"/>
    <w:rsid w:val="005E7A80"/>
    <w:rsid w:val="005E7B0D"/>
    <w:rsid w:val="005E7B49"/>
    <w:rsid w:val="005E7B5B"/>
    <w:rsid w:val="005E7C48"/>
    <w:rsid w:val="005E7CB2"/>
    <w:rsid w:val="005E7D23"/>
    <w:rsid w:val="005E7D47"/>
    <w:rsid w:val="005E7D53"/>
    <w:rsid w:val="005E7EA2"/>
    <w:rsid w:val="005E7EF4"/>
    <w:rsid w:val="005E7FF3"/>
    <w:rsid w:val="005F0098"/>
    <w:rsid w:val="005F009C"/>
    <w:rsid w:val="005F0158"/>
    <w:rsid w:val="005F02B8"/>
    <w:rsid w:val="005F02D0"/>
    <w:rsid w:val="005F036A"/>
    <w:rsid w:val="005F03F2"/>
    <w:rsid w:val="005F042B"/>
    <w:rsid w:val="005F0454"/>
    <w:rsid w:val="005F0480"/>
    <w:rsid w:val="005F05D4"/>
    <w:rsid w:val="005F0686"/>
    <w:rsid w:val="005F0784"/>
    <w:rsid w:val="005F08FF"/>
    <w:rsid w:val="005F0908"/>
    <w:rsid w:val="005F09E2"/>
    <w:rsid w:val="005F0A05"/>
    <w:rsid w:val="005F0A08"/>
    <w:rsid w:val="005F0A28"/>
    <w:rsid w:val="005F0B1F"/>
    <w:rsid w:val="005F0C0F"/>
    <w:rsid w:val="005F0CE4"/>
    <w:rsid w:val="005F0D0E"/>
    <w:rsid w:val="005F0D2B"/>
    <w:rsid w:val="005F0D32"/>
    <w:rsid w:val="005F0EB8"/>
    <w:rsid w:val="005F107A"/>
    <w:rsid w:val="005F10CE"/>
    <w:rsid w:val="005F1124"/>
    <w:rsid w:val="005F11B0"/>
    <w:rsid w:val="005F131B"/>
    <w:rsid w:val="005F13F2"/>
    <w:rsid w:val="005F14E0"/>
    <w:rsid w:val="005F14FF"/>
    <w:rsid w:val="005F155B"/>
    <w:rsid w:val="005F1707"/>
    <w:rsid w:val="005F1770"/>
    <w:rsid w:val="005F17A7"/>
    <w:rsid w:val="005F17D8"/>
    <w:rsid w:val="005F1897"/>
    <w:rsid w:val="005F1900"/>
    <w:rsid w:val="005F196F"/>
    <w:rsid w:val="005F199E"/>
    <w:rsid w:val="005F1A34"/>
    <w:rsid w:val="005F1A4C"/>
    <w:rsid w:val="005F1A59"/>
    <w:rsid w:val="005F1B33"/>
    <w:rsid w:val="005F1B99"/>
    <w:rsid w:val="005F1BA9"/>
    <w:rsid w:val="005F1BB2"/>
    <w:rsid w:val="005F1C6A"/>
    <w:rsid w:val="005F1C72"/>
    <w:rsid w:val="005F1CC5"/>
    <w:rsid w:val="005F1D1A"/>
    <w:rsid w:val="005F1D57"/>
    <w:rsid w:val="005F1E2F"/>
    <w:rsid w:val="005F1FA3"/>
    <w:rsid w:val="005F21C3"/>
    <w:rsid w:val="005F2246"/>
    <w:rsid w:val="005F224E"/>
    <w:rsid w:val="005F22CB"/>
    <w:rsid w:val="005F234B"/>
    <w:rsid w:val="005F2434"/>
    <w:rsid w:val="005F255E"/>
    <w:rsid w:val="005F2572"/>
    <w:rsid w:val="005F257F"/>
    <w:rsid w:val="005F26AF"/>
    <w:rsid w:val="005F274F"/>
    <w:rsid w:val="005F2843"/>
    <w:rsid w:val="005F28B8"/>
    <w:rsid w:val="005F294B"/>
    <w:rsid w:val="005F2984"/>
    <w:rsid w:val="005F2ABE"/>
    <w:rsid w:val="005F2B16"/>
    <w:rsid w:val="005F2B2D"/>
    <w:rsid w:val="005F2BC2"/>
    <w:rsid w:val="005F2C46"/>
    <w:rsid w:val="005F2C99"/>
    <w:rsid w:val="005F2D9D"/>
    <w:rsid w:val="005F2E3B"/>
    <w:rsid w:val="005F2EE8"/>
    <w:rsid w:val="005F2FBA"/>
    <w:rsid w:val="005F305F"/>
    <w:rsid w:val="005F3173"/>
    <w:rsid w:val="005F3265"/>
    <w:rsid w:val="005F3416"/>
    <w:rsid w:val="005F3425"/>
    <w:rsid w:val="005F3574"/>
    <w:rsid w:val="005F35E2"/>
    <w:rsid w:val="005F3605"/>
    <w:rsid w:val="005F3616"/>
    <w:rsid w:val="005F3766"/>
    <w:rsid w:val="005F3849"/>
    <w:rsid w:val="005F3883"/>
    <w:rsid w:val="005F38C2"/>
    <w:rsid w:val="005F38C3"/>
    <w:rsid w:val="005F3917"/>
    <w:rsid w:val="005F39AA"/>
    <w:rsid w:val="005F39BE"/>
    <w:rsid w:val="005F39FE"/>
    <w:rsid w:val="005F3AF8"/>
    <w:rsid w:val="005F3B4B"/>
    <w:rsid w:val="005F3B82"/>
    <w:rsid w:val="005F3BB6"/>
    <w:rsid w:val="005F3D7D"/>
    <w:rsid w:val="005F3DAF"/>
    <w:rsid w:val="005F3E43"/>
    <w:rsid w:val="005F3FA6"/>
    <w:rsid w:val="005F4022"/>
    <w:rsid w:val="005F418D"/>
    <w:rsid w:val="005F423F"/>
    <w:rsid w:val="005F437D"/>
    <w:rsid w:val="005F4496"/>
    <w:rsid w:val="005F4515"/>
    <w:rsid w:val="005F4585"/>
    <w:rsid w:val="005F45FD"/>
    <w:rsid w:val="005F4647"/>
    <w:rsid w:val="005F4796"/>
    <w:rsid w:val="005F4830"/>
    <w:rsid w:val="005F4870"/>
    <w:rsid w:val="005F488A"/>
    <w:rsid w:val="005F48ED"/>
    <w:rsid w:val="005F49B1"/>
    <w:rsid w:val="005F4A39"/>
    <w:rsid w:val="005F4AD6"/>
    <w:rsid w:val="005F4AF1"/>
    <w:rsid w:val="005F4B84"/>
    <w:rsid w:val="005F4C86"/>
    <w:rsid w:val="005F4D02"/>
    <w:rsid w:val="005F4E18"/>
    <w:rsid w:val="005F4F96"/>
    <w:rsid w:val="005F50A7"/>
    <w:rsid w:val="005F50BB"/>
    <w:rsid w:val="005F511A"/>
    <w:rsid w:val="005F51BB"/>
    <w:rsid w:val="005F51C9"/>
    <w:rsid w:val="005F53FC"/>
    <w:rsid w:val="005F5550"/>
    <w:rsid w:val="005F557E"/>
    <w:rsid w:val="005F565B"/>
    <w:rsid w:val="005F569C"/>
    <w:rsid w:val="005F579D"/>
    <w:rsid w:val="005F5914"/>
    <w:rsid w:val="005F5989"/>
    <w:rsid w:val="005F5A6D"/>
    <w:rsid w:val="005F5A93"/>
    <w:rsid w:val="005F5A95"/>
    <w:rsid w:val="005F5B49"/>
    <w:rsid w:val="005F5B69"/>
    <w:rsid w:val="005F5BFD"/>
    <w:rsid w:val="005F5C5E"/>
    <w:rsid w:val="005F5CE9"/>
    <w:rsid w:val="005F5DDB"/>
    <w:rsid w:val="005F5E66"/>
    <w:rsid w:val="005F5F42"/>
    <w:rsid w:val="005F5F68"/>
    <w:rsid w:val="005F5F74"/>
    <w:rsid w:val="005F609E"/>
    <w:rsid w:val="005F60D3"/>
    <w:rsid w:val="005F6127"/>
    <w:rsid w:val="005F61EB"/>
    <w:rsid w:val="005F6210"/>
    <w:rsid w:val="005F6219"/>
    <w:rsid w:val="005F621A"/>
    <w:rsid w:val="005F6272"/>
    <w:rsid w:val="005F6276"/>
    <w:rsid w:val="005F628E"/>
    <w:rsid w:val="005F62A5"/>
    <w:rsid w:val="005F62DA"/>
    <w:rsid w:val="005F6343"/>
    <w:rsid w:val="005F63B0"/>
    <w:rsid w:val="005F642D"/>
    <w:rsid w:val="005F6461"/>
    <w:rsid w:val="005F64D7"/>
    <w:rsid w:val="005F6506"/>
    <w:rsid w:val="005F65AE"/>
    <w:rsid w:val="005F6645"/>
    <w:rsid w:val="005F6694"/>
    <w:rsid w:val="005F66BC"/>
    <w:rsid w:val="005F684C"/>
    <w:rsid w:val="005F695B"/>
    <w:rsid w:val="005F6991"/>
    <w:rsid w:val="005F6996"/>
    <w:rsid w:val="005F69CF"/>
    <w:rsid w:val="005F6A21"/>
    <w:rsid w:val="005F6A40"/>
    <w:rsid w:val="005F6A43"/>
    <w:rsid w:val="005F6A6E"/>
    <w:rsid w:val="005F6AA2"/>
    <w:rsid w:val="005F6B3D"/>
    <w:rsid w:val="005F6C53"/>
    <w:rsid w:val="005F6E18"/>
    <w:rsid w:val="005F6E4A"/>
    <w:rsid w:val="005F6F21"/>
    <w:rsid w:val="005F6FAF"/>
    <w:rsid w:val="005F6FC6"/>
    <w:rsid w:val="005F7038"/>
    <w:rsid w:val="005F71C3"/>
    <w:rsid w:val="005F71EA"/>
    <w:rsid w:val="005F7399"/>
    <w:rsid w:val="005F73C4"/>
    <w:rsid w:val="005F73E5"/>
    <w:rsid w:val="005F74AC"/>
    <w:rsid w:val="005F7661"/>
    <w:rsid w:val="005F7781"/>
    <w:rsid w:val="005F77D0"/>
    <w:rsid w:val="005F789F"/>
    <w:rsid w:val="005F78C2"/>
    <w:rsid w:val="005F78ED"/>
    <w:rsid w:val="005F79BB"/>
    <w:rsid w:val="005F7A8B"/>
    <w:rsid w:val="005F7B02"/>
    <w:rsid w:val="005F7B6B"/>
    <w:rsid w:val="005F7B79"/>
    <w:rsid w:val="005F7BD0"/>
    <w:rsid w:val="005F7C51"/>
    <w:rsid w:val="005F7D58"/>
    <w:rsid w:val="005F7DB3"/>
    <w:rsid w:val="005F7DB9"/>
    <w:rsid w:val="005F7DBB"/>
    <w:rsid w:val="005F7DDF"/>
    <w:rsid w:val="005F7E3B"/>
    <w:rsid w:val="005F7ED9"/>
    <w:rsid w:val="005F7F6A"/>
    <w:rsid w:val="0060012B"/>
    <w:rsid w:val="006001D3"/>
    <w:rsid w:val="00600200"/>
    <w:rsid w:val="00600214"/>
    <w:rsid w:val="00600264"/>
    <w:rsid w:val="00600286"/>
    <w:rsid w:val="006002F3"/>
    <w:rsid w:val="006003C6"/>
    <w:rsid w:val="0060056D"/>
    <w:rsid w:val="006005AE"/>
    <w:rsid w:val="006005E8"/>
    <w:rsid w:val="00600609"/>
    <w:rsid w:val="00600788"/>
    <w:rsid w:val="006007FC"/>
    <w:rsid w:val="00600866"/>
    <w:rsid w:val="00600A63"/>
    <w:rsid w:val="00600AB2"/>
    <w:rsid w:val="00600B41"/>
    <w:rsid w:val="00600BA0"/>
    <w:rsid w:val="00600BA8"/>
    <w:rsid w:val="00600BD8"/>
    <w:rsid w:val="00600C99"/>
    <w:rsid w:val="00600CA1"/>
    <w:rsid w:val="00600CF9"/>
    <w:rsid w:val="00600D03"/>
    <w:rsid w:val="00600DF6"/>
    <w:rsid w:val="00600E05"/>
    <w:rsid w:val="00600F27"/>
    <w:rsid w:val="00600F5E"/>
    <w:rsid w:val="00600F95"/>
    <w:rsid w:val="00601039"/>
    <w:rsid w:val="00601094"/>
    <w:rsid w:val="00601125"/>
    <w:rsid w:val="00601215"/>
    <w:rsid w:val="0060121E"/>
    <w:rsid w:val="00601332"/>
    <w:rsid w:val="00601333"/>
    <w:rsid w:val="006014D5"/>
    <w:rsid w:val="0060152F"/>
    <w:rsid w:val="00601597"/>
    <w:rsid w:val="00601650"/>
    <w:rsid w:val="0060177A"/>
    <w:rsid w:val="00601783"/>
    <w:rsid w:val="00601880"/>
    <w:rsid w:val="0060188B"/>
    <w:rsid w:val="006018AE"/>
    <w:rsid w:val="00601975"/>
    <w:rsid w:val="00601982"/>
    <w:rsid w:val="00601A8F"/>
    <w:rsid w:val="00601C24"/>
    <w:rsid w:val="00601D5B"/>
    <w:rsid w:val="00601DAF"/>
    <w:rsid w:val="00601E64"/>
    <w:rsid w:val="00601EFA"/>
    <w:rsid w:val="00601FBF"/>
    <w:rsid w:val="00602042"/>
    <w:rsid w:val="006020AD"/>
    <w:rsid w:val="006020CC"/>
    <w:rsid w:val="00602161"/>
    <w:rsid w:val="00602221"/>
    <w:rsid w:val="0060227B"/>
    <w:rsid w:val="006022F6"/>
    <w:rsid w:val="00602473"/>
    <w:rsid w:val="006025CC"/>
    <w:rsid w:val="00602611"/>
    <w:rsid w:val="006026A5"/>
    <w:rsid w:val="006026D4"/>
    <w:rsid w:val="006028EB"/>
    <w:rsid w:val="00602931"/>
    <w:rsid w:val="00602A1D"/>
    <w:rsid w:val="00602C82"/>
    <w:rsid w:val="00602CB7"/>
    <w:rsid w:val="00602D43"/>
    <w:rsid w:val="00602D86"/>
    <w:rsid w:val="00602D96"/>
    <w:rsid w:val="00602E09"/>
    <w:rsid w:val="00602E59"/>
    <w:rsid w:val="00602FCA"/>
    <w:rsid w:val="00602FE5"/>
    <w:rsid w:val="00603069"/>
    <w:rsid w:val="006030B2"/>
    <w:rsid w:val="0060312E"/>
    <w:rsid w:val="006031BD"/>
    <w:rsid w:val="006031F0"/>
    <w:rsid w:val="00603213"/>
    <w:rsid w:val="0060334D"/>
    <w:rsid w:val="00603461"/>
    <w:rsid w:val="006034E1"/>
    <w:rsid w:val="006034FB"/>
    <w:rsid w:val="00603628"/>
    <w:rsid w:val="00603694"/>
    <w:rsid w:val="0060372E"/>
    <w:rsid w:val="006037FB"/>
    <w:rsid w:val="0060386A"/>
    <w:rsid w:val="0060390F"/>
    <w:rsid w:val="00603965"/>
    <w:rsid w:val="00603A7A"/>
    <w:rsid w:val="00603ACA"/>
    <w:rsid w:val="00603BB2"/>
    <w:rsid w:val="00603BD8"/>
    <w:rsid w:val="00603CBB"/>
    <w:rsid w:val="00603CF5"/>
    <w:rsid w:val="00603D20"/>
    <w:rsid w:val="00603DF2"/>
    <w:rsid w:val="00603EBD"/>
    <w:rsid w:val="00604150"/>
    <w:rsid w:val="00604258"/>
    <w:rsid w:val="00604276"/>
    <w:rsid w:val="006042B0"/>
    <w:rsid w:val="006042BC"/>
    <w:rsid w:val="006042F7"/>
    <w:rsid w:val="00604307"/>
    <w:rsid w:val="0060441C"/>
    <w:rsid w:val="0060442A"/>
    <w:rsid w:val="0060454A"/>
    <w:rsid w:val="00604569"/>
    <w:rsid w:val="00604577"/>
    <w:rsid w:val="00604758"/>
    <w:rsid w:val="0060479C"/>
    <w:rsid w:val="006047AA"/>
    <w:rsid w:val="0060483C"/>
    <w:rsid w:val="00604850"/>
    <w:rsid w:val="006048E6"/>
    <w:rsid w:val="006048F1"/>
    <w:rsid w:val="00604986"/>
    <w:rsid w:val="006049F9"/>
    <w:rsid w:val="00604A6A"/>
    <w:rsid w:val="00604ABE"/>
    <w:rsid w:val="00604AD5"/>
    <w:rsid w:val="00604D2B"/>
    <w:rsid w:val="00604D40"/>
    <w:rsid w:val="00604D48"/>
    <w:rsid w:val="00604D5B"/>
    <w:rsid w:val="00604DAF"/>
    <w:rsid w:val="00604DFC"/>
    <w:rsid w:val="00604E15"/>
    <w:rsid w:val="00604E73"/>
    <w:rsid w:val="00604EB5"/>
    <w:rsid w:val="00604EC2"/>
    <w:rsid w:val="00604EEF"/>
    <w:rsid w:val="00604F83"/>
    <w:rsid w:val="00605041"/>
    <w:rsid w:val="00605178"/>
    <w:rsid w:val="006051F5"/>
    <w:rsid w:val="00605294"/>
    <w:rsid w:val="0060539E"/>
    <w:rsid w:val="006053FE"/>
    <w:rsid w:val="00605414"/>
    <w:rsid w:val="00605415"/>
    <w:rsid w:val="0060547D"/>
    <w:rsid w:val="00605607"/>
    <w:rsid w:val="00605613"/>
    <w:rsid w:val="00605642"/>
    <w:rsid w:val="006057DD"/>
    <w:rsid w:val="006057F8"/>
    <w:rsid w:val="006058C4"/>
    <w:rsid w:val="006059E0"/>
    <w:rsid w:val="00605A0A"/>
    <w:rsid w:val="00605A54"/>
    <w:rsid w:val="00605AFD"/>
    <w:rsid w:val="00605B63"/>
    <w:rsid w:val="00605B72"/>
    <w:rsid w:val="00605CF4"/>
    <w:rsid w:val="00605CF9"/>
    <w:rsid w:val="00605D24"/>
    <w:rsid w:val="00605DDD"/>
    <w:rsid w:val="00605E06"/>
    <w:rsid w:val="00605E85"/>
    <w:rsid w:val="00605EF1"/>
    <w:rsid w:val="00605F30"/>
    <w:rsid w:val="00605F67"/>
    <w:rsid w:val="00605FC7"/>
    <w:rsid w:val="0060610C"/>
    <w:rsid w:val="0060612F"/>
    <w:rsid w:val="0060615B"/>
    <w:rsid w:val="006063B4"/>
    <w:rsid w:val="00606401"/>
    <w:rsid w:val="006064C1"/>
    <w:rsid w:val="0060650C"/>
    <w:rsid w:val="00606523"/>
    <w:rsid w:val="006066B0"/>
    <w:rsid w:val="0060671B"/>
    <w:rsid w:val="006067E2"/>
    <w:rsid w:val="00606952"/>
    <w:rsid w:val="006069EB"/>
    <w:rsid w:val="00606A23"/>
    <w:rsid w:val="00606A8F"/>
    <w:rsid w:val="00606AF7"/>
    <w:rsid w:val="00606C3B"/>
    <w:rsid w:val="00606DFC"/>
    <w:rsid w:val="00606F87"/>
    <w:rsid w:val="0060704B"/>
    <w:rsid w:val="006070AE"/>
    <w:rsid w:val="00607231"/>
    <w:rsid w:val="00607248"/>
    <w:rsid w:val="006072CF"/>
    <w:rsid w:val="0060730C"/>
    <w:rsid w:val="006073E0"/>
    <w:rsid w:val="00607498"/>
    <w:rsid w:val="006074CC"/>
    <w:rsid w:val="006074ED"/>
    <w:rsid w:val="0060763A"/>
    <w:rsid w:val="00607651"/>
    <w:rsid w:val="00607695"/>
    <w:rsid w:val="006076F1"/>
    <w:rsid w:val="0060773C"/>
    <w:rsid w:val="00607842"/>
    <w:rsid w:val="006078F0"/>
    <w:rsid w:val="00607908"/>
    <w:rsid w:val="00607A9D"/>
    <w:rsid w:val="00607AB5"/>
    <w:rsid w:val="00607BD4"/>
    <w:rsid w:val="00607C38"/>
    <w:rsid w:val="00607CC5"/>
    <w:rsid w:val="00607CE0"/>
    <w:rsid w:val="00607DAC"/>
    <w:rsid w:val="00607EA3"/>
    <w:rsid w:val="00607EC7"/>
    <w:rsid w:val="00607F10"/>
    <w:rsid w:val="00607F34"/>
    <w:rsid w:val="00610146"/>
    <w:rsid w:val="00610279"/>
    <w:rsid w:val="006102CD"/>
    <w:rsid w:val="0061031D"/>
    <w:rsid w:val="00610324"/>
    <w:rsid w:val="0061034D"/>
    <w:rsid w:val="0061037A"/>
    <w:rsid w:val="00610469"/>
    <w:rsid w:val="0061069A"/>
    <w:rsid w:val="006106E2"/>
    <w:rsid w:val="00610704"/>
    <w:rsid w:val="00610830"/>
    <w:rsid w:val="006108DA"/>
    <w:rsid w:val="00610A52"/>
    <w:rsid w:val="00610AAD"/>
    <w:rsid w:val="00610B4F"/>
    <w:rsid w:val="00610CBD"/>
    <w:rsid w:val="00610CCC"/>
    <w:rsid w:val="00610DAC"/>
    <w:rsid w:val="00610E33"/>
    <w:rsid w:val="00610FEB"/>
    <w:rsid w:val="00611016"/>
    <w:rsid w:val="00611120"/>
    <w:rsid w:val="006112E6"/>
    <w:rsid w:val="0061131B"/>
    <w:rsid w:val="006113AB"/>
    <w:rsid w:val="00611497"/>
    <w:rsid w:val="006114D9"/>
    <w:rsid w:val="006114E7"/>
    <w:rsid w:val="00611504"/>
    <w:rsid w:val="00611524"/>
    <w:rsid w:val="00611566"/>
    <w:rsid w:val="006115C0"/>
    <w:rsid w:val="00611644"/>
    <w:rsid w:val="006116CB"/>
    <w:rsid w:val="006116F9"/>
    <w:rsid w:val="006117D1"/>
    <w:rsid w:val="0061180C"/>
    <w:rsid w:val="0061182C"/>
    <w:rsid w:val="006118AF"/>
    <w:rsid w:val="006118CB"/>
    <w:rsid w:val="00611937"/>
    <w:rsid w:val="00611CCA"/>
    <w:rsid w:val="00611DE3"/>
    <w:rsid w:val="00611F1F"/>
    <w:rsid w:val="00611F2A"/>
    <w:rsid w:val="00611F3E"/>
    <w:rsid w:val="00611F41"/>
    <w:rsid w:val="00611F4F"/>
    <w:rsid w:val="00611F7E"/>
    <w:rsid w:val="00611F9E"/>
    <w:rsid w:val="006121A6"/>
    <w:rsid w:val="006122AB"/>
    <w:rsid w:val="006122BA"/>
    <w:rsid w:val="006122FE"/>
    <w:rsid w:val="006123D4"/>
    <w:rsid w:val="00612437"/>
    <w:rsid w:val="006124B4"/>
    <w:rsid w:val="006125B1"/>
    <w:rsid w:val="0061270E"/>
    <w:rsid w:val="0061271B"/>
    <w:rsid w:val="006127AF"/>
    <w:rsid w:val="006128AA"/>
    <w:rsid w:val="006128FC"/>
    <w:rsid w:val="00612934"/>
    <w:rsid w:val="00612943"/>
    <w:rsid w:val="006129AA"/>
    <w:rsid w:val="00612A14"/>
    <w:rsid w:val="00612A7F"/>
    <w:rsid w:val="00612C1C"/>
    <w:rsid w:val="00612C3F"/>
    <w:rsid w:val="00612DF7"/>
    <w:rsid w:val="00612E95"/>
    <w:rsid w:val="00612EE8"/>
    <w:rsid w:val="00612F79"/>
    <w:rsid w:val="00612FF6"/>
    <w:rsid w:val="00613094"/>
    <w:rsid w:val="00613341"/>
    <w:rsid w:val="00613424"/>
    <w:rsid w:val="006134B9"/>
    <w:rsid w:val="006134BB"/>
    <w:rsid w:val="006134C3"/>
    <w:rsid w:val="0061353A"/>
    <w:rsid w:val="006135AE"/>
    <w:rsid w:val="006135C6"/>
    <w:rsid w:val="00613817"/>
    <w:rsid w:val="0061382E"/>
    <w:rsid w:val="006138E8"/>
    <w:rsid w:val="006139A6"/>
    <w:rsid w:val="00613A0E"/>
    <w:rsid w:val="00613A48"/>
    <w:rsid w:val="00613A5A"/>
    <w:rsid w:val="00613B03"/>
    <w:rsid w:val="00613B71"/>
    <w:rsid w:val="00613BD9"/>
    <w:rsid w:val="00613D13"/>
    <w:rsid w:val="00613DFD"/>
    <w:rsid w:val="00613E4D"/>
    <w:rsid w:val="00613E6C"/>
    <w:rsid w:val="00613E90"/>
    <w:rsid w:val="00613EA9"/>
    <w:rsid w:val="00613EE8"/>
    <w:rsid w:val="00613FC5"/>
    <w:rsid w:val="00614013"/>
    <w:rsid w:val="006141D4"/>
    <w:rsid w:val="006141F6"/>
    <w:rsid w:val="006141FE"/>
    <w:rsid w:val="0061420B"/>
    <w:rsid w:val="006142C1"/>
    <w:rsid w:val="00614304"/>
    <w:rsid w:val="006143E2"/>
    <w:rsid w:val="0061443B"/>
    <w:rsid w:val="0061445B"/>
    <w:rsid w:val="006144FC"/>
    <w:rsid w:val="006145BC"/>
    <w:rsid w:val="0061463E"/>
    <w:rsid w:val="00614681"/>
    <w:rsid w:val="00614698"/>
    <w:rsid w:val="00614720"/>
    <w:rsid w:val="006147CD"/>
    <w:rsid w:val="00614809"/>
    <w:rsid w:val="00614865"/>
    <w:rsid w:val="006148EC"/>
    <w:rsid w:val="006148F2"/>
    <w:rsid w:val="006149A5"/>
    <w:rsid w:val="00614A58"/>
    <w:rsid w:val="00614AC5"/>
    <w:rsid w:val="00614AEE"/>
    <w:rsid w:val="00614B32"/>
    <w:rsid w:val="00614C0D"/>
    <w:rsid w:val="00614C33"/>
    <w:rsid w:val="00614C9A"/>
    <w:rsid w:val="00614CFF"/>
    <w:rsid w:val="00614E9B"/>
    <w:rsid w:val="00614ED0"/>
    <w:rsid w:val="00614F31"/>
    <w:rsid w:val="00614F4B"/>
    <w:rsid w:val="00614F98"/>
    <w:rsid w:val="00614FC3"/>
    <w:rsid w:val="00615116"/>
    <w:rsid w:val="006153C8"/>
    <w:rsid w:val="0061545D"/>
    <w:rsid w:val="006155E0"/>
    <w:rsid w:val="0061569F"/>
    <w:rsid w:val="006156C3"/>
    <w:rsid w:val="006157A6"/>
    <w:rsid w:val="00615924"/>
    <w:rsid w:val="006159F1"/>
    <w:rsid w:val="00615B30"/>
    <w:rsid w:val="00615B63"/>
    <w:rsid w:val="00615CD2"/>
    <w:rsid w:val="00615CE8"/>
    <w:rsid w:val="00615D21"/>
    <w:rsid w:val="00615DC0"/>
    <w:rsid w:val="00615E24"/>
    <w:rsid w:val="00615EDD"/>
    <w:rsid w:val="00615F48"/>
    <w:rsid w:val="00615F66"/>
    <w:rsid w:val="00615F9B"/>
    <w:rsid w:val="00615FB3"/>
    <w:rsid w:val="00615FC9"/>
    <w:rsid w:val="00615FDD"/>
    <w:rsid w:val="00616039"/>
    <w:rsid w:val="006160A0"/>
    <w:rsid w:val="006160A7"/>
    <w:rsid w:val="006161A6"/>
    <w:rsid w:val="00616275"/>
    <w:rsid w:val="006162A8"/>
    <w:rsid w:val="00616385"/>
    <w:rsid w:val="006164B7"/>
    <w:rsid w:val="006164F9"/>
    <w:rsid w:val="00616526"/>
    <w:rsid w:val="0061659E"/>
    <w:rsid w:val="006165B5"/>
    <w:rsid w:val="00616614"/>
    <w:rsid w:val="0061663A"/>
    <w:rsid w:val="00616683"/>
    <w:rsid w:val="00616720"/>
    <w:rsid w:val="00616759"/>
    <w:rsid w:val="00616796"/>
    <w:rsid w:val="00616931"/>
    <w:rsid w:val="00616997"/>
    <w:rsid w:val="00616A0A"/>
    <w:rsid w:val="00616AA3"/>
    <w:rsid w:val="00616C80"/>
    <w:rsid w:val="00616CF7"/>
    <w:rsid w:val="00616D80"/>
    <w:rsid w:val="00616E16"/>
    <w:rsid w:val="00616EB2"/>
    <w:rsid w:val="00616F02"/>
    <w:rsid w:val="00616F3A"/>
    <w:rsid w:val="00616F88"/>
    <w:rsid w:val="00617082"/>
    <w:rsid w:val="006171D3"/>
    <w:rsid w:val="0061729F"/>
    <w:rsid w:val="006172F0"/>
    <w:rsid w:val="00617381"/>
    <w:rsid w:val="0061738C"/>
    <w:rsid w:val="006173C7"/>
    <w:rsid w:val="00617401"/>
    <w:rsid w:val="00617524"/>
    <w:rsid w:val="00617613"/>
    <w:rsid w:val="00617750"/>
    <w:rsid w:val="006177BF"/>
    <w:rsid w:val="00617875"/>
    <w:rsid w:val="00617887"/>
    <w:rsid w:val="00617923"/>
    <w:rsid w:val="0061797B"/>
    <w:rsid w:val="006179CC"/>
    <w:rsid w:val="00617B1F"/>
    <w:rsid w:val="00617B25"/>
    <w:rsid w:val="00617BBF"/>
    <w:rsid w:val="00617BCD"/>
    <w:rsid w:val="00617CC7"/>
    <w:rsid w:val="00617D3A"/>
    <w:rsid w:val="00617DBE"/>
    <w:rsid w:val="00617E95"/>
    <w:rsid w:val="00617FB3"/>
    <w:rsid w:val="0062001E"/>
    <w:rsid w:val="00620027"/>
    <w:rsid w:val="00620061"/>
    <w:rsid w:val="00620162"/>
    <w:rsid w:val="00620172"/>
    <w:rsid w:val="00620178"/>
    <w:rsid w:val="006201E0"/>
    <w:rsid w:val="006201F7"/>
    <w:rsid w:val="0062027E"/>
    <w:rsid w:val="006202A7"/>
    <w:rsid w:val="006203CB"/>
    <w:rsid w:val="006204B5"/>
    <w:rsid w:val="00620536"/>
    <w:rsid w:val="0062059E"/>
    <w:rsid w:val="006206C2"/>
    <w:rsid w:val="006206CC"/>
    <w:rsid w:val="006206D4"/>
    <w:rsid w:val="0062075C"/>
    <w:rsid w:val="00620834"/>
    <w:rsid w:val="00620858"/>
    <w:rsid w:val="006208A4"/>
    <w:rsid w:val="00620911"/>
    <w:rsid w:val="0062096D"/>
    <w:rsid w:val="006209BA"/>
    <w:rsid w:val="00620BAE"/>
    <w:rsid w:val="00620CA6"/>
    <w:rsid w:val="00620DA1"/>
    <w:rsid w:val="00620E7B"/>
    <w:rsid w:val="00620F04"/>
    <w:rsid w:val="00621190"/>
    <w:rsid w:val="006211A2"/>
    <w:rsid w:val="006211DB"/>
    <w:rsid w:val="00621246"/>
    <w:rsid w:val="0062127B"/>
    <w:rsid w:val="006212EE"/>
    <w:rsid w:val="00621318"/>
    <w:rsid w:val="0062132F"/>
    <w:rsid w:val="006213AA"/>
    <w:rsid w:val="006213B5"/>
    <w:rsid w:val="006213DA"/>
    <w:rsid w:val="006213EF"/>
    <w:rsid w:val="00621458"/>
    <w:rsid w:val="006214BE"/>
    <w:rsid w:val="0062152C"/>
    <w:rsid w:val="006215F0"/>
    <w:rsid w:val="00621684"/>
    <w:rsid w:val="00621697"/>
    <w:rsid w:val="006216AC"/>
    <w:rsid w:val="006216BE"/>
    <w:rsid w:val="0062173C"/>
    <w:rsid w:val="00621820"/>
    <w:rsid w:val="00621860"/>
    <w:rsid w:val="00621992"/>
    <w:rsid w:val="00621C16"/>
    <w:rsid w:val="00621CD9"/>
    <w:rsid w:val="00621CF5"/>
    <w:rsid w:val="00621CF6"/>
    <w:rsid w:val="00621D56"/>
    <w:rsid w:val="00621DA6"/>
    <w:rsid w:val="00621ECC"/>
    <w:rsid w:val="00621F18"/>
    <w:rsid w:val="00621F36"/>
    <w:rsid w:val="00621FD5"/>
    <w:rsid w:val="0062201A"/>
    <w:rsid w:val="00622074"/>
    <w:rsid w:val="00622153"/>
    <w:rsid w:val="006221EA"/>
    <w:rsid w:val="00622225"/>
    <w:rsid w:val="006222BA"/>
    <w:rsid w:val="006223D7"/>
    <w:rsid w:val="00622690"/>
    <w:rsid w:val="00622877"/>
    <w:rsid w:val="006228AE"/>
    <w:rsid w:val="006229AB"/>
    <w:rsid w:val="006229F5"/>
    <w:rsid w:val="00622A63"/>
    <w:rsid w:val="00622AF6"/>
    <w:rsid w:val="00622B00"/>
    <w:rsid w:val="00622B15"/>
    <w:rsid w:val="00622B37"/>
    <w:rsid w:val="00622BA1"/>
    <w:rsid w:val="00622BED"/>
    <w:rsid w:val="00622C88"/>
    <w:rsid w:val="00622D1F"/>
    <w:rsid w:val="00622D75"/>
    <w:rsid w:val="00622D8C"/>
    <w:rsid w:val="00622DF5"/>
    <w:rsid w:val="00622E58"/>
    <w:rsid w:val="00622E8E"/>
    <w:rsid w:val="00622EBA"/>
    <w:rsid w:val="00622FA1"/>
    <w:rsid w:val="0062308C"/>
    <w:rsid w:val="006231D9"/>
    <w:rsid w:val="00623283"/>
    <w:rsid w:val="006232F0"/>
    <w:rsid w:val="00623303"/>
    <w:rsid w:val="00623491"/>
    <w:rsid w:val="006234F5"/>
    <w:rsid w:val="0062357A"/>
    <w:rsid w:val="00623737"/>
    <w:rsid w:val="006238B0"/>
    <w:rsid w:val="00623949"/>
    <w:rsid w:val="00623953"/>
    <w:rsid w:val="00623969"/>
    <w:rsid w:val="0062397D"/>
    <w:rsid w:val="00623987"/>
    <w:rsid w:val="00623A8A"/>
    <w:rsid w:val="00623B00"/>
    <w:rsid w:val="00623C2B"/>
    <w:rsid w:val="00623C42"/>
    <w:rsid w:val="00623D56"/>
    <w:rsid w:val="00623DD7"/>
    <w:rsid w:val="00623F6F"/>
    <w:rsid w:val="006240A1"/>
    <w:rsid w:val="00624156"/>
    <w:rsid w:val="00624164"/>
    <w:rsid w:val="006241B3"/>
    <w:rsid w:val="0062422E"/>
    <w:rsid w:val="0062426C"/>
    <w:rsid w:val="00624339"/>
    <w:rsid w:val="00624356"/>
    <w:rsid w:val="006243B8"/>
    <w:rsid w:val="00624412"/>
    <w:rsid w:val="00624474"/>
    <w:rsid w:val="006244B8"/>
    <w:rsid w:val="006244EF"/>
    <w:rsid w:val="00624578"/>
    <w:rsid w:val="006245CF"/>
    <w:rsid w:val="00624639"/>
    <w:rsid w:val="006246DD"/>
    <w:rsid w:val="0062476C"/>
    <w:rsid w:val="0062486C"/>
    <w:rsid w:val="006248C6"/>
    <w:rsid w:val="00624913"/>
    <w:rsid w:val="0062491A"/>
    <w:rsid w:val="00624979"/>
    <w:rsid w:val="006249DA"/>
    <w:rsid w:val="00624A4F"/>
    <w:rsid w:val="00624A89"/>
    <w:rsid w:val="00624BCD"/>
    <w:rsid w:val="00624C14"/>
    <w:rsid w:val="00624C4B"/>
    <w:rsid w:val="00624CDE"/>
    <w:rsid w:val="00624D13"/>
    <w:rsid w:val="00624D23"/>
    <w:rsid w:val="00624D84"/>
    <w:rsid w:val="00624F12"/>
    <w:rsid w:val="00624F48"/>
    <w:rsid w:val="0062502A"/>
    <w:rsid w:val="00625185"/>
    <w:rsid w:val="006252D1"/>
    <w:rsid w:val="00625322"/>
    <w:rsid w:val="0062533A"/>
    <w:rsid w:val="00625354"/>
    <w:rsid w:val="00625437"/>
    <w:rsid w:val="00625581"/>
    <w:rsid w:val="006255F7"/>
    <w:rsid w:val="006256F1"/>
    <w:rsid w:val="006257C8"/>
    <w:rsid w:val="00625896"/>
    <w:rsid w:val="006258D7"/>
    <w:rsid w:val="0062599B"/>
    <w:rsid w:val="006259A2"/>
    <w:rsid w:val="00625A62"/>
    <w:rsid w:val="00625AA3"/>
    <w:rsid w:val="00625B28"/>
    <w:rsid w:val="00625C88"/>
    <w:rsid w:val="00625CEA"/>
    <w:rsid w:val="00625CF8"/>
    <w:rsid w:val="00625D31"/>
    <w:rsid w:val="00625D3F"/>
    <w:rsid w:val="00625E48"/>
    <w:rsid w:val="00625EA3"/>
    <w:rsid w:val="00625EE0"/>
    <w:rsid w:val="0062605B"/>
    <w:rsid w:val="00626096"/>
    <w:rsid w:val="006260F5"/>
    <w:rsid w:val="00626165"/>
    <w:rsid w:val="00626348"/>
    <w:rsid w:val="006263EC"/>
    <w:rsid w:val="00626483"/>
    <w:rsid w:val="00626532"/>
    <w:rsid w:val="00626567"/>
    <w:rsid w:val="00626634"/>
    <w:rsid w:val="0062672C"/>
    <w:rsid w:val="00626734"/>
    <w:rsid w:val="00626865"/>
    <w:rsid w:val="0062691B"/>
    <w:rsid w:val="00626988"/>
    <w:rsid w:val="00626990"/>
    <w:rsid w:val="006269E8"/>
    <w:rsid w:val="00626ADE"/>
    <w:rsid w:val="00626B67"/>
    <w:rsid w:val="00626B86"/>
    <w:rsid w:val="00626BCE"/>
    <w:rsid w:val="00626BD0"/>
    <w:rsid w:val="00626C52"/>
    <w:rsid w:val="00626D33"/>
    <w:rsid w:val="00626D8F"/>
    <w:rsid w:val="00626E2B"/>
    <w:rsid w:val="00626E9B"/>
    <w:rsid w:val="00626F0E"/>
    <w:rsid w:val="00626F4C"/>
    <w:rsid w:val="00626FB0"/>
    <w:rsid w:val="00627126"/>
    <w:rsid w:val="006271AA"/>
    <w:rsid w:val="006271F3"/>
    <w:rsid w:val="00627201"/>
    <w:rsid w:val="00627208"/>
    <w:rsid w:val="00627274"/>
    <w:rsid w:val="00627312"/>
    <w:rsid w:val="0062737A"/>
    <w:rsid w:val="00627395"/>
    <w:rsid w:val="0062751F"/>
    <w:rsid w:val="006275DB"/>
    <w:rsid w:val="00627687"/>
    <w:rsid w:val="00627799"/>
    <w:rsid w:val="006277B4"/>
    <w:rsid w:val="0062785A"/>
    <w:rsid w:val="0062790E"/>
    <w:rsid w:val="00627999"/>
    <w:rsid w:val="006279AD"/>
    <w:rsid w:val="006279F1"/>
    <w:rsid w:val="00627A4A"/>
    <w:rsid w:val="00627A7B"/>
    <w:rsid w:val="00627AAE"/>
    <w:rsid w:val="00627B08"/>
    <w:rsid w:val="00627B0A"/>
    <w:rsid w:val="00627BE6"/>
    <w:rsid w:val="00627C29"/>
    <w:rsid w:val="00627CF4"/>
    <w:rsid w:val="00627DC9"/>
    <w:rsid w:val="00627E17"/>
    <w:rsid w:val="00627E3A"/>
    <w:rsid w:val="00627F18"/>
    <w:rsid w:val="00627F77"/>
    <w:rsid w:val="006300CF"/>
    <w:rsid w:val="006301FD"/>
    <w:rsid w:val="006302BC"/>
    <w:rsid w:val="006302C1"/>
    <w:rsid w:val="00630386"/>
    <w:rsid w:val="006303D8"/>
    <w:rsid w:val="006303FB"/>
    <w:rsid w:val="0063040A"/>
    <w:rsid w:val="00630444"/>
    <w:rsid w:val="00630509"/>
    <w:rsid w:val="006305CC"/>
    <w:rsid w:val="0063070B"/>
    <w:rsid w:val="00630886"/>
    <w:rsid w:val="00630B3E"/>
    <w:rsid w:val="00630B9D"/>
    <w:rsid w:val="00630C1C"/>
    <w:rsid w:val="00630C4E"/>
    <w:rsid w:val="00630C64"/>
    <w:rsid w:val="00630D06"/>
    <w:rsid w:val="00630D82"/>
    <w:rsid w:val="00630F9C"/>
    <w:rsid w:val="00630F9D"/>
    <w:rsid w:val="0063100C"/>
    <w:rsid w:val="00631023"/>
    <w:rsid w:val="006311CD"/>
    <w:rsid w:val="00631283"/>
    <w:rsid w:val="006312FC"/>
    <w:rsid w:val="0063134B"/>
    <w:rsid w:val="006314D4"/>
    <w:rsid w:val="006314E4"/>
    <w:rsid w:val="00631522"/>
    <w:rsid w:val="00631535"/>
    <w:rsid w:val="006315E8"/>
    <w:rsid w:val="006315F0"/>
    <w:rsid w:val="00631676"/>
    <w:rsid w:val="0063170D"/>
    <w:rsid w:val="006317E7"/>
    <w:rsid w:val="00631818"/>
    <w:rsid w:val="006318BF"/>
    <w:rsid w:val="00631A12"/>
    <w:rsid w:val="00631C24"/>
    <w:rsid w:val="00631D68"/>
    <w:rsid w:val="006320D9"/>
    <w:rsid w:val="006320E4"/>
    <w:rsid w:val="00632173"/>
    <w:rsid w:val="00632225"/>
    <w:rsid w:val="00632309"/>
    <w:rsid w:val="006323B1"/>
    <w:rsid w:val="00632514"/>
    <w:rsid w:val="0063252B"/>
    <w:rsid w:val="0063255A"/>
    <w:rsid w:val="006325E8"/>
    <w:rsid w:val="00632621"/>
    <w:rsid w:val="00632683"/>
    <w:rsid w:val="006326F7"/>
    <w:rsid w:val="0063275E"/>
    <w:rsid w:val="006327D3"/>
    <w:rsid w:val="00632880"/>
    <w:rsid w:val="006328DE"/>
    <w:rsid w:val="00632918"/>
    <w:rsid w:val="00632C7E"/>
    <w:rsid w:val="00632CBD"/>
    <w:rsid w:val="00632CC8"/>
    <w:rsid w:val="00632D42"/>
    <w:rsid w:val="00632F0D"/>
    <w:rsid w:val="00632FA0"/>
    <w:rsid w:val="00633106"/>
    <w:rsid w:val="00633145"/>
    <w:rsid w:val="0063318C"/>
    <w:rsid w:val="00633211"/>
    <w:rsid w:val="00633212"/>
    <w:rsid w:val="0063325C"/>
    <w:rsid w:val="0063329E"/>
    <w:rsid w:val="00633385"/>
    <w:rsid w:val="0063354E"/>
    <w:rsid w:val="00633645"/>
    <w:rsid w:val="006336CA"/>
    <w:rsid w:val="0063370A"/>
    <w:rsid w:val="00633759"/>
    <w:rsid w:val="006338A7"/>
    <w:rsid w:val="00633979"/>
    <w:rsid w:val="006339EE"/>
    <w:rsid w:val="00633AB5"/>
    <w:rsid w:val="00633AD1"/>
    <w:rsid w:val="00633AD7"/>
    <w:rsid w:val="00633B0F"/>
    <w:rsid w:val="00633B34"/>
    <w:rsid w:val="00633C31"/>
    <w:rsid w:val="00633C5C"/>
    <w:rsid w:val="00633C88"/>
    <w:rsid w:val="00633E85"/>
    <w:rsid w:val="00633ED3"/>
    <w:rsid w:val="00633F19"/>
    <w:rsid w:val="00633FA8"/>
    <w:rsid w:val="0063404A"/>
    <w:rsid w:val="006340D3"/>
    <w:rsid w:val="00634119"/>
    <w:rsid w:val="006342D7"/>
    <w:rsid w:val="0063430E"/>
    <w:rsid w:val="00634311"/>
    <w:rsid w:val="006343BC"/>
    <w:rsid w:val="00634412"/>
    <w:rsid w:val="0063444F"/>
    <w:rsid w:val="0063449D"/>
    <w:rsid w:val="006344DA"/>
    <w:rsid w:val="006345D3"/>
    <w:rsid w:val="006347A3"/>
    <w:rsid w:val="006347E5"/>
    <w:rsid w:val="0063486D"/>
    <w:rsid w:val="00634948"/>
    <w:rsid w:val="006349C1"/>
    <w:rsid w:val="006349C6"/>
    <w:rsid w:val="00634A77"/>
    <w:rsid w:val="00634B2F"/>
    <w:rsid w:val="00634BA2"/>
    <w:rsid w:val="00634C02"/>
    <w:rsid w:val="00634CA6"/>
    <w:rsid w:val="00634D3F"/>
    <w:rsid w:val="00634E1B"/>
    <w:rsid w:val="00634F23"/>
    <w:rsid w:val="00634F2C"/>
    <w:rsid w:val="00634F42"/>
    <w:rsid w:val="00634FE3"/>
    <w:rsid w:val="00635016"/>
    <w:rsid w:val="0063518A"/>
    <w:rsid w:val="00635214"/>
    <w:rsid w:val="00635269"/>
    <w:rsid w:val="006352E0"/>
    <w:rsid w:val="00635374"/>
    <w:rsid w:val="0063540B"/>
    <w:rsid w:val="006356F7"/>
    <w:rsid w:val="00635859"/>
    <w:rsid w:val="006358E0"/>
    <w:rsid w:val="006359A7"/>
    <w:rsid w:val="00635A7E"/>
    <w:rsid w:val="00635BB1"/>
    <w:rsid w:val="00635C81"/>
    <w:rsid w:val="00635D2C"/>
    <w:rsid w:val="00635F6C"/>
    <w:rsid w:val="00635FA4"/>
    <w:rsid w:val="00636357"/>
    <w:rsid w:val="0063654B"/>
    <w:rsid w:val="006367B2"/>
    <w:rsid w:val="00636949"/>
    <w:rsid w:val="0063694C"/>
    <w:rsid w:val="00636A4F"/>
    <w:rsid w:val="00636ACD"/>
    <w:rsid w:val="00636B51"/>
    <w:rsid w:val="00636CC1"/>
    <w:rsid w:val="00636D3B"/>
    <w:rsid w:val="00636D63"/>
    <w:rsid w:val="00636DA7"/>
    <w:rsid w:val="00636E1F"/>
    <w:rsid w:val="00636FB7"/>
    <w:rsid w:val="00636FF7"/>
    <w:rsid w:val="0063702D"/>
    <w:rsid w:val="00637042"/>
    <w:rsid w:val="00637147"/>
    <w:rsid w:val="00637154"/>
    <w:rsid w:val="0063724B"/>
    <w:rsid w:val="00637330"/>
    <w:rsid w:val="0063733B"/>
    <w:rsid w:val="0063746A"/>
    <w:rsid w:val="00637481"/>
    <w:rsid w:val="0063758C"/>
    <w:rsid w:val="006375CF"/>
    <w:rsid w:val="006376C3"/>
    <w:rsid w:val="00637746"/>
    <w:rsid w:val="00637905"/>
    <w:rsid w:val="00637A44"/>
    <w:rsid w:val="00637A6E"/>
    <w:rsid w:val="00637AA9"/>
    <w:rsid w:val="00637B2F"/>
    <w:rsid w:val="00637B81"/>
    <w:rsid w:val="00637D8C"/>
    <w:rsid w:val="00637DC1"/>
    <w:rsid w:val="00637E62"/>
    <w:rsid w:val="00637E98"/>
    <w:rsid w:val="00637F47"/>
    <w:rsid w:val="00637F99"/>
    <w:rsid w:val="0064014B"/>
    <w:rsid w:val="0064032C"/>
    <w:rsid w:val="006403DA"/>
    <w:rsid w:val="00640418"/>
    <w:rsid w:val="00640428"/>
    <w:rsid w:val="006404A7"/>
    <w:rsid w:val="00640570"/>
    <w:rsid w:val="006405B2"/>
    <w:rsid w:val="006405C5"/>
    <w:rsid w:val="0064062C"/>
    <w:rsid w:val="00640845"/>
    <w:rsid w:val="0064086E"/>
    <w:rsid w:val="006408FB"/>
    <w:rsid w:val="00640ABD"/>
    <w:rsid w:val="00640B4D"/>
    <w:rsid w:val="00640B79"/>
    <w:rsid w:val="00640B86"/>
    <w:rsid w:val="00640D7F"/>
    <w:rsid w:val="00640D94"/>
    <w:rsid w:val="00640E0F"/>
    <w:rsid w:val="00640E37"/>
    <w:rsid w:val="00640E44"/>
    <w:rsid w:val="00640E4F"/>
    <w:rsid w:val="00640E82"/>
    <w:rsid w:val="00640E99"/>
    <w:rsid w:val="00640F48"/>
    <w:rsid w:val="006410E6"/>
    <w:rsid w:val="006410F7"/>
    <w:rsid w:val="0064110D"/>
    <w:rsid w:val="0064116E"/>
    <w:rsid w:val="006412FC"/>
    <w:rsid w:val="006413A1"/>
    <w:rsid w:val="006413C0"/>
    <w:rsid w:val="00641445"/>
    <w:rsid w:val="0064146A"/>
    <w:rsid w:val="00641491"/>
    <w:rsid w:val="006414D1"/>
    <w:rsid w:val="0064150C"/>
    <w:rsid w:val="0064156A"/>
    <w:rsid w:val="006415AC"/>
    <w:rsid w:val="006415BD"/>
    <w:rsid w:val="006415E0"/>
    <w:rsid w:val="0064161D"/>
    <w:rsid w:val="00641708"/>
    <w:rsid w:val="0064175F"/>
    <w:rsid w:val="00641998"/>
    <w:rsid w:val="00641A0A"/>
    <w:rsid w:val="00641A11"/>
    <w:rsid w:val="00641BE6"/>
    <w:rsid w:val="00641C09"/>
    <w:rsid w:val="00641D58"/>
    <w:rsid w:val="00641E52"/>
    <w:rsid w:val="00641E7E"/>
    <w:rsid w:val="00641E8F"/>
    <w:rsid w:val="00642049"/>
    <w:rsid w:val="006420CC"/>
    <w:rsid w:val="006420CE"/>
    <w:rsid w:val="00642119"/>
    <w:rsid w:val="0064220C"/>
    <w:rsid w:val="006422FA"/>
    <w:rsid w:val="00642344"/>
    <w:rsid w:val="00642357"/>
    <w:rsid w:val="00642385"/>
    <w:rsid w:val="0064239E"/>
    <w:rsid w:val="0064240C"/>
    <w:rsid w:val="00642418"/>
    <w:rsid w:val="00642530"/>
    <w:rsid w:val="00642615"/>
    <w:rsid w:val="006426D5"/>
    <w:rsid w:val="0064278E"/>
    <w:rsid w:val="006427A5"/>
    <w:rsid w:val="0064290B"/>
    <w:rsid w:val="00642970"/>
    <w:rsid w:val="006429EF"/>
    <w:rsid w:val="00642ACC"/>
    <w:rsid w:val="00642BD8"/>
    <w:rsid w:val="00642C45"/>
    <w:rsid w:val="00642D44"/>
    <w:rsid w:val="00642D71"/>
    <w:rsid w:val="00642D94"/>
    <w:rsid w:val="00642DBC"/>
    <w:rsid w:val="00642DD5"/>
    <w:rsid w:val="00642E51"/>
    <w:rsid w:val="00642E77"/>
    <w:rsid w:val="00642ECF"/>
    <w:rsid w:val="00642F22"/>
    <w:rsid w:val="00642F9C"/>
    <w:rsid w:val="0064302F"/>
    <w:rsid w:val="006430E8"/>
    <w:rsid w:val="006431BE"/>
    <w:rsid w:val="006431CA"/>
    <w:rsid w:val="00643269"/>
    <w:rsid w:val="00643328"/>
    <w:rsid w:val="0064335C"/>
    <w:rsid w:val="006433A2"/>
    <w:rsid w:val="006433E6"/>
    <w:rsid w:val="00643409"/>
    <w:rsid w:val="00643479"/>
    <w:rsid w:val="00643490"/>
    <w:rsid w:val="00643579"/>
    <w:rsid w:val="00643610"/>
    <w:rsid w:val="00643616"/>
    <w:rsid w:val="0064361B"/>
    <w:rsid w:val="0064372D"/>
    <w:rsid w:val="00643776"/>
    <w:rsid w:val="00643786"/>
    <w:rsid w:val="006437C1"/>
    <w:rsid w:val="006438B7"/>
    <w:rsid w:val="0064399F"/>
    <w:rsid w:val="006439BA"/>
    <w:rsid w:val="006439E3"/>
    <w:rsid w:val="00643A1E"/>
    <w:rsid w:val="00643C2B"/>
    <w:rsid w:val="00643C54"/>
    <w:rsid w:val="00643C8C"/>
    <w:rsid w:val="00643C9D"/>
    <w:rsid w:val="00643D6C"/>
    <w:rsid w:val="00643DE4"/>
    <w:rsid w:val="00643DFA"/>
    <w:rsid w:val="00643E63"/>
    <w:rsid w:val="00643ED4"/>
    <w:rsid w:val="00643FDC"/>
    <w:rsid w:val="00643FE4"/>
    <w:rsid w:val="00644094"/>
    <w:rsid w:val="006440C1"/>
    <w:rsid w:val="006440E6"/>
    <w:rsid w:val="00644249"/>
    <w:rsid w:val="0064427F"/>
    <w:rsid w:val="0064455A"/>
    <w:rsid w:val="00644632"/>
    <w:rsid w:val="00644641"/>
    <w:rsid w:val="006447C6"/>
    <w:rsid w:val="006448BB"/>
    <w:rsid w:val="006448C0"/>
    <w:rsid w:val="006448CE"/>
    <w:rsid w:val="006448ED"/>
    <w:rsid w:val="00644948"/>
    <w:rsid w:val="00644AAD"/>
    <w:rsid w:val="00644C15"/>
    <w:rsid w:val="00644F7D"/>
    <w:rsid w:val="00644FDE"/>
    <w:rsid w:val="00645008"/>
    <w:rsid w:val="00645016"/>
    <w:rsid w:val="0064502A"/>
    <w:rsid w:val="00645031"/>
    <w:rsid w:val="006450C7"/>
    <w:rsid w:val="0064517D"/>
    <w:rsid w:val="006451A6"/>
    <w:rsid w:val="006451CC"/>
    <w:rsid w:val="006451EF"/>
    <w:rsid w:val="006452C6"/>
    <w:rsid w:val="00645340"/>
    <w:rsid w:val="006454C7"/>
    <w:rsid w:val="006454FD"/>
    <w:rsid w:val="0064558A"/>
    <w:rsid w:val="006455E9"/>
    <w:rsid w:val="0064584E"/>
    <w:rsid w:val="00645920"/>
    <w:rsid w:val="00645A44"/>
    <w:rsid w:val="00645B42"/>
    <w:rsid w:val="00645BB3"/>
    <w:rsid w:val="00645BE5"/>
    <w:rsid w:val="00645BFA"/>
    <w:rsid w:val="00645CCA"/>
    <w:rsid w:val="00645E42"/>
    <w:rsid w:val="00645F78"/>
    <w:rsid w:val="00645FEA"/>
    <w:rsid w:val="00646089"/>
    <w:rsid w:val="00646197"/>
    <w:rsid w:val="006461CA"/>
    <w:rsid w:val="006461EA"/>
    <w:rsid w:val="00646254"/>
    <w:rsid w:val="006462B7"/>
    <w:rsid w:val="006462EE"/>
    <w:rsid w:val="0064631A"/>
    <w:rsid w:val="006464FD"/>
    <w:rsid w:val="00646557"/>
    <w:rsid w:val="006466CD"/>
    <w:rsid w:val="006466D6"/>
    <w:rsid w:val="006467BD"/>
    <w:rsid w:val="006467D9"/>
    <w:rsid w:val="0064681A"/>
    <w:rsid w:val="00646850"/>
    <w:rsid w:val="0064699E"/>
    <w:rsid w:val="006469DB"/>
    <w:rsid w:val="006469E1"/>
    <w:rsid w:val="006469F6"/>
    <w:rsid w:val="00646B64"/>
    <w:rsid w:val="00646BF0"/>
    <w:rsid w:val="00646C2A"/>
    <w:rsid w:val="00646CFD"/>
    <w:rsid w:val="00646D68"/>
    <w:rsid w:val="00646DC4"/>
    <w:rsid w:val="00646E18"/>
    <w:rsid w:val="00646E2D"/>
    <w:rsid w:val="00646E6E"/>
    <w:rsid w:val="00646E7B"/>
    <w:rsid w:val="00646E9B"/>
    <w:rsid w:val="00646F21"/>
    <w:rsid w:val="00647255"/>
    <w:rsid w:val="006472E7"/>
    <w:rsid w:val="006472EB"/>
    <w:rsid w:val="00647322"/>
    <w:rsid w:val="0064732B"/>
    <w:rsid w:val="00647380"/>
    <w:rsid w:val="00647454"/>
    <w:rsid w:val="006474BE"/>
    <w:rsid w:val="00647607"/>
    <w:rsid w:val="00647670"/>
    <w:rsid w:val="006476D7"/>
    <w:rsid w:val="006476F7"/>
    <w:rsid w:val="0064776D"/>
    <w:rsid w:val="006478C0"/>
    <w:rsid w:val="00647905"/>
    <w:rsid w:val="00647949"/>
    <w:rsid w:val="00647992"/>
    <w:rsid w:val="006479FA"/>
    <w:rsid w:val="00647A29"/>
    <w:rsid w:val="00647A7C"/>
    <w:rsid w:val="00647B8C"/>
    <w:rsid w:val="00647C5E"/>
    <w:rsid w:val="00647DFE"/>
    <w:rsid w:val="00647E20"/>
    <w:rsid w:val="00647E38"/>
    <w:rsid w:val="00647E6F"/>
    <w:rsid w:val="00647F54"/>
    <w:rsid w:val="00647F79"/>
    <w:rsid w:val="00647FF8"/>
    <w:rsid w:val="00650006"/>
    <w:rsid w:val="006500BE"/>
    <w:rsid w:val="0065010D"/>
    <w:rsid w:val="00650134"/>
    <w:rsid w:val="00650183"/>
    <w:rsid w:val="00650217"/>
    <w:rsid w:val="0065024B"/>
    <w:rsid w:val="00650373"/>
    <w:rsid w:val="0065037C"/>
    <w:rsid w:val="00650446"/>
    <w:rsid w:val="0065050A"/>
    <w:rsid w:val="00650758"/>
    <w:rsid w:val="0065082C"/>
    <w:rsid w:val="006508EE"/>
    <w:rsid w:val="00650946"/>
    <w:rsid w:val="00650B02"/>
    <w:rsid w:val="00650B05"/>
    <w:rsid w:val="00650B7D"/>
    <w:rsid w:val="00650B96"/>
    <w:rsid w:val="00650BD6"/>
    <w:rsid w:val="00650C68"/>
    <w:rsid w:val="00650CA2"/>
    <w:rsid w:val="00650DF7"/>
    <w:rsid w:val="00650E13"/>
    <w:rsid w:val="00650EA9"/>
    <w:rsid w:val="00650ECF"/>
    <w:rsid w:val="00650ED8"/>
    <w:rsid w:val="00650F43"/>
    <w:rsid w:val="00651233"/>
    <w:rsid w:val="00651307"/>
    <w:rsid w:val="00651447"/>
    <w:rsid w:val="006514D5"/>
    <w:rsid w:val="006515A7"/>
    <w:rsid w:val="00651661"/>
    <w:rsid w:val="006516F5"/>
    <w:rsid w:val="00651722"/>
    <w:rsid w:val="006517B5"/>
    <w:rsid w:val="006517BC"/>
    <w:rsid w:val="006518F2"/>
    <w:rsid w:val="00651929"/>
    <w:rsid w:val="0065195C"/>
    <w:rsid w:val="00651A3C"/>
    <w:rsid w:val="00651A78"/>
    <w:rsid w:val="00651A8D"/>
    <w:rsid w:val="00651AB1"/>
    <w:rsid w:val="00651D96"/>
    <w:rsid w:val="00651DE3"/>
    <w:rsid w:val="00651F47"/>
    <w:rsid w:val="00652051"/>
    <w:rsid w:val="006520FA"/>
    <w:rsid w:val="00652157"/>
    <w:rsid w:val="0065215D"/>
    <w:rsid w:val="00652185"/>
    <w:rsid w:val="006521D9"/>
    <w:rsid w:val="0065226E"/>
    <w:rsid w:val="00652338"/>
    <w:rsid w:val="006524CE"/>
    <w:rsid w:val="006524FA"/>
    <w:rsid w:val="0065258C"/>
    <w:rsid w:val="006525F1"/>
    <w:rsid w:val="006526BA"/>
    <w:rsid w:val="006526F8"/>
    <w:rsid w:val="00652750"/>
    <w:rsid w:val="00652864"/>
    <w:rsid w:val="006529BE"/>
    <w:rsid w:val="00652A34"/>
    <w:rsid w:val="00652AC9"/>
    <w:rsid w:val="00652B94"/>
    <w:rsid w:val="00652CB4"/>
    <w:rsid w:val="00652E08"/>
    <w:rsid w:val="00652E3A"/>
    <w:rsid w:val="00652EB6"/>
    <w:rsid w:val="00652ECF"/>
    <w:rsid w:val="00652EE5"/>
    <w:rsid w:val="00652EF8"/>
    <w:rsid w:val="00652F12"/>
    <w:rsid w:val="00652F72"/>
    <w:rsid w:val="00652F7F"/>
    <w:rsid w:val="00652F94"/>
    <w:rsid w:val="00652FA8"/>
    <w:rsid w:val="00652FE0"/>
    <w:rsid w:val="006530A9"/>
    <w:rsid w:val="006530B4"/>
    <w:rsid w:val="006530D5"/>
    <w:rsid w:val="00653143"/>
    <w:rsid w:val="006531B8"/>
    <w:rsid w:val="0065341D"/>
    <w:rsid w:val="0065344B"/>
    <w:rsid w:val="00653456"/>
    <w:rsid w:val="00653512"/>
    <w:rsid w:val="00653540"/>
    <w:rsid w:val="0065356C"/>
    <w:rsid w:val="0065357E"/>
    <w:rsid w:val="006537C4"/>
    <w:rsid w:val="006537D8"/>
    <w:rsid w:val="006537E5"/>
    <w:rsid w:val="006537E6"/>
    <w:rsid w:val="006537F2"/>
    <w:rsid w:val="006539E9"/>
    <w:rsid w:val="006539F5"/>
    <w:rsid w:val="00653AE0"/>
    <w:rsid w:val="00653B2C"/>
    <w:rsid w:val="00653BD3"/>
    <w:rsid w:val="00653C1A"/>
    <w:rsid w:val="00653C51"/>
    <w:rsid w:val="00653CF6"/>
    <w:rsid w:val="00653D8B"/>
    <w:rsid w:val="00653F88"/>
    <w:rsid w:val="00653FB6"/>
    <w:rsid w:val="00653FEE"/>
    <w:rsid w:val="006540EA"/>
    <w:rsid w:val="00654167"/>
    <w:rsid w:val="0065427E"/>
    <w:rsid w:val="00654395"/>
    <w:rsid w:val="006543A0"/>
    <w:rsid w:val="006543BD"/>
    <w:rsid w:val="00654500"/>
    <w:rsid w:val="00654587"/>
    <w:rsid w:val="00654716"/>
    <w:rsid w:val="0065478E"/>
    <w:rsid w:val="0065481D"/>
    <w:rsid w:val="00654835"/>
    <w:rsid w:val="0065484C"/>
    <w:rsid w:val="006548E8"/>
    <w:rsid w:val="00654936"/>
    <w:rsid w:val="0065493B"/>
    <w:rsid w:val="00654A1E"/>
    <w:rsid w:val="00654A78"/>
    <w:rsid w:val="00654AFC"/>
    <w:rsid w:val="00654B62"/>
    <w:rsid w:val="00654B92"/>
    <w:rsid w:val="00654C68"/>
    <w:rsid w:val="00654CB5"/>
    <w:rsid w:val="00654CB6"/>
    <w:rsid w:val="00654EA5"/>
    <w:rsid w:val="00654F88"/>
    <w:rsid w:val="00654FC6"/>
    <w:rsid w:val="0065503F"/>
    <w:rsid w:val="0065509C"/>
    <w:rsid w:val="006552EC"/>
    <w:rsid w:val="00655396"/>
    <w:rsid w:val="00655482"/>
    <w:rsid w:val="006554EE"/>
    <w:rsid w:val="00655530"/>
    <w:rsid w:val="006556C8"/>
    <w:rsid w:val="00655928"/>
    <w:rsid w:val="00655969"/>
    <w:rsid w:val="006559EC"/>
    <w:rsid w:val="00655A4A"/>
    <w:rsid w:val="00655ADF"/>
    <w:rsid w:val="00655C34"/>
    <w:rsid w:val="00655D06"/>
    <w:rsid w:val="00655DBC"/>
    <w:rsid w:val="00655DFF"/>
    <w:rsid w:val="00655E56"/>
    <w:rsid w:val="00655F0B"/>
    <w:rsid w:val="00655F40"/>
    <w:rsid w:val="00655F65"/>
    <w:rsid w:val="006560A8"/>
    <w:rsid w:val="006560D9"/>
    <w:rsid w:val="00656123"/>
    <w:rsid w:val="006561A0"/>
    <w:rsid w:val="006563C3"/>
    <w:rsid w:val="00656449"/>
    <w:rsid w:val="0065658D"/>
    <w:rsid w:val="006568AB"/>
    <w:rsid w:val="00656945"/>
    <w:rsid w:val="00656B2D"/>
    <w:rsid w:val="00656B3B"/>
    <w:rsid w:val="00656C1E"/>
    <w:rsid w:val="00656CB8"/>
    <w:rsid w:val="00656E7D"/>
    <w:rsid w:val="00656EAA"/>
    <w:rsid w:val="00656F72"/>
    <w:rsid w:val="00656F99"/>
    <w:rsid w:val="00656FD6"/>
    <w:rsid w:val="0065701C"/>
    <w:rsid w:val="00657160"/>
    <w:rsid w:val="0065719F"/>
    <w:rsid w:val="00657247"/>
    <w:rsid w:val="00657284"/>
    <w:rsid w:val="006572BE"/>
    <w:rsid w:val="006572C9"/>
    <w:rsid w:val="006572E8"/>
    <w:rsid w:val="0065737C"/>
    <w:rsid w:val="0065738E"/>
    <w:rsid w:val="006573C1"/>
    <w:rsid w:val="00657447"/>
    <w:rsid w:val="0065749A"/>
    <w:rsid w:val="0065753C"/>
    <w:rsid w:val="00657687"/>
    <w:rsid w:val="006576C1"/>
    <w:rsid w:val="006576FA"/>
    <w:rsid w:val="00657739"/>
    <w:rsid w:val="006577C7"/>
    <w:rsid w:val="006577E2"/>
    <w:rsid w:val="00657814"/>
    <w:rsid w:val="0065796E"/>
    <w:rsid w:val="00657A45"/>
    <w:rsid w:val="00657A6C"/>
    <w:rsid w:val="00657AFE"/>
    <w:rsid w:val="00657B04"/>
    <w:rsid w:val="00657B59"/>
    <w:rsid w:val="00657B75"/>
    <w:rsid w:val="00657BC2"/>
    <w:rsid w:val="00657C6C"/>
    <w:rsid w:val="00657CB1"/>
    <w:rsid w:val="00657CBD"/>
    <w:rsid w:val="00657CE8"/>
    <w:rsid w:val="00657DB2"/>
    <w:rsid w:val="00657ECF"/>
    <w:rsid w:val="00657F30"/>
    <w:rsid w:val="006600D0"/>
    <w:rsid w:val="00660190"/>
    <w:rsid w:val="0066024A"/>
    <w:rsid w:val="00660361"/>
    <w:rsid w:val="0066040E"/>
    <w:rsid w:val="0066041A"/>
    <w:rsid w:val="00660584"/>
    <w:rsid w:val="006605E1"/>
    <w:rsid w:val="0066065E"/>
    <w:rsid w:val="0066077E"/>
    <w:rsid w:val="0066081D"/>
    <w:rsid w:val="0066085E"/>
    <w:rsid w:val="006608F1"/>
    <w:rsid w:val="0066092B"/>
    <w:rsid w:val="00660969"/>
    <w:rsid w:val="006609BA"/>
    <w:rsid w:val="00660A11"/>
    <w:rsid w:val="00660AB2"/>
    <w:rsid w:val="00660B0A"/>
    <w:rsid w:val="00660BEC"/>
    <w:rsid w:val="00660C85"/>
    <w:rsid w:val="00660C95"/>
    <w:rsid w:val="00660CBC"/>
    <w:rsid w:val="00660D16"/>
    <w:rsid w:val="00660E3E"/>
    <w:rsid w:val="00660E82"/>
    <w:rsid w:val="00660EF4"/>
    <w:rsid w:val="00660FA9"/>
    <w:rsid w:val="006610A0"/>
    <w:rsid w:val="006610A1"/>
    <w:rsid w:val="006610AD"/>
    <w:rsid w:val="006610BE"/>
    <w:rsid w:val="006611BB"/>
    <w:rsid w:val="00661230"/>
    <w:rsid w:val="00661362"/>
    <w:rsid w:val="00661368"/>
    <w:rsid w:val="00661558"/>
    <w:rsid w:val="006615BA"/>
    <w:rsid w:val="006617B7"/>
    <w:rsid w:val="00661960"/>
    <w:rsid w:val="006619C7"/>
    <w:rsid w:val="00661A8B"/>
    <w:rsid w:val="00661BCA"/>
    <w:rsid w:val="00661C5A"/>
    <w:rsid w:val="00661CB1"/>
    <w:rsid w:val="00661D55"/>
    <w:rsid w:val="00661D69"/>
    <w:rsid w:val="00661DB7"/>
    <w:rsid w:val="00661DF0"/>
    <w:rsid w:val="00661E2C"/>
    <w:rsid w:val="00661FB4"/>
    <w:rsid w:val="00661FD7"/>
    <w:rsid w:val="00662085"/>
    <w:rsid w:val="006620CE"/>
    <w:rsid w:val="00662131"/>
    <w:rsid w:val="006621D4"/>
    <w:rsid w:val="0066234D"/>
    <w:rsid w:val="00662432"/>
    <w:rsid w:val="0066245E"/>
    <w:rsid w:val="0066249F"/>
    <w:rsid w:val="00662711"/>
    <w:rsid w:val="0066279B"/>
    <w:rsid w:val="0066279E"/>
    <w:rsid w:val="00662993"/>
    <w:rsid w:val="006629BD"/>
    <w:rsid w:val="00662A28"/>
    <w:rsid w:val="00662B75"/>
    <w:rsid w:val="00662E23"/>
    <w:rsid w:val="00662E84"/>
    <w:rsid w:val="00662EA7"/>
    <w:rsid w:val="00662EEA"/>
    <w:rsid w:val="00662EFA"/>
    <w:rsid w:val="006630E6"/>
    <w:rsid w:val="0066314C"/>
    <w:rsid w:val="0066329E"/>
    <w:rsid w:val="0066331F"/>
    <w:rsid w:val="00663321"/>
    <w:rsid w:val="00663393"/>
    <w:rsid w:val="006633EA"/>
    <w:rsid w:val="0066342C"/>
    <w:rsid w:val="00663465"/>
    <w:rsid w:val="0066348F"/>
    <w:rsid w:val="00663571"/>
    <w:rsid w:val="006635AB"/>
    <w:rsid w:val="006635D1"/>
    <w:rsid w:val="006635E7"/>
    <w:rsid w:val="0066364A"/>
    <w:rsid w:val="00663656"/>
    <w:rsid w:val="00663697"/>
    <w:rsid w:val="00663711"/>
    <w:rsid w:val="00663732"/>
    <w:rsid w:val="006637B9"/>
    <w:rsid w:val="006637DC"/>
    <w:rsid w:val="006637ED"/>
    <w:rsid w:val="00663996"/>
    <w:rsid w:val="006639C8"/>
    <w:rsid w:val="006639DE"/>
    <w:rsid w:val="00663A23"/>
    <w:rsid w:val="00663A95"/>
    <w:rsid w:val="00663ABD"/>
    <w:rsid w:val="00663AC1"/>
    <w:rsid w:val="00663AF3"/>
    <w:rsid w:val="00663AFE"/>
    <w:rsid w:val="00663B6D"/>
    <w:rsid w:val="00663C3D"/>
    <w:rsid w:val="00663DAC"/>
    <w:rsid w:val="00663E45"/>
    <w:rsid w:val="00663EE9"/>
    <w:rsid w:val="0066410A"/>
    <w:rsid w:val="006641C2"/>
    <w:rsid w:val="006641DB"/>
    <w:rsid w:val="006641E2"/>
    <w:rsid w:val="0066423E"/>
    <w:rsid w:val="00664293"/>
    <w:rsid w:val="0066432B"/>
    <w:rsid w:val="006643C7"/>
    <w:rsid w:val="0066441C"/>
    <w:rsid w:val="006644ED"/>
    <w:rsid w:val="00664521"/>
    <w:rsid w:val="0066459D"/>
    <w:rsid w:val="00664673"/>
    <w:rsid w:val="0066467D"/>
    <w:rsid w:val="006646BA"/>
    <w:rsid w:val="00664749"/>
    <w:rsid w:val="00664794"/>
    <w:rsid w:val="0066486A"/>
    <w:rsid w:val="0066487D"/>
    <w:rsid w:val="006648FE"/>
    <w:rsid w:val="00664938"/>
    <w:rsid w:val="00664946"/>
    <w:rsid w:val="006649A8"/>
    <w:rsid w:val="00664A35"/>
    <w:rsid w:val="00664A50"/>
    <w:rsid w:val="00664C3C"/>
    <w:rsid w:val="00664CF6"/>
    <w:rsid w:val="00664D1F"/>
    <w:rsid w:val="00664D28"/>
    <w:rsid w:val="00664D55"/>
    <w:rsid w:val="00664EF4"/>
    <w:rsid w:val="00664F3C"/>
    <w:rsid w:val="00664FED"/>
    <w:rsid w:val="0066504B"/>
    <w:rsid w:val="00665156"/>
    <w:rsid w:val="0066527C"/>
    <w:rsid w:val="00665280"/>
    <w:rsid w:val="006652DC"/>
    <w:rsid w:val="0066533B"/>
    <w:rsid w:val="0066534D"/>
    <w:rsid w:val="0066539D"/>
    <w:rsid w:val="00665525"/>
    <w:rsid w:val="00665596"/>
    <w:rsid w:val="006655FC"/>
    <w:rsid w:val="00665620"/>
    <w:rsid w:val="006659A2"/>
    <w:rsid w:val="006659C1"/>
    <w:rsid w:val="00665B9F"/>
    <w:rsid w:val="00665BA1"/>
    <w:rsid w:val="00665BDF"/>
    <w:rsid w:val="00665C6C"/>
    <w:rsid w:val="00665D85"/>
    <w:rsid w:val="00665E25"/>
    <w:rsid w:val="00665E58"/>
    <w:rsid w:val="00666089"/>
    <w:rsid w:val="006661C0"/>
    <w:rsid w:val="00666310"/>
    <w:rsid w:val="00666386"/>
    <w:rsid w:val="0066640B"/>
    <w:rsid w:val="006665C3"/>
    <w:rsid w:val="00666783"/>
    <w:rsid w:val="0066692A"/>
    <w:rsid w:val="00666AEA"/>
    <w:rsid w:val="00666B26"/>
    <w:rsid w:val="00666B86"/>
    <w:rsid w:val="00666BDA"/>
    <w:rsid w:val="00666CC4"/>
    <w:rsid w:val="00666D17"/>
    <w:rsid w:val="00666D88"/>
    <w:rsid w:val="00666E22"/>
    <w:rsid w:val="00666E9F"/>
    <w:rsid w:val="00666EA0"/>
    <w:rsid w:val="00666F1B"/>
    <w:rsid w:val="00667008"/>
    <w:rsid w:val="00667030"/>
    <w:rsid w:val="00667094"/>
    <w:rsid w:val="00667166"/>
    <w:rsid w:val="00667254"/>
    <w:rsid w:val="00667264"/>
    <w:rsid w:val="006672E1"/>
    <w:rsid w:val="006672FF"/>
    <w:rsid w:val="00667362"/>
    <w:rsid w:val="00667378"/>
    <w:rsid w:val="00667644"/>
    <w:rsid w:val="0066765B"/>
    <w:rsid w:val="006676C6"/>
    <w:rsid w:val="00667709"/>
    <w:rsid w:val="00667789"/>
    <w:rsid w:val="006677B5"/>
    <w:rsid w:val="006677B8"/>
    <w:rsid w:val="006677C5"/>
    <w:rsid w:val="006678CA"/>
    <w:rsid w:val="00667B3B"/>
    <w:rsid w:val="00667BD8"/>
    <w:rsid w:val="00667BEB"/>
    <w:rsid w:val="00667BF9"/>
    <w:rsid w:val="00667C9E"/>
    <w:rsid w:val="00667DA7"/>
    <w:rsid w:val="00667EBB"/>
    <w:rsid w:val="00667F66"/>
    <w:rsid w:val="00670010"/>
    <w:rsid w:val="00670088"/>
    <w:rsid w:val="00670165"/>
    <w:rsid w:val="006701BD"/>
    <w:rsid w:val="006701CE"/>
    <w:rsid w:val="006702D6"/>
    <w:rsid w:val="006703E6"/>
    <w:rsid w:val="006703FA"/>
    <w:rsid w:val="00670407"/>
    <w:rsid w:val="00670493"/>
    <w:rsid w:val="006704DB"/>
    <w:rsid w:val="00670539"/>
    <w:rsid w:val="006705CD"/>
    <w:rsid w:val="00670625"/>
    <w:rsid w:val="00670649"/>
    <w:rsid w:val="006707F1"/>
    <w:rsid w:val="00670839"/>
    <w:rsid w:val="00670916"/>
    <w:rsid w:val="0067093D"/>
    <w:rsid w:val="006709A8"/>
    <w:rsid w:val="00670AD1"/>
    <w:rsid w:val="00670B86"/>
    <w:rsid w:val="00670BAB"/>
    <w:rsid w:val="00670BC5"/>
    <w:rsid w:val="00670C3E"/>
    <w:rsid w:val="00670CD6"/>
    <w:rsid w:val="00670D4B"/>
    <w:rsid w:val="00670DF4"/>
    <w:rsid w:val="00670E00"/>
    <w:rsid w:val="00670F54"/>
    <w:rsid w:val="00671048"/>
    <w:rsid w:val="006710E4"/>
    <w:rsid w:val="00671281"/>
    <w:rsid w:val="006712D4"/>
    <w:rsid w:val="006713B9"/>
    <w:rsid w:val="00671439"/>
    <w:rsid w:val="0067145F"/>
    <w:rsid w:val="006714B3"/>
    <w:rsid w:val="00671505"/>
    <w:rsid w:val="00671538"/>
    <w:rsid w:val="0067165C"/>
    <w:rsid w:val="00671670"/>
    <w:rsid w:val="0067184C"/>
    <w:rsid w:val="00671851"/>
    <w:rsid w:val="0067191A"/>
    <w:rsid w:val="00671979"/>
    <w:rsid w:val="006719F2"/>
    <w:rsid w:val="00671B33"/>
    <w:rsid w:val="00671B44"/>
    <w:rsid w:val="00671BF4"/>
    <w:rsid w:val="00671C0B"/>
    <w:rsid w:val="00671D97"/>
    <w:rsid w:val="00671DA1"/>
    <w:rsid w:val="00671E63"/>
    <w:rsid w:val="0067205D"/>
    <w:rsid w:val="006720EA"/>
    <w:rsid w:val="00672162"/>
    <w:rsid w:val="00672277"/>
    <w:rsid w:val="00672290"/>
    <w:rsid w:val="006722D8"/>
    <w:rsid w:val="0067241F"/>
    <w:rsid w:val="00672457"/>
    <w:rsid w:val="00672545"/>
    <w:rsid w:val="0067254E"/>
    <w:rsid w:val="0067255A"/>
    <w:rsid w:val="0067256D"/>
    <w:rsid w:val="00672613"/>
    <w:rsid w:val="00672681"/>
    <w:rsid w:val="0067270D"/>
    <w:rsid w:val="0067271C"/>
    <w:rsid w:val="0067275E"/>
    <w:rsid w:val="006729FF"/>
    <w:rsid w:val="00672A1D"/>
    <w:rsid w:val="00672A1F"/>
    <w:rsid w:val="00672B2A"/>
    <w:rsid w:val="00672B4B"/>
    <w:rsid w:val="00672D30"/>
    <w:rsid w:val="00672E34"/>
    <w:rsid w:val="00672E91"/>
    <w:rsid w:val="00672EA5"/>
    <w:rsid w:val="00672EC1"/>
    <w:rsid w:val="00672F3C"/>
    <w:rsid w:val="006730F4"/>
    <w:rsid w:val="00673146"/>
    <w:rsid w:val="006731EB"/>
    <w:rsid w:val="0067355B"/>
    <w:rsid w:val="006735A2"/>
    <w:rsid w:val="006735E1"/>
    <w:rsid w:val="00673620"/>
    <w:rsid w:val="006736B9"/>
    <w:rsid w:val="006736F0"/>
    <w:rsid w:val="00673744"/>
    <w:rsid w:val="00673788"/>
    <w:rsid w:val="0067383B"/>
    <w:rsid w:val="006738F8"/>
    <w:rsid w:val="00673925"/>
    <w:rsid w:val="00673978"/>
    <w:rsid w:val="00673A69"/>
    <w:rsid w:val="00673A76"/>
    <w:rsid w:val="00673AF2"/>
    <w:rsid w:val="00673B77"/>
    <w:rsid w:val="00673BA1"/>
    <w:rsid w:val="00673BC3"/>
    <w:rsid w:val="00673BD5"/>
    <w:rsid w:val="00673C04"/>
    <w:rsid w:val="00673C2D"/>
    <w:rsid w:val="00673DE4"/>
    <w:rsid w:val="00674008"/>
    <w:rsid w:val="006740BF"/>
    <w:rsid w:val="006742BB"/>
    <w:rsid w:val="00674367"/>
    <w:rsid w:val="006743E5"/>
    <w:rsid w:val="006743EA"/>
    <w:rsid w:val="006743FE"/>
    <w:rsid w:val="00674496"/>
    <w:rsid w:val="006745FC"/>
    <w:rsid w:val="006746AC"/>
    <w:rsid w:val="0067474B"/>
    <w:rsid w:val="0067475B"/>
    <w:rsid w:val="006748A7"/>
    <w:rsid w:val="0067491E"/>
    <w:rsid w:val="00674971"/>
    <w:rsid w:val="006749A0"/>
    <w:rsid w:val="00674B64"/>
    <w:rsid w:val="00674D5A"/>
    <w:rsid w:val="00674E4C"/>
    <w:rsid w:val="00674E8F"/>
    <w:rsid w:val="00674E91"/>
    <w:rsid w:val="00675030"/>
    <w:rsid w:val="00675054"/>
    <w:rsid w:val="00675059"/>
    <w:rsid w:val="006750D3"/>
    <w:rsid w:val="0067531E"/>
    <w:rsid w:val="00675387"/>
    <w:rsid w:val="0067538D"/>
    <w:rsid w:val="006753E1"/>
    <w:rsid w:val="006754AD"/>
    <w:rsid w:val="00675554"/>
    <w:rsid w:val="00675697"/>
    <w:rsid w:val="006756D8"/>
    <w:rsid w:val="00675731"/>
    <w:rsid w:val="00675762"/>
    <w:rsid w:val="0067577E"/>
    <w:rsid w:val="00675803"/>
    <w:rsid w:val="006758CD"/>
    <w:rsid w:val="006758E1"/>
    <w:rsid w:val="006758FB"/>
    <w:rsid w:val="00675912"/>
    <w:rsid w:val="0067593B"/>
    <w:rsid w:val="006759C3"/>
    <w:rsid w:val="00675C55"/>
    <w:rsid w:val="00675C75"/>
    <w:rsid w:val="00675DFB"/>
    <w:rsid w:val="00675E2D"/>
    <w:rsid w:val="00675EDF"/>
    <w:rsid w:val="00675F21"/>
    <w:rsid w:val="00676093"/>
    <w:rsid w:val="00676120"/>
    <w:rsid w:val="00676189"/>
    <w:rsid w:val="0067622C"/>
    <w:rsid w:val="00676264"/>
    <w:rsid w:val="006763EF"/>
    <w:rsid w:val="00676489"/>
    <w:rsid w:val="0067653E"/>
    <w:rsid w:val="00676564"/>
    <w:rsid w:val="0067659F"/>
    <w:rsid w:val="00676670"/>
    <w:rsid w:val="006768D6"/>
    <w:rsid w:val="0067696E"/>
    <w:rsid w:val="0067699F"/>
    <w:rsid w:val="006769A9"/>
    <w:rsid w:val="006769D4"/>
    <w:rsid w:val="00676AA2"/>
    <w:rsid w:val="00676AAF"/>
    <w:rsid w:val="00676BB2"/>
    <w:rsid w:val="00676D5B"/>
    <w:rsid w:val="00676DB3"/>
    <w:rsid w:val="00676DDD"/>
    <w:rsid w:val="00676E6F"/>
    <w:rsid w:val="00676E86"/>
    <w:rsid w:val="00676EEE"/>
    <w:rsid w:val="00676EF4"/>
    <w:rsid w:val="00676F48"/>
    <w:rsid w:val="00676FA2"/>
    <w:rsid w:val="00676FF6"/>
    <w:rsid w:val="006770D0"/>
    <w:rsid w:val="006770FA"/>
    <w:rsid w:val="00677110"/>
    <w:rsid w:val="00677145"/>
    <w:rsid w:val="00677153"/>
    <w:rsid w:val="006771EA"/>
    <w:rsid w:val="00677226"/>
    <w:rsid w:val="0067726B"/>
    <w:rsid w:val="00677318"/>
    <w:rsid w:val="00677360"/>
    <w:rsid w:val="006773D6"/>
    <w:rsid w:val="00677440"/>
    <w:rsid w:val="00677463"/>
    <w:rsid w:val="00677569"/>
    <w:rsid w:val="0067776B"/>
    <w:rsid w:val="006777FF"/>
    <w:rsid w:val="006778BA"/>
    <w:rsid w:val="006778E9"/>
    <w:rsid w:val="00677936"/>
    <w:rsid w:val="00677961"/>
    <w:rsid w:val="006779E8"/>
    <w:rsid w:val="00677A81"/>
    <w:rsid w:val="00677CC7"/>
    <w:rsid w:val="00677CE3"/>
    <w:rsid w:val="00677CEB"/>
    <w:rsid w:val="00677D94"/>
    <w:rsid w:val="00677E7E"/>
    <w:rsid w:val="00677EF8"/>
    <w:rsid w:val="00677F45"/>
    <w:rsid w:val="0068000F"/>
    <w:rsid w:val="00680045"/>
    <w:rsid w:val="00680075"/>
    <w:rsid w:val="006800BD"/>
    <w:rsid w:val="00680148"/>
    <w:rsid w:val="0068019E"/>
    <w:rsid w:val="006801B8"/>
    <w:rsid w:val="00680266"/>
    <w:rsid w:val="006802DA"/>
    <w:rsid w:val="006802DD"/>
    <w:rsid w:val="0068039E"/>
    <w:rsid w:val="006803D9"/>
    <w:rsid w:val="00680448"/>
    <w:rsid w:val="00680484"/>
    <w:rsid w:val="00680511"/>
    <w:rsid w:val="0068057F"/>
    <w:rsid w:val="006805A1"/>
    <w:rsid w:val="00680725"/>
    <w:rsid w:val="006807B9"/>
    <w:rsid w:val="0068089C"/>
    <w:rsid w:val="006808EE"/>
    <w:rsid w:val="00680937"/>
    <w:rsid w:val="006809B6"/>
    <w:rsid w:val="006809E3"/>
    <w:rsid w:val="00680A5E"/>
    <w:rsid w:val="00680AFA"/>
    <w:rsid w:val="00680B73"/>
    <w:rsid w:val="00680BF3"/>
    <w:rsid w:val="00680D2C"/>
    <w:rsid w:val="00680DBD"/>
    <w:rsid w:val="00680DF5"/>
    <w:rsid w:val="00680E32"/>
    <w:rsid w:val="0068122B"/>
    <w:rsid w:val="00681331"/>
    <w:rsid w:val="0068136E"/>
    <w:rsid w:val="0068148A"/>
    <w:rsid w:val="006815A9"/>
    <w:rsid w:val="006816D0"/>
    <w:rsid w:val="006816D1"/>
    <w:rsid w:val="0068171A"/>
    <w:rsid w:val="0068182E"/>
    <w:rsid w:val="006818BD"/>
    <w:rsid w:val="00681949"/>
    <w:rsid w:val="0068196F"/>
    <w:rsid w:val="00681A2A"/>
    <w:rsid w:val="00681A56"/>
    <w:rsid w:val="00681A72"/>
    <w:rsid w:val="00681B49"/>
    <w:rsid w:val="00681C38"/>
    <w:rsid w:val="00681C7D"/>
    <w:rsid w:val="00681CEC"/>
    <w:rsid w:val="00681D36"/>
    <w:rsid w:val="00681DEA"/>
    <w:rsid w:val="00681E11"/>
    <w:rsid w:val="00681E96"/>
    <w:rsid w:val="00681EEF"/>
    <w:rsid w:val="00681F6A"/>
    <w:rsid w:val="00681F72"/>
    <w:rsid w:val="00681F79"/>
    <w:rsid w:val="00682057"/>
    <w:rsid w:val="006821C5"/>
    <w:rsid w:val="00682319"/>
    <w:rsid w:val="00682382"/>
    <w:rsid w:val="00682465"/>
    <w:rsid w:val="006824AA"/>
    <w:rsid w:val="00682539"/>
    <w:rsid w:val="0068257A"/>
    <w:rsid w:val="00682634"/>
    <w:rsid w:val="00682668"/>
    <w:rsid w:val="006826BC"/>
    <w:rsid w:val="006828D8"/>
    <w:rsid w:val="006828E0"/>
    <w:rsid w:val="00682902"/>
    <w:rsid w:val="00682909"/>
    <w:rsid w:val="0068293A"/>
    <w:rsid w:val="00682974"/>
    <w:rsid w:val="00682A29"/>
    <w:rsid w:val="00682A61"/>
    <w:rsid w:val="00682AFD"/>
    <w:rsid w:val="00682B05"/>
    <w:rsid w:val="00682C8B"/>
    <w:rsid w:val="00682D0A"/>
    <w:rsid w:val="00682D70"/>
    <w:rsid w:val="00682D76"/>
    <w:rsid w:val="00682E10"/>
    <w:rsid w:val="00682E69"/>
    <w:rsid w:val="00682ECE"/>
    <w:rsid w:val="00682ECF"/>
    <w:rsid w:val="00682F76"/>
    <w:rsid w:val="00682FDE"/>
    <w:rsid w:val="0068307F"/>
    <w:rsid w:val="00683098"/>
    <w:rsid w:val="006830C8"/>
    <w:rsid w:val="006830D3"/>
    <w:rsid w:val="006832B6"/>
    <w:rsid w:val="00683342"/>
    <w:rsid w:val="0068336A"/>
    <w:rsid w:val="006833F5"/>
    <w:rsid w:val="006835D3"/>
    <w:rsid w:val="006835F0"/>
    <w:rsid w:val="00683693"/>
    <w:rsid w:val="006836C2"/>
    <w:rsid w:val="00683723"/>
    <w:rsid w:val="0068379E"/>
    <w:rsid w:val="006837BA"/>
    <w:rsid w:val="006838E7"/>
    <w:rsid w:val="0068392B"/>
    <w:rsid w:val="00683941"/>
    <w:rsid w:val="00683992"/>
    <w:rsid w:val="00683AB1"/>
    <w:rsid w:val="00683CF0"/>
    <w:rsid w:val="00683D58"/>
    <w:rsid w:val="00683DB0"/>
    <w:rsid w:val="00683EA5"/>
    <w:rsid w:val="00683EEB"/>
    <w:rsid w:val="00683F46"/>
    <w:rsid w:val="006840F8"/>
    <w:rsid w:val="00684203"/>
    <w:rsid w:val="00684236"/>
    <w:rsid w:val="006843E9"/>
    <w:rsid w:val="00684483"/>
    <w:rsid w:val="006844AC"/>
    <w:rsid w:val="006844E8"/>
    <w:rsid w:val="00684525"/>
    <w:rsid w:val="0068452A"/>
    <w:rsid w:val="00684632"/>
    <w:rsid w:val="00684676"/>
    <w:rsid w:val="006846DF"/>
    <w:rsid w:val="00684806"/>
    <w:rsid w:val="0068485C"/>
    <w:rsid w:val="0068485E"/>
    <w:rsid w:val="00684943"/>
    <w:rsid w:val="00684AAF"/>
    <w:rsid w:val="00684AF2"/>
    <w:rsid w:val="00684B25"/>
    <w:rsid w:val="00684B51"/>
    <w:rsid w:val="00684BA8"/>
    <w:rsid w:val="00684D26"/>
    <w:rsid w:val="00684D38"/>
    <w:rsid w:val="00684F17"/>
    <w:rsid w:val="00684F4D"/>
    <w:rsid w:val="00684FE2"/>
    <w:rsid w:val="00684FE8"/>
    <w:rsid w:val="00685006"/>
    <w:rsid w:val="00685016"/>
    <w:rsid w:val="00685026"/>
    <w:rsid w:val="00685099"/>
    <w:rsid w:val="006850BD"/>
    <w:rsid w:val="006850C5"/>
    <w:rsid w:val="00685284"/>
    <w:rsid w:val="006852DF"/>
    <w:rsid w:val="006852E2"/>
    <w:rsid w:val="006852F0"/>
    <w:rsid w:val="00685366"/>
    <w:rsid w:val="0068538E"/>
    <w:rsid w:val="00685550"/>
    <w:rsid w:val="0068558A"/>
    <w:rsid w:val="006855A8"/>
    <w:rsid w:val="006855E0"/>
    <w:rsid w:val="00685628"/>
    <w:rsid w:val="00685666"/>
    <w:rsid w:val="006856BB"/>
    <w:rsid w:val="006856BE"/>
    <w:rsid w:val="006857E3"/>
    <w:rsid w:val="0068582F"/>
    <w:rsid w:val="0068588E"/>
    <w:rsid w:val="006858E7"/>
    <w:rsid w:val="00685924"/>
    <w:rsid w:val="006859CE"/>
    <w:rsid w:val="00685B43"/>
    <w:rsid w:val="00685BAC"/>
    <w:rsid w:val="00685BC9"/>
    <w:rsid w:val="00685BE1"/>
    <w:rsid w:val="00685CF7"/>
    <w:rsid w:val="00685E46"/>
    <w:rsid w:val="00685F54"/>
    <w:rsid w:val="00685FF2"/>
    <w:rsid w:val="00686026"/>
    <w:rsid w:val="006860C8"/>
    <w:rsid w:val="00686118"/>
    <w:rsid w:val="00686165"/>
    <w:rsid w:val="006861B7"/>
    <w:rsid w:val="006863DB"/>
    <w:rsid w:val="0068644D"/>
    <w:rsid w:val="006865C2"/>
    <w:rsid w:val="00686799"/>
    <w:rsid w:val="006867E7"/>
    <w:rsid w:val="00686AF9"/>
    <w:rsid w:val="00686B00"/>
    <w:rsid w:val="00686B7B"/>
    <w:rsid w:val="00686BDE"/>
    <w:rsid w:val="00686BEC"/>
    <w:rsid w:val="00686C05"/>
    <w:rsid w:val="00686C6F"/>
    <w:rsid w:val="00686D3F"/>
    <w:rsid w:val="00686D45"/>
    <w:rsid w:val="00686E29"/>
    <w:rsid w:val="00686E6C"/>
    <w:rsid w:val="00686F06"/>
    <w:rsid w:val="00686F0F"/>
    <w:rsid w:val="00686F43"/>
    <w:rsid w:val="00687083"/>
    <w:rsid w:val="0068708E"/>
    <w:rsid w:val="0068718A"/>
    <w:rsid w:val="00687193"/>
    <w:rsid w:val="006871DA"/>
    <w:rsid w:val="0068722C"/>
    <w:rsid w:val="00687232"/>
    <w:rsid w:val="006873A4"/>
    <w:rsid w:val="006873E6"/>
    <w:rsid w:val="00687464"/>
    <w:rsid w:val="006874FD"/>
    <w:rsid w:val="006875FE"/>
    <w:rsid w:val="00687613"/>
    <w:rsid w:val="0068763F"/>
    <w:rsid w:val="006876B2"/>
    <w:rsid w:val="006876E1"/>
    <w:rsid w:val="0068784B"/>
    <w:rsid w:val="00687C9D"/>
    <w:rsid w:val="00687ECE"/>
    <w:rsid w:val="00687FFD"/>
    <w:rsid w:val="00690007"/>
    <w:rsid w:val="00690270"/>
    <w:rsid w:val="00690290"/>
    <w:rsid w:val="00690314"/>
    <w:rsid w:val="00690470"/>
    <w:rsid w:val="0069050A"/>
    <w:rsid w:val="0069056C"/>
    <w:rsid w:val="006905A8"/>
    <w:rsid w:val="00690694"/>
    <w:rsid w:val="006906DD"/>
    <w:rsid w:val="0069082F"/>
    <w:rsid w:val="006909A5"/>
    <w:rsid w:val="00690A3B"/>
    <w:rsid w:val="00690A7E"/>
    <w:rsid w:val="00690ACE"/>
    <w:rsid w:val="00690BA1"/>
    <w:rsid w:val="00690BAB"/>
    <w:rsid w:val="00690D34"/>
    <w:rsid w:val="00690E25"/>
    <w:rsid w:val="00690E75"/>
    <w:rsid w:val="00690F30"/>
    <w:rsid w:val="00690F3E"/>
    <w:rsid w:val="00690F4B"/>
    <w:rsid w:val="00690FE8"/>
    <w:rsid w:val="006910B4"/>
    <w:rsid w:val="00691182"/>
    <w:rsid w:val="006911A9"/>
    <w:rsid w:val="006911AA"/>
    <w:rsid w:val="006911FD"/>
    <w:rsid w:val="006912C4"/>
    <w:rsid w:val="0069137E"/>
    <w:rsid w:val="00691381"/>
    <w:rsid w:val="00691547"/>
    <w:rsid w:val="00691604"/>
    <w:rsid w:val="0069162C"/>
    <w:rsid w:val="006916E4"/>
    <w:rsid w:val="006917DE"/>
    <w:rsid w:val="00691856"/>
    <w:rsid w:val="00691870"/>
    <w:rsid w:val="006918DD"/>
    <w:rsid w:val="00691954"/>
    <w:rsid w:val="006919F9"/>
    <w:rsid w:val="00691A6E"/>
    <w:rsid w:val="00691A73"/>
    <w:rsid w:val="00691B77"/>
    <w:rsid w:val="00691C04"/>
    <w:rsid w:val="00691C7A"/>
    <w:rsid w:val="00691CB5"/>
    <w:rsid w:val="00691D0D"/>
    <w:rsid w:val="00691DB1"/>
    <w:rsid w:val="00691DDA"/>
    <w:rsid w:val="00691E22"/>
    <w:rsid w:val="00691E32"/>
    <w:rsid w:val="00691E61"/>
    <w:rsid w:val="00691EBF"/>
    <w:rsid w:val="00691F26"/>
    <w:rsid w:val="00691FAC"/>
    <w:rsid w:val="00691FDF"/>
    <w:rsid w:val="0069205D"/>
    <w:rsid w:val="00692070"/>
    <w:rsid w:val="00692090"/>
    <w:rsid w:val="006920AE"/>
    <w:rsid w:val="00692224"/>
    <w:rsid w:val="006922C5"/>
    <w:rsid w:val="006923DF"/>
    <w:rsid w:val="00692498"/>
    <w:rsid w:val="00692507"/>
    <w:rsid w:val="0069251A"/>
    <w:rsid w:val="0069262A"/>
    <w:rsid w:val="00692755"/>
    <w:rsid w:val="006927F2"/>
    <w:rsid w:val="0069287E"/>
    <w:rsid w:val="006928F3"/>
    <w:rsid w:val="0069290E"/>
    <w:rsid w:val="00692996"/>
    <w:rsid w:val="00692A4F"/>
    <w:rsid w:val="00692ACA"/>
    <w:rsid w:val="00692C56"/>
    <w:rsid w:val="00692CDF"/>
    <w:rsid w:val="00692D20"/>
    <w:rsid w:val="00692DA3"/>
    <w:rsid w:val="00692DB5"/>
    <w:rsid w:val="00692DC9"/>
    <w:rsid w:val="00692E89"/>
    <w:rsid w:val="00692ECE"/>
    <w:rsid w:val="00692ED4"/>
    <w:rsid w:val="00692F00"/>
    <w:rsid w:val="00692F7A"/>
    <w:rsid w:val="00692FDA"/>
    <w:rsid w:val="006931B9"/>
    <w:rsid w:val="006931F5"/>
    <w:rsid w:val="006932CD"/>
    <w:rsid w:val="006932CF"/>
    <w:rsid w:val="006932FF"/>
    <w:rsid w:val="006933ED"/>
    <w:rsid w:val="006934B0"/>
    <w:rsid w:val="00693523"/>
    <w:rsid w:val="00693650"/>
    <w:rsid w:val="00693745"/>
    <w:rsid w:val="0069375C"/>
    <w:rsid w:val="00693863"/>
    <w:rsid w:val="006938FD"/>
    <w:rsid w:val="006939F3"/>
    <w:rsid w:val="00693A36"/>
    <w:rsid w:val="00693A72"/>
    <w:rsid w:val="00693B07"/>
    <w:rsid w:val="00693CFB"/>
    <w:rsid w:val="00693D2A"/>
    <w:rsid w:val="00693D57"/>
    <w:rsid w:val="00693D75"/>
    <w:rsid w:val="00693E3C"/>
    <w:rsid w:val="00693F9A"/>
    <w:rsid w:val="00693FF2"/>
    <w:rsid w:val="00694045"/>
    <w:rsid w:val="0069405F"/>
    <w:rsid w:val="0069422B"/>
    <w:rsid w:val="0069426F"/>
    <w:rsid w:val="00694273"/>
    <w:rsid w:val="006942B9"/>
    <w:rsid w:val="0069433C"/>
    <w:rsid w:val="0069437B"/>
    <w:rsid w:val="00694401"/>
    <w:rsid w:val="00694403"/>
    <w:rsid w:val="00694406"/>
    <w:rsid w:val="0069450A"/>
    <w:rsid w:val="0069458C"/>
    <w:rsid w:val="006946C0"/>
    <w:rsid w:val="006946CD"/>
    <w:rsid w:val="006946FC"/>
    <w:rsid w:val="00694846"/>
    <w:rsid w:val="006948BF"/>
    <w:rsid w:val="006949D5"/>
    <w:rsid w:val="00694B12"/>
    <w:rsid w:val="00694B36"/>
    <w:rsid w:val="00694B40"/>
    <w:rsid w:val="00694B64"/>
    <w:rsid w:val="00694B65"/>
    <w:rsid w:val="00694BA6"/>
    <w:rsid w:val="00694BED"/>
    <w:rsid w:val="00694BF5"/>
    <w:rsid w:val="00694C19"/>
    <w:rsid w:val="00694C4C"/>
    <w:rsid w:val="00694C77"/>
    <w:rsid w:val="00694CA5"/>
    <w:rsid w:val="00694CB6"/>
    <w:rsid w:val="00694D34"/>
    <w:rsid w:val="00694D4F"/>
    <w:rsid w:val="00694DC3"/>
    <w:rsid w:val="00694E38"/>
    <w:rsid w:val="00694F99"/>
    <w:rsid w:val="00694FB3"/>
    <w:rsid w:val="00694FC4"/>
    <w:rsid w:val="00695077"/>
    <w:rsid w:val="006950CA"/>
    <w:rsid w:val="00695189"/>
    <w:rsid w:val="006951B0"/>
    <w:rsid w:val="006951DA"/>
    <w:rsid w:val="006952D8"/>
    <w:rsid w:val="00695341"/>
    <w:rsid w:val="006953C2"/>
    <w:rsid w:val="006954C1"/>
    <w:rsid w:val="0069551F"/>
    <w:rsid w:val="0069552E"/>
    <w:rsid w:val="0069553F"/>
    <w:rsid w:val="00695547"/>
    <w:rsid w:val="0069555F"/>
    <w:rsid w:val="0069557A"/>
    <w:rsid w:val="00695741"/>
    <w:rsid w:val="006957A7"/>
    <w:rsid w:val="00695814"/>
    <w:rsid w:val="00695865"/>
    <w:rsid w:val="006958D7"/>
    <w:rsid w:val="006959B5"/>
    <w:rsid w:val="00695A0F"/>
    <w:rsid w:val="00695A9C"/>
    <w:rsid w:val="00695C2F"/>
    <w:rsid w:val="00695C9D"/>
    <w:rsid w:val="00695CBF"/>
    <w:rsid w:val="00696009"/>
    <w:rsid w:val="0069604D"/>
    <w:rsid w:val="00696087"/>
    <w:rsid w:val="006961E4"/>
    <w:rsid w:val="006961FB"/>
    <w:rsid w:val="00696200"/>
    <w:rsid w:val="006962DC"/>
    <w:rsid w:val="00696388"/>
    <w:rsid w:val="006963CA"/>
    <w:rsid w:val="006964BC"/>
    <w:rsid w:val="00696525"/>
    <w:rsid w:val="0069653C"/>
    <w:rsid w:val="00696563"/>
    <w:rsid w:val="006965C1"/>
    <w:rsid w:val="00696636"/>
    <w:rsid w:val="0069668C"/>
    <w:rsid w:val="0069669B"/>
    <w:rsid w:val="006966B5"/>
    <w:rsid w:val="0069670B"/>
    <w:rsid w:val="0069682E"/>
    <w:rsid w:val="00696943"/>
    <w:rsid w:val="00696A05"/>
    <w:rsid w:val="00696BA1"/>
    <w:rsid w:val="00696C05"/>
    <w:rsid w:val="00696C66"/>
    <w:rsid w:val="00696D92"/>
    <w:rsid w:val="00696DB1"/>
    <w:rsid w:val="00696DD3"/>
    <w:rsid w:val="00696E99"/>
    <w:rsid w:val="00696EBF"/>
    <w:rsid w:val="00696EFE"/>
    <w:rsid w:val="00696F3C"/>
    <w:rsid w:val="006970AE"/>
    <w:rsid w:val="00697155"/>
    <w:rsid w:val="00697156"/>
    <w:rsid w:val="00697184"/>
    <w:rsid w:val="0069719D"/>
    <w:rsid w:val="00697235"/>
    <w:rsid w:val="00697269"/>
    <w:rsid w:val="006972A1"/>
    <w:rsid w:val="006972E4"/>
    <w:rsid w:val="006973A9"/>
    <w:rsid w:val="006973B3"/>
    <w:rsid w:val="00697418"/>
    <w:rsid w:val="00697555"/>
    <w:rsid w:val="0069755D"/>
    <w:rsid w:val="00697561"/>
    <w:rsid w:val="0069758E"/>
    <w:rsid w:val="00697621"/>
    <w:rsid w:val="00697652"/>
    <w:rsid w:val="006976F8"/>
    <w:rsid w:val="00697739"/>
    <w:rsid w:val="006977C1"/>
    <w:rsid w:val="00697876"/>
    <w:rsid w:val="006979A1"/>
    <w:rsid w:val="00697A76"/>
    <w:rsid w:val="00697AB0"/>
    <w:rsid w:val="00697AFD"/>
    <w:rsid w:val="00697B38"/>
    <w:rsid w:val="00697B56"/>
    <w:rsid w:val="00697BB7"/>
    <w:rsid w:val="00697BE5"/>
    <w:rsid w:val="00697BF1"/>
    <w:rsid w:val="00697CCD"/>
    <w:rsid w:val="00697EF7"/>
    <w:rsid w:val="00697F96"/>
    <w:rsid w:val="006A0003"/>
    <w:rsid w:val="006A003A"/>
    <w:rsid w:val="006A00A5"/>
    <w:rsid w:val="006A01B4"/>
    <w:rsid w:val="006A028C"/>
    <w:rsid w:val="006A02E6"/>
    <w:rsid w:val="006A030F"/>
    <w:rsid w:val="006A035B"/>
    <w:rsid w:val="006A0433"/>
    <w:rsid w:val="006A05BA"/>
    <w:rsid w:val="006A05E0"/>
    <w:rsid w:val="006A0603"/>
    <w:rsid w:val="006A0802"/>
    <w:rsid w:val="006A088C"/>
    <w:rsid w:val="006A09E1"/>
    <w:rsid w:val="006A09F6"/>
    <w:rsid w:val="006A0A45"/>
    <w:rsid w:val="006A0A89"/>
    <w:rsid w:val="006A0AB8"/>
    <w:rsid w:val="006A0CA6"/>
    <w:rsid w:val="006A0D9A"/>
    <w:rsid w:val="006A0EC8"/>
    <w:rsid w:val="006A0F06"/>
    <w:rsid w:val="006A0FFD"/>
    <w:rsid w:val="006A1017"/>
    <w:rsid w:val="006A104B"/>
    <w:rsid w:val="006A11BE"/>
    <w:rsid w:val="006A127C"/>
    <w:rsid w:val="006A12B8"/>
    <w:rsid w:val="006A12FE"/>
    <w:rsid w:val="006A13A8"/>
    <w:rsid w:val="006A1425"/>
    <w:rsid w:val="006A14DE"/>
    <w:rsid w:val="006A1557"/>
    <w:rsid w:val="006A155E"/>
    <w:rsid w:val="006A15EE"/>
    <w:rsid w:val="006A1625"/>
    <w:rsid w:val="006A1663"/>
    <w:rsid w:val="006A168E"/>
    <w:rsid w:val="006A1735"/>
    <w:rsid w:val="006A17BA"/>
    <w:rsid w:val="006A180F"/>
    <w:rsid w:val="006A187A"/>
    <w:rsid w:val="006A19DA"/>
    <w:rsid w:val="006A1AA5"/>
    <w:rsid w:val="006A1AE9"/>
    <w:rsid w:val="006A1B85"/>
    <w:rsid w:val="006A1C47"/>
    <w:rsid w:val="006A1CC0"/>
    <w:rsid w:val="006A1CC8"/>
    <w:rsid w:val="006A1CEC"/>
    <w:rsid w:val="006A1D4A"/>
    <w:rsid w:val="006A1D4F"/>
    <w:rsid w:val="006A1D90"/>
    <w:rsid w:val="006A1DB7"/>
    <w:rsid w:val="006A1E19"/>
    <w:rsid w:val="006A1E2C"/>
    <w:rsid w:val="006A1E8C"/>
    <w:rsid w:val="006A1EB2"/>
    <w:rsid w:val="006A1F00"/>
    <w:rsid w:val="006A1F25"/>
    <w:rsid w:val="006A1F60"/>
    <w:rsid w:val="006A1FA2"/>
    <w:rsid w:val="006A217D"/>
    <w:rsid w:val="006A21BF"/>
    <w:rsid w:val="006A21EC"/>
    <w:rsid w:val="006A2230"/>
    <w:rsid w:val="006A229F"/>
    <w:rsid w:val="006A2669"/>
    <w:rsid w:val="006A26E3"/>
    <w:rsid w:val="006A27E2"/>
    <w:rsid w:val="006A285B"/>
    <w:rsid w:val="006A28B8"/>
    <w:rsid w:val="006A29C5"/>
    <w:rsid w:val="006A2A3A"/>
    <w:rsid w:val="006A2A3B"/>
    <w:rsid w:val="006A2ADF"/>
    <w:rsid w:val="006A2AE1"/>
    <w:rsid w:val="006A2B3D"/>
    <w:rsid w:val="006A2B4D"/>
    <w:rsid w:val="006A2B68"/>
    <w:rsid w:val="006A2B6C"/>
    <w:rsid w:val="006A2BC0"/>
    <w:rsid w:val="006A2BC4"/>
    <w:rsid w:val="006A2BFB"/>
    <w:rsid w:val="006A2D38"/>
    <w:rsid w:val="006A2DB3"/>
    <w:rsid w:val="006A2E08"/>
    <w:rsid w:val="006A2EE1"/>
    <w:rsid w:val="006A2FBB"/>
    <w:rsid w:val="006A3018"/>
    <w:rsid w:val="006A314E"/>
    <w:rsid w:val="006A31E2"/>
    <w:rsid w:val="006A3217"/>
    <w:rsid w:val="006A3238"/>
    <w:rsid w:val="006A3269"/>
    <w:rsid w:val="006A32C6"/>
    <w:rsid w:val="006A331D"/>
    <w:rsid w:val="006A3412"/>
    <w:rsid w:val="006A3416"/>
    <w:rsid w:val="006A358D"/>
    <w:rsid w:val="006A3642"/>
    <w:rsid w:val="006A3724"/>
    <w:rsid w:val="006A3735"/>
    <w:rsid w:val="006A37B7"/>
    <w:rsid w:val="006A37F5"/>
    <w:rsid w:val="006A38B2"/>
    <w:rsid w:val="006A38CF"/>
    <w:rsid w:val="006A3AA9"/>
    <w:rsid w:val="006A3BD7"/>
    <w:rsid w:val="006A3C91"/>
    <w:rsid w:val="006A3D1F"/>
    <w:rsid w:val="006A3D83"/>
    <w:rsid w:val="006A3E1E"/>
    <w:rsid w:val="006A3F82"/>
    <w:rsid w:val="006A3FC2"/>
    <w:rsid w:val="006A4063"/>
    <w:rsid w:val="006A409B"/>
    <w:rsid w:val="006A40EC"/>
    <w:rsid w:val="006A4184"/>
    <w:rsid w:val="006A41D8"/>
    <w:rsid w:val="006A4217"/>
    <w:rsid w:val="006A424D"/>
    <w:rsid w:val="006A428A"/>
    <w:rsid w:val="006A42A7"/>
    <w:rsid w:val="006A42BB"/>
    <w:rsid w:val="006A42CF"/>
    <w:rsid w:val="006A4335"/>
    <w:rsid w:val="006A4339"/>
    <w:rsid w:val="006A43E6"/>
    <w:rsid w:val="006A4457"/>
    <w:rsid w:val="006A4459"/>
    <w:rsid w:val="006A4460"/>
    <w:rsid w:val="006A4721"/>
    <w:rsid w:val="006A4781"/>
    <w:rsid w:val="006A4946"/>
    <w:rsid w:val="006A49B6"/>
    <w:rsid w:val="006A49C7"/>
    <w:rsid w:val="006A4A07"/>
    <w:rsid w:val="006A4BC1"/>
    <w:rsid w:val="006A4BF6"/>
    <w:rsid w:val="006A4C56"/>
    <w:rsid w:val="006A4E1E"/>
    <w:rsid w:val="006A4EB1"/>
    <w:rsid w:val="006A4EED"/>
    <w:rsid w:val="006A4EF4"/>
    <w:rsid w:val="006A4F62"/>
    <w:rsid w:val="006A4FAE"/>
    <w:rsid w:val="006A4FF3"/>
    <w:rsid w:val="006A516B"/>
    <w:rsid w:val="006A51AA"/>
    <w:rsid w:val="006A51C0"/>
    <w:rsid w:val="006A5266"/>
    <w:rsid w:val="006A52BA"/>
    <w:rsid w:val="006A539F"/>
    <w:rsid w:val="006A53AC"/>
    <w:rsid w:val="006A53B9"/>
    <w:rsid w:val="006A540A"/>
    <w:rsid w:val="006A5468"/>
    <w:rsid w:val="006A54F4"/>
    <w:rsid w:val="006A5573"/>
    <w:rsid w:val="006A5898"/>
    <w:rsid w:val="006A59C3"/>
    <w:rsid w:val="006A5A12"/>
    <w:rsid w:val="006A5ACA"/>
    <w:rsid w:val="006A5B3F"/>
    <w:rsid w:val="006A5BE7"/>
    <w:rsid w:val="006A5BED"/>
    <w:rsid w:val="006A5C0A"/>
    <w:rsid w:val="006A5D7F"/>
    <w:rsid w:val="006A5E26"/>
    <w:rsid w:val="006A5ED3"/>
    <w:rsid w:val="006A5ED4"/>
    <w:rsid w:val="006A5F64"/>
    <w:rsid w:val="006A5FC7"/>
    <w:rsid w:val="006A60C3"/>
    <w:rsid w:val="006A6124"/>
    <w:rsid w:val="006A617E"/>
    <w:rsid w:val="006A6272"/>
    <w:rsid w:val="006A6280"/>
    <w:rsid w:val="006A62BC"/>
    <w:rsid w:val="006A6327"/>
    <w:rsid w:val="006A6380"/>
    <w:rsid w:val="006A6397"/>
    <w:rsid w:val="006A6431"/>
    <w:rsid w:val="006A65C8"/>
    <w:rsid w:val="006A6621"/>
    <w:rsid w:val="006A6673"/>
    <w:rsid w:val="006A6790"/>
    <w:rsid w:val="006A682B"/>
    <w:rsid w:val="006A68D9"/>
    <w:rsid w:val="006A6965"/>
    <w:rsid w:val="006A696C"/>
    <w:rsid w:val="006A6987"/>
    <w:rsid w:val="006A6A45"/>
    <w:rsid w:val="006A6A54"/>
    <w:rsid w:val="006A6A6C"/>
    <w:rsid w:val="006A6B17"/>
    <w:rsid w:val="006A6B93"/>
    <w:rsid w:val="006A6C86"/>
    <w:rsid w:val="006A6C8F"/>
    <w:rsid w:val="006A6D65"/>
    <w:rsid w:val="006A6D8F"/>
    <w:rsid w:val="006A6E87"/>
    <w:rsid w:val="006A702F"/>
    <w:rsid w:val="006A70AE"/>
    <w:rsid w:val="006A7150"/>
    <w:rsid w:val="006A7187"/>
    <w:rsid w:val="006A721C"/>
    <w:rsid w:val="006A72A8"/>
    <w:rsid w:val="006A74BC"/>
    <w:rsid w:val="006A74CB"/>
    <w:rsid w:val="006A75F7"/>
    <w:rsid w:val="006A767C"/>
    <w:rsid w:val="006A76E0"/>
    <w:rsid w:val="006A774B"/>
    <w:rsid w:val="006A795A"/>
    <w:rsid w:val="006A7A04"/>
    <w:rsid w:val="006A7AA4"/>
    <w:rsid w:val="006A7AD7"/>
    <w:rsid w:val="006A7B08"/>
    <w:rsid w:val="006A7E2C"/>
    <w:rsid w:val="006A7E94"/>
    <w:rsid w:val="006A7EE0"/>
    <w:rsid w:val="006A7F06"/>
    <w:rsid w:val="006A7F4D"/>
    <w:rsid w:val="006B005D"/>
    <w:rsid w:val="006B00F3"/>
    <w:rsid w:val="006B02DF"/>
    <w:rsid w:val="006B0312"/>
    <w:rsid w:val="006B035C"/>
    <w:rsid w:val="006B039C"/>
    <w:rsid w:val="006B03B2"/>
    <w:rsid w:val="006B03DE"/>
    <w:rsid w:val="006B03FC"/>
    <w:rsid w:val="006B0425"/>
    <w:rsid w:val="006B0446"/>
    <w:rsid w:val="006B05BF"/>
    <w:rsid w:val="006B0678"/>
    <w:rsid w:val="006B06C8"/>
    <w:rsid w:val="006B06CE"/>
    <w:rsid w:val="006B0711"/>
    <w:rsid w:val="006B0845"/>
    <w:rsid w:val="006B0944"/>
    <w:rsid w:val="006B09F3"/>
    <w:rsid w:val="006B09F9"/>
    <w:rsid w:val="006B0AD4"/>
    <w:rsid w:val="006B0B01"/>
    <w:rsid w:val="006B0B49"/>
    <w:rsid w:val="006B0B91"/>
    <w:rsid w:val="006B0B94"/>
    <w:rsid w:val="006B0BDD"/>
    <w:rsid w:val="006B0C1A"/>
    <w:rsid w:val="006B0C5C"/>
    <w:rsid w:val="006B0DA8"/>
    <w:rsid w:val="006B0E2B"/>
    <w:rsid w:val="006B0EC0"/>
    <w:rsid w:val="006B0EFA"/>
    <w:rsid w:val="006B0F02"/>
    <w:rsid w:val="006B0F33"/>
    <w:rsid w:val="006B0F3E"/>
    <w:rsid w:val="006B0F6B"/>
    <w:rsid w:val="006B100B"/>
    <w:rsid w:val="006B104F"/>
    <w:rsid w:val="006B113E"/>
    <w:rsid w:val="006B1167"/>
    <w:rsid w:val="006B11B8"/>
    <w:rsid w:val="006B129B"/>
    <w:rsid w:val="006B13FE"/>
    <w:rsid w:val="006B1465"/>
    <w:rsid w:val="006B14DF"/>
    <w:rsid w:val="006B14FC"/>
    <w:rsid w:val="006B1533"/>
    <w:rsid w:val="006B1544"/>
    <w:rsid w:val="006B1677"/>
    <w:rsid w:val="006B1841"/>
    <w:rsid w:val="006B1932"/>
    <w:rsid w:val="006B198C"/>
    <w:rsid w:val="006B19FC"/>
    <w:rsid w:val="006B1A54"/>
    <w:rsid w:val="006B1B4D"/>
    <w:rsid w:val="006B1B6A"/>
    <w:rsid w:val="006B1BE6"/>
    <w:rsid w:val="006B1CA2"/>
    <w:rsid w:val="006B1CF1"/>
    <w:rsid w:val="006B1D9A"/>
    <w:rsid w:val="006B1DB6"/>
    <w:rsid w:val="006B1DD0"/>
    <w:rsid w:val="006B1E79"/>
    <w:rsid w:val="006B1EC5"/>
    <w:rsid w:val="006B1F1F"/>
    <w:rsid w:val="006B1FF5"/>
    <w:rsid w:val="006B202C"/>
    <w:rsid w:val="006B2044"/>
    <w:rsid w:val="006B20E4"/>
    <w:rsid w:val="006B217A"/>
    <w:rsid w:val="006B21A5"/>
    <w:rsid w:val="006B22F3"/>
    <w:rsid w:val="006B233F"/>
    <w:rsid w:val="006B239D"/>
    <w:rsid w:val="006B23FA"/>
    <w:rsid w:val="006B2555"/>
    <w:rsid w:val="006B25AC"/>
    <w:rsid w:val="006B2761"/>
    <w:rsid w:val="006B277B"/>
    <w:rsid w:val="006B27CE"/>
    <w:rsid w:val="006B281F"/>
    <w:rsid w:val="006B2884"/>
    <w:rsid w:val="006B28B9"/>
    <w:rsid w:val="006B291F"/>
    <w:rsid w:val="006B29ED"/>
    <w:rsid w:val="006B2A1E"/>
    <w:rsid w:val="006B2B7A"/>
    <w:rsid w:val="006B2BA5"/>
    <w:rsid w:val="006B2C06"/>
    <w:rsid w:val="006B2C0E"/>
    <w:rsid w:val="006B2C9A"/>
    <w:rsid w:val="006B2CA3"/>
    <w:rsid w:val="006B2DEA"/>
    <w:rsid w:val="006B2F0C"/>
    <w:rsid w:val="006B2FB5"/>
    <w:rsid w:val="006B300D"/>
    <w:rsid w:val="006B3066"/>
    <w:rsid w:val="006B30FF"/>
    <w:rsid w:val="006B317C"/>
    <w:rsid w:val="006B32E4"/>
    <w:rsid w:val="006B330D"/>
    <w:rsid w:val="006B3343"/>
    <w:rsid w:val="006B335B"/>
    <w:rsid w:val="006B3376"/>
    <w:rsid w:val="006B33A5"/>
    <w:rsid w:val="006B33B2"/>
    <w:rsid w:val="006B35E2"/>
    <w:rsid w:val="006B36D1"/>
    <w:rsid w:val="006B36EA"/>
    <w:rsid w:val="006B36F0"/>
    <w:rsid w:val="006B3782"/>
    <w:rsid w:val="006B37ED"/>
    <w:rsid w:val="006B37F4"/>
    <w:rsid w:val="006B38D9"/>
    <w:rsid w:val="006B38FF"/>
    <w:rsid w:val="006B390C"/>
    <w:rsid w:val="006B392F"/>
    <w:rsid w:val="006B3938"/>
    <w:rsid w:val="006B394E"/>
    <w:rsid w:val="006B39D9"/>
    <w:rsid w:val="006B3A3D"/>
    <w:rsid w:val="006B3A9B"/>
    <w:rsid w:val="006B3B29"/>
    <w:rsid w:val="006B3CA2"/>
    <w:rsid w:val="006B3CB8"/>
    <w:rsid w:val="006B3CD5"/>
    <w:rsid w:val="006B3D41"/>
    <w:rsid w:val="006B3D42"/>
    <w:rsid w:val="006B3D44"/>
    <w:rsid w:val="006B3DF5"/>
    <w:rsid w:val="006B3E65"/>
    <w:rsid w:val="006B3EFE"/>
    <w:rsid w:val="006B3F35"/>
    <w:rsid w:val="006B3FE3"/>
    <w:rsid w:val="006B4106"/>
    <w:rsid w:val="006B4146"/>
    <w:rsid w:val="006B43A9"/>
    <w:rsid w:val="006B43CE"/>
    <w:rsid w:val="006B4517"/>
    <w:rsid w:val="006B45CC"/>
    <w:rsid w:val="006B45E2"/>
    <w:rsid w:val="006B462D"/>
    <w:rsid w:val="006B467F"/>
    <w:rsid w:val="006B468C"/>
    <w:rsid w:val="006B46C6"/>
    <w:rsid w:val="006B46C7"/>
    <w:rsid w:val="006B480F"/>
    <w:rsid w:val="006B4828"/>
    <w:rsid w:val="006B4878"/>
    <w:rsid w:val="006B49A0"/>
    <w:rsid w:val="006B4B75"/>
    <w:rsid w:val="006B4C2A"/>
    <w:rsid w:val="006B4DEE"/>
    <w:rsid w:val="006B4F5D"/>
    <w:rsid w:val="006B4F8F"/>
    <w:rsid w:val="006B4FC6"/>
    <w:rsid w:val="006B4FF9"/>
    <w:rsid w:val="006B509E"/>
    <w:rsid w:val="006B5141"/>
    <w:rsid w:val="006B519A"/>
    <w:rsid w:val="006B51A1"/>
    <w:rsid w:val="006B5250"/>
    <w:rsid w:val="006B5274"/>
    <w:rsid w:val="006B5278"/>
    <w:rsid w:val="006B53D4"/>
    <w:rsid w:val="006B53EF"/>
    <w:rsid w:val="006B545E"/>
    <w:rsid w:val="006B5490"/>
    <w:rsid w:val="006B54D3"/>
    <w:rsid w:val="006B553B"/>
    <w:rsid w:val="006B5553"/>
    <w:rsid w:val="006B560C"/>
    <w:rsid w:val="006B5686"/>
    <w:rsid w:val="006B5703"/>
    <w:rsid w:val="006B5872"/>
    <w:rsid w:val="006B58C1"/>
    <w:rsid w:val="006B59A8"/>
    <w:rsid w:val="006B5AD1"/>
    <w:rsid w:val="006B5B0A"/>
    <w:rsid w:val="006B5B65"/>
    <w:rsid w:val="006B5B92"/>
    <w:rsid w:val="006B5CD1"/>
    <w:rsid w:val="006B5D38"/>
    <w:rsid w:val="006B5D40"/>
    <w:rsid w:val="006B5D4C"/>
    <w:rsid w:val="006B5E1B"/>
    <w:rsid w:val="006B5E25"/>
    <w:rsid w:val="006B5F93"/>
    <w:rsid w:val="006B60D5"/>
    <w:rsid w:val="006B611F"/>
    <w:rsid w:val="006B6350"/>
    <w:rsid w:val="006B640B"/>
    <w:rsid w:val="006B6413"/>
    <w:rsid w:val="006B6436"/>
    <w:rsid w:val="006B6628"/>
    <w:rsid w:val="006B6642"/>
    <w:rsid w:val="006B674D"/>
    <w:rsid w:val="006B67BF"/>
    <w:rsid w:val="006B6804"/>
    <w:rsid w:val="006B682F"/>
    <w:rsid w:val="006B6851"/>
    <w:rsid w:val="006B690B"/>
    <w:rsid w:val="006B6949"/>
    <w:rsid w:val="006B6A1B"/>
    <w:rsid w:val="006B6B32"/>
    <w:rsid w:val="006B6B48"/>
    <w:rsid w:val="006B6CEB"/>
    <w:rsid w:val="006B6D33"/>
    <w:rsid w:val="006B6D50"/>
    <w:rsid w:val="006B6D8A"/>
    <w:rsid w:val="006B6E95"/>
    <w:rsid w:val="006B6EF6"/>
    <w:rsid w:val="006B6F5D"/>
    <w:rsid w:val="006B6F81"/>
    <w:rsid w:val="006B6F83"/>
    <w:rsid w:val="006B7096"/>
    <w:rsid w:val="006B70D6"/>
    <w:rsid w:val="006B7194"/>
    <w:rsid w:val="006B7250"/>
    <w:rsid w:val="006B7258"/>
    <w:rsid w:val="006B72DD"/>
    <w:rsid w:val="006B734E"/>
    <w:rsid w:val="006B74B3"/>
    <w:rsid w:val="006B7730"/>
    <w:rsid w:val="006B77AC"/>
    <w:rsid w:val="006B7909"/>
    <w:rsid w:val="006B79C6"/>
    <w:rsid w:val="006B7B1A"/>
    <w:rsid w:val="006B7B35"/>
    <w:rsid w:val="006B7B70"/>
    <w:rsid w:val="006B7B9D"/>
    <w:rsid w:val="006B7BCE"/>
    <w:rsid w:val="006B7D0E"/>
    <w:rsid w:val="006B7D67"/>
    <w:rsid w:val="006B7DCE"/>
    <w:rsid w:val="006B7E34"/>
    <w:rsid w:val="006B7EBC"/>
    <w:rsid w:val="006B7F9B"/>
    <w:rsid w:val="006C0091"/>
    <w:rsid w:val="006C00B5"/>
    <w:rsid w:val="006C00F8"/>
    <w:rsid w:val="006C019C"/>
    <w:rsid w:val="006C01C2"/>
    <w:rsid w:val="006C01F0"/>
    <w:rsid w:val="006C01F9"/>
    <w:rsid w:val="006C0227"/>
    <w:rsid w:val="006C0449"/>
    <w:rsid w:val="006C04B7"/>
    <w:rsid w:val="006C0537"/>
    <w:rsid w:val="006C05AE"/>
    <w:rsid w:val="006C094F"/>
    <w:rsid w:val="006C098A"/>
    <w:rsid w:val="006C09C3"/>
    <w:rsid w:val="006C09E0"/>
    <w:rsid w:val="006C09E1"/>
    <w:rsid w:val="006C0AFF"/>
    <w:rsid w:val="006C0B69"/>
    <w:rsid w:val="006C0B90"/>
    <w:rsid w:val="006C0BF4"/>
    <w:rsid w:val="006C0C2D"/>
    <w:rsid w:val="006C0C8D"/>
    <w:rsid w:val="006C0CA1"/>
    <w:rsid w:val="006C0CCB"/>
    <w:rsid w:val="006C0D2A"/>
    <w:rsid w:val="006C0DA1"/>
    <w:rsid w:val="006C0DA3"/>
    <w:rsid w:val="006C0E3E"/>
    <w:rsid w:val="006C0E91"/>
    <w:rsid w:val="006C0F32"/>
    <w:rsid w:val="006C0F65"/>
    <w:rsid w:val="006C0F9F"/>
    <w:rsid w:val="006C1033"/>
    <w:rsid w:val="006C10BC"/>
    <w:rsid w:val="006C11A3"/>
    <w:rsid w:val="006C1309"/>
    <w:rsid w:val="006C13E0"/>
    <w:rsid w:val="006C1432"/>
    <w:rsid w:val="006C1492"/>
    <w:rsid w:val="006C1543"/>
    <w:rsid w:val="006C1547"/>
    <w:rsid w:val="006C15BE"/>
    <w:rsid w:val="006C16E7"/>
    <w:rsid w:val="006C1892"/>
    <w:rsid w:val="006C19CA"/>
    <w:rsid w:val="006C1A87"/>
    <w:rsid w:val="006C1B1E"/>
    <w:rsid w:val="006C1B8F"/>
    <w:rsid w:val="006C1BF3"/>
    <w:rsid w:val="006C1C69"/>
    <w:rsid w:val="006C1C76"/>
    <w:rsid w:val="006C1D87"/>
    <w:rsid w:val="006C1DBB"/>
    <w:rsid w:val="006C1E54"/>
    <w:rsid w:val="006C2095"/>
    <w:rsid w:val="006C237A"/>
    <w:rsid w:val="006C24E6"/>
    <w:rsid w:val="006C24FE"/>
    <w:rsid w:val="006C25B9"/>
    <w:rsid w:val="006C25CE"/>
    <w:rsid w:val="006C25D5"/>
    <w:rsid w:val="006C25FF"/>
    <w:rsid w:val="006C272B"/>
    <w:rsid w:val="006C273C"/>
    <w:rsid w:val="006C27D2"/>
    <w:rsid w:val="006C2856"/>
    <w:rsid w:val="006C2913"/>
    <w:rsid w:val="006C296E"/>
    <w:rsid w:val="006C2991"/>
    <w:rsid w:val="006C2A39"/>
    <w:rsid w:val="006C2AA6"/>
    <w:rsid w:val="006C2ADD"/>
    <w:rsid w:val="006C2AF8"/>
    <w:rsid w:val="006C2C24"/>
    <w:rsid w:val="006C2CD7"/>
    <w:rsid w:val="006C2D70"/>
    <w:rsid w:val="006C2D98"/>
    <w:rsid w:val="006C2DD3"/>
    <w:rsid w:val="006C2E06"/>
    <w:rsid w:val="006C2F90"/>
    <w:rsid w:val="006C308E"/>
    <w:rsid w:val="006C30AA"/>
    <w:rsid w:val="006C315E"/>
    <w:rsid w:val="006C31FB"/>
    <w:rsid w:val="006C3250"/>
    <w:rsid w:val="006C32C7"/>
    <w:rsid w:val="006C33AA"/>
    <w:rsid w:val="006C3426"/>
    <w:rsid w:val="006C342E"/>
    <w:rsid w:val="006C3484"/>
    <w:rsid w:val="006C34D5"/>
    <w:rsid w:val="006C3557"/>
    <w:rsid w:val="006C357E"/>
    <w:rsid w:val="006C3631"/>
    <w:rsid w:val="006C3697"/>
    <w:rsid w:val="006C3824"/>
    <w:rsid w:val="006C388B"/>
    <w:rsid w:val="006C3A4F"/>
    <w:rsid w:val="006C3A72"/>
    <w:rsid w:val="006C3B04"/>
    <w:rsid w:val="006C3BAC"/>
    <w:rsid w:val="006C3BFB"/>
    <w:rsid w:val="006C3C15"/>
    <w:rsid w:val="006C3C48"/>
    <w:rsid w:val="006C3CC2"/>
    <w:rsid w:val="006C3D15"/>
    <w:rsid w:val="006C3D1F"/>
    <w:rsid w:val="006C3D60"/>
    <w:rsid w:val="006C3D85"/>
    <w:rsid w:val="006C3D97"/>
    <w:rsid w:val="006C3E28"/>
    <w:rsid w:val="006C3EB5"/>
    <w:rsid w:val="006C3F75"/>
    <w:rsid w:val="006C4045"/>
    <w:rsid w:val="006C41CB"/>
    <w:rsid w:val="006C4209"/>
    <w:rsid w:val="006C420F"/>
    <w:rsid w:val="006C4277"/>
    <w:rsid w:val="006C42DE"/>
    <w:rsid w:val="006C42EC"/>
    <w:rsid w:val="006C4333"/>
    <w:rsid w:val="006C4344"/>
    <w:rsid w:val="006C4368"/>
    <w:rsid w:val="006C43E6"/>
    <w:rsid w:val="006C4520"/>
    <w:rsid w:val="006C455C"/>
    <w:rsid w:val="006C45E2"/>
    <w:rsid w:val="006C476A"/>
    <w:rsid w:val="006C48EB"/>
    <w:rsid w:val="006C49F1"/>
    <w:rsid w:val="006C4A6C"/>
    <w:rsid w:val="006C4AB3"/>
    <w:rsid w:val="006C4C07"/>
    <w:rsid w:val="006C4C54"/>
    <w:rsid w:val="006C4D4C"/>
    <w:rsid w:val="006C4DF6"/>
    <w:rsid w:val="006C4DF7"/>
    <w:rsid w:val="006C4DFE"/>
    <w:rsid w:val="006C4E5A"/>
    <w:rsid w:val="006C4EB2"/>
    <w:rsid w:val="006C4EF4"/>
    <w:rsid w:val="006C4FF2"/>
    <w:rsid w:val="006C5040"/>
    <w:rsid w:val="006C509A"/>
    <w:rsid w:val="006C5128"/>
    <w:rsid w:val="006C51D5"/>
    <w:rsid w:val="006C51FE"/>
    <w:rsid w:val="006C52DC"/>
    <w:rsid w:val="006C5324"/>
    <w:rsid w:val="006C536B"/>
    <w:rsid w:val="006C5379"/>
    <w:rsid w:val="006C53E1"/>
    <w:rsid w:val="006C5524"/>
    <w:rsid w:val="006C55D2"/>
    <w:rsid w:val="006C562E"/>
    <w:rsid w:val="006C571F"/>
    <w:rsid w:val="006C57D2"/>
    <w:rsid w:val="006C5836"/>
    <w:rsid w:val="006C58A6"/>
    <w:rsid w:val="006C58E7"/>
    <w:rsid w:val="006C5921"/>
    <w:rsid w:val="006C5940"/>
    <w:rsid w:val="006C596B"/>
    <w:rsid w:val="006C59EF"/>
    <w:rsid w:val="006C5A90"/>
    <w:rsid w:val="006C5B49"/>
    <w:rsid w:val="006C5B73"/>
    <w:rsid w:val="006C5C88"/>
    <w:rsid w:val="006C5CD4"/>
    <w:rsid w:val="006C5D02"/>
    <w:rsid w:val="006C5D29"/>
    <w:rsid w:val="006C5DF2"/>
    <w:rsid w:val="006C5E97"/>
    <w:rsid w:val="006C5EDF"/>
    <w:rsid w:val="006C5EE8"/>
    <w:rsid w:val="006C5F40"/>
    <w:rsid w:val="006C5F65"/>
    <w:rsid w:val="006C6028"/>
    <w:rsid w:val="006C6040"/>
    <w:rsid w:val="006C60EC"/>
    <w:rsid w:val="006C618F"/>
    <w:rsid w:val="006C61D9"/>
    <w:rsid w:val="006C6206"/>
    <w:rsid w:val="006C624F"/>
    <w:rsid w:val="006C6276"/>
    <w:rsid w:val="006C6299"/>
    <w:rsid w:val="006C62E0"/>
    <w:rsid w:val="006C645D"/>
    <w:rsid w:val="006C64D5"/>
    <w:rsid w:val="006C65B6"/>
    <w:rsid w:val="006C65C8"/>
    <w:rsid w:val="006C65E0"/>
    <w:rsid w:val="006C673A"/>
    <w:rsid w:val="006C6779"/>
    <w:rsid w:val="006C6823"/>
    <w:rsid w:val="006C68AF"/>
    <w:rsid w:val="006C694D"/>
    <w:rsid w:val="006C69C3"/>
    <w:rsid w:val="006C6A47"/>
    <w:rsid w:val="006C6A92"/>
    <w:rsid w:val="006C6AA4"/>
    <w:rsid w:val="006C6AF7"/>
    <w:rsid w:val="006C6B06"/>
    <w:rsid w:val="006C6B21"/>
    <w:rsid w:val="006C6D90"/>
    <w:rsid w:val="006C6DF0"/>
    <w:rsid w:val="006C6E4C"/>
    <w:rsid w:val="006C6E7A"/>
    <w:rsid w:val="006C6E85"/>
    <w:rsid w:val="006C6EC8"/>
    <w:rsid w:val="006C6F73"/>
    <w:rsid w:val="006C6FFA"/>
    <w:rsid w:val="006C7076"/>
    <w:rsid w:val="006C71CB"/>
    <w:rsid w:val="006C720F"/>
    <w:rsid w:val="006C7296"/>
    <w:rsid w:val="006C72E3"/>
    <w:rsid w:val="006C744B"/>
    <w:rsid w:val="006C74B6"/>
    <w:rsid w:val="006C7586"/>
    <w:rsid w:val="006C7622"/>
    <w:rsid w:val="006C762C"/>
    <w:rsid w:val="006C7646"/>
    <w:rsid w:val="006C775F"/>
    <w:rsid w:val="006C776E"/>
    <w:rsid w:val="006C785D"/>
    <w:rsid w:val="006C78A7"/>
    <w:rsid w:val="006C797D"/>
    <w:rsid w:val="006C79B4"/>
    <w:rsid w:val="006C79BE"/>
    <w:rsid w:val="006C79FF"/>
    <w:rsid w:val="006C7ABC"/>
    <w:rsid w:val="006C7B1E"/>
    <w:rsid w:val="006C7BCE"/>
    <w:rsid w:val="006C7BDF"/>
    <w:rsid w:val="006C7CEB"/>
    <w:rsid w:val="006C7D43"/>
    <w:rsid w:val="006C7DAE"/>
    <w:rsid w:val="006C7DAF"/>
    <w:rsid w:val="006C7DF1"/>
    <w:rsid w:val="006C7E08"/>
    <w:rsid w:val="006C7FB9"/>
    <w:rsid w:val="006D00D9"/>
    <w:rsid w:val="006D0100"/>
    <w:rsid w:val="006D01FD"/>
    <w:rsid w:val="006D0261"/>
    <w:rsid w:val="006D02C7"/>
    <w:rsid w:val="006D03B6"/>
    <w:rsid w:val="006D0406"/>
    <w:rsid w:val="006D0418"/>
    <w:rsid w:val="006D046A"/>
    <w:rsid w:val="006D0579"/>
    <w:rsid w:val="006D05D1"/>
    <w:rsid w:val="006D060E"/>
    <w:rsid w:val="006D0675"/>
    <w:rsid w:val="006D06B7"/>
    <w:rsid w:val="006D075E"/>
    <w:rsid w:val="006D0806"/>
    <w:rsid w:val="006D08E1"/>
    <w:rsid w:val="006D0904"/>
    <w:rsid w:val="006D092E"/>
    <w:rsid w:val="006D09DE"/>
    <w:rsid w:val="006D0AA5"/>
    <w:rsid w:val="006D0B2D"/>
    <w:rsid w:val="006D0B34"/>
    <w:rsid w:val="006D0B86"/>
    <w:rsid w:val="006D0B9D"/>
    <w:rsid w:val="006D0BB5"/>
    <w:rsid w:val="006D0BCB"/>
    <w:rsid w:val="006D0CDA"/>
    <w:rsid w:val="006D0E68"/>
    <w:rsid w:val="006D0FC7"/>
    <w:rsid w:val="006D0FD4"/>
    <w:rsid w:val="006D1050"/>
    <w:rsid w:val="006D109C"/>
    <w:rsid w:val="006D10A8"/>
    <w:rsid w:val="006D10F1"/>
    <w:rsid w:val="006D118A"/>
    <w:rsid w:val="006D1371"/>
    <w:rsid w:val="006D138C"/>
    <w:rsid w:val="006D13BB"/>
    <w:rsid w:val="006D1448"/>
    <w:rsid w:val="006D14C2"/>
    <w:rsid w:val="006D1611"/>
    <w:rsid w:val="006D167A"/>
    <w:rsid w:val="006D1687"/>
    <w:rsid w:val="006D1714"/>
    <w:rsid w:val="006D174F"/>
    <w:rsid w:val="006D18CD"/>
    <w:rsid w:val="006D195F"/>
    <w:rsid w:val="006D19CD"/>
    <w:rsid w:val="006D19EF"/>
    <w:rsid w:val="006D1A40"/>
    <w:rsid w:val="006D1AA8"/>
    <w:rsid w:val="006D1B48"/>
    <w:rsid w:val="006D1C76"/>
    <w:rsid w:val="006D1C8C"/>
    <w:rsid w:val="006D1E00"/>
    <w:rsid w:val="006D1E9C"/>
    <w:rsid w:val="006D1ECE"/>
    <w:rsid w:val="006D1F36"/>
    <w:rsid w:val="006D1FDF"/>
    <w:rsid w:val="006D1FEE"/>
    <w:rsid w:val="006D1FF1"/>
    <w:rsid w:val="006D20FC"/>
    <w:rsid w:val="006D22E7"/>
    <w:rsid w:val="006D2324"/>
    <w:rsid w:val="006D238C"/>
    <w:rsid w:val="006D23A4"/>
    <w:rsid w:val="006D23D2"/>
    <w:rsid w:val="006D23DF"/>
    <w:rsid w:val="006D248A"/>
    <w:rsid w:val="006D24D3"/>
    <w:rsid w:val="006D262F"/>
    <w:rsid w:val="006D26B4"/>
    <w:rsid w:val="006D27D4"/>
    <w:rsid w:val="006D27E5"/>
    <w:rsid w:val="006D2A27"/>
    <w:rsid w:val="006D2A3B"/>
    <w:rsid w:val="006D2A57"/>
    <w:rsid w:val="006D2C88"/>
    <w:rsid w:val="006D2D25"/>
    <w:rsid w:val="006D2D3E"/>
    <w:rsid w:val="006D2D45"/>
    <w:rsid w:val="006D2D92"/>
    <w:rsid w:val="006D2E38"/>
    <w:rsid w:val="006D301C"/>
    <w:rsid w:val="006D30F4"/>
    <w:rsid w:val="006D3102"/>
    <w:rsid w:val="006D318C"/>
    <w:rsid w:val="006D329A"/>
    <w:rsid w:val="006D32C9"/>
    <w:rsid w:val="006D3332"/>
    <w:rsid w:val="006D335B"/>
    <w:rsid w:val="006D3429"/>
    <w:rsid w:val="006D350D"/>
    <w:rsid w:val="006D35DB"/>
    <w:rsid w:val="006D3622"/>
    <w:rsid w:val="006D3670"/>
    <w:rsid w:val="006D36C9"/>
    <w:rsid w:val="006D37A1"/>
    <w:rsid w:val="006D38D0"/>
    <w:rsid w:val="006D390F"/>
    <w:rsid w:val="006D3944"/>
    <w:rsid w:val="006D39C1"/>
    <w:rsid w:val="006D3A0E"/>
    <w:rsid w:val="006D3B2C"/>
    <w:rsid w:val="006D3C01"/>
    <w:rsid w:val="006D3C5C"/>
    <w:rsid w:val="006D3C5F"/>
    <w:rsid w:val="006D3CB0"/>
    <w:rsid w:val="006D3CF8"/>
    <w:rsid w:val="006D3D37"/>
    <w:rsid w:val="006D3DC1"/>
    <w:rsid w:val="006D3E34"/>
    <w:rsid w:val="006D3F80"/>
    <w:rsid w:val="006D3F90"/>
    <w:rsid w:val="006D3FC2"/>
    <w:rsid w:val="006D4074"/>
    <w:rsid w:val="006D4096"/>
    <w:rsid w:val="006D4123"/>
    <w:rsid w:val="006D41D1"/>
    <w:rsid w:val="006D424E"/>
    <w:rsid w:val="006D42C0"/>
    <w:rsid w:val="006D42E0"/>
    <w:rsid w:val="006D44BF"/>
    <w:rsid w:val="006D451F"/>
    <w:rsid w:val="006D45E6"/>
    <w:rsid w:val="006D4602"/>
    <w:rsid w:val="006D4645"/>
    <w:rsid w:val="006D46C3"/>
    <w:rsid w:val="006D47A3"/>
    <w:rsid w:val="006D480B"/>
    <w:rsid w:val="006D481F"/>
    <w:rsid w:val="006D4AD7"/>
    <w:rsid w:val="006D4B2A"/>
    <w:rsid w:val="006D4C89"/>
    <w:rsid w:val="006D4D97"/>
    <w:rsid w:val="006D4E0B"/>
    <w:rsid w:val="006D4E1B"/>
    <w:rsid w:val="006D4E5E"/>
    <w:rsid w:val="006D4E8F"/>
    <w:rsid w:val="006D4F38"/>
    <w:rsid w:val="006D506F"/>
    <w:rsid w:val="006D5289"/>
    <w:rsid w:val="006D54C2"/>
    <w:rsid w:val="006D54E4"/>
    <w:rsid w:val="006D54ED"/>
    <w:rsid w:val="006D551E"/>
    <w:rsid w:val="006D5595"/>
    <w:rsid w:val="006D55CF"/>
    <w:rsid w:val="006D569C"/>
    <w:rsid w:val="006D58FD"/>
    <w:rsid w:val="006D591E"/>
    <w:rsid w:val="006D5927"/>
    <w:rsid w:val="006D59A1"/>
    <w:rsid w:val="006D5C56"/>
    <w:rsid w:val="006D5DA1"/>
    <w:rsid w:val="006D5DCF"/>
    <w:rsid w:val="006D5F72"/>
    <w:rsid w:val="006D6020"/>
    <w:rsid w:val="006D6139"/>
    <w:rsid w:val="006D614C"/>
    <w:rsid w:val="006D61FF"/>
    <w:rsid w:val="006D62D6"/>
    <w:rsid w:val="006D6304"/>
    <w:rsid w:val="006D63BB"/>
    <w:rsid w:val="006D6443"/>
    <w:rsid w:val="006D650C"/>
    <w:rsid w:val="006D6551"/>
    <w:rsid w:val="006D6587"/>
    <w:rsid w:val="006D65E6"/>
    <w:rsid w:val="006D6693"/>
    <w:rsid w:val="006D66FC"/>
    <w:rsid w:val="006D671B"/>
    <w:rsid w:val="006D67E0"/>
    <w:rsid w:val="006D6807"/>
    <w:rsid w:val="006D680E"/>
    <w:rsid w:val="006D69C8"/>
    <w:rsid w:val="006D69DE"/>
    <w:rsid w:val="006D6A4B"/>
    <w:rsid w:val="006D6ADF"/>
    <w:rsid w:val="006D6AEE"/>
    <w:rsid w:val="006D6AF1"/>
    <w:rsid w:val="006D6BA8"/>
    <w:rsid w:val="006D6C18"/>
    <w:rsid w:val="006D6CB5"/>
    <w:rsid w:val="006D6CB8"/>
    <w:rsid w:val="006D6CD0"/>
    <w:rsid w:val="006D6CF1"/>
    <w:rsid w:val="006D6D2B"/>
    <w:rsid w:val="006D6D86"/>
    <w:rsid w:val="006D6DA2"/>
    <w:rsid w:val="006D6DF5"/>
    <w:rsid w:val="006D6DF8"/>
    <w:rsid w:val="006D6EAD"/>
    <w:rsid w:val="006D6ECC"/>
    <w:rsid w:val="006D6FCB"/>
    <w:rsid w:val="006D6FDD"/>
    <w:rsid w:val="006D703F"/>
    <w:rsid w:val="006D7077"/>
    <w:rsid w:val="006D740D"/>
    <w:rsid w:val="006D7414"/>
    <w:rsid w:val="006D75A7"/>
    <w:rsid w:val="006D7673"/>
    <w:rsid w:val="006D76ED"/>
    <w:rsid w:val="006D7702"/>
    <w:rsid w:val="006D77E2"/>
    <w:rsid w:val="006D78F0"/>
    <w:rsid w:val="006D7921"/>
    <w:rsid w:val="006D79A2"/>
    <w:rsid w:val="006D7B1C"/>
    <w:rsid w:val="006D7DA6"/>
    <w:rsid w:val="006D7E42"/>
    <w:rsid w:val="006E007E"/>
    <w:rsid w:val="006E00C0"/>
    <w:rsid w:val="006E01BB"/>
    <w:rsid w:val="006E01CE"/>
    <w:rsid w:val="006E0222"/>
    <w:rsid w:val="006E0233"/>
    <w:rsid w:val="006E024C"/>
    <w:rsid w:val="006E02BC"/>
    <w:rsid w:val="006E02D5"/>
    <w:rsid w:val="006E034F"/>
    <w:rsid w:val="006E0424"/>
    <w:rsid w:val="006E04F2"/>
    <w:rsid w:val="006E04FE"/>
    <w:rsid w:val="006E0517"/>
    <w:rsid w:val="006E0571"/>
    <w:rsid w:val="006E0679"/>
    <w:rsid w:val="006E07A1"/>
    <w:rsid w:val="006E0876"/>
    <w:rsid w:val="006E09D6"/>
    <w:rsid w:val="006E0A33"/>
    <w:rsid w:val="006E0B03"/>
    <w:rsid w:val="006E0B83"/>
    <w:rsid w:val="006E0BC8"/>
    <w:rsid w:val="006E0C6E"/>
    <w:rsid w:val="006E0C9F"/>
    <w:rsid w:val="006E0D67"/>
    <w:rsid w:val="006E0D6A"/>
    <w:rsid w:val="006E0DAD"/>
    <w:rsid w:val="006E0DCC"/>
    <w:rsid w:val="006E0DDF"/>
    <w:rsid w:val="006E0E2B"/>
    <w:rsid w:val="006E0F40"/>
    <w:rsid w:val="006E1026"/>
    <w:rsid w:val="006E1062"/>
    <w:rsid w:val="006E111E"/>
    <w:rsid w:val="006E11DF"/>
    <w:rsid w:val="006E127C"/>
    <w:rsid w:val="006E12A2"/>
    <w:rsid w:val="006E12DD"/>
    <w:rsid w:val="006E13C7"/>
    <w:rsid w:val="006E143E"/>
    <w:rsid w:val="006E1448"/>
    <w:rsid w:val="006E147E"/>
    <w:rsid w:val="006E1493"/>
    <w:rsid w:val="006E14C0"/>
    <w:rsid w:val="006E14F3"/>
    <w:rsid w:val="006E14F6"/>
    <w:rsid w:val="006E15F7"/>
    <w:rsid w:val="006E176C"/>
    <w:rsid w:val="006E1796"/>
    <w:rsid w:val="006E17C2"/>
    <w:rsid w:val="006E1825"/>
    <w:rsid w:val="006E1892"/>
    <w:rsid w:val="006E19AC"/>
    <w:rsid w:val="006E19AF"/>
    <w:rsid w:val="006E1A01"/>
    <w:rsid w:val="006E1A1D"/>
    <w:rsid w:val="006E1A6B"/>
    <w:rsid w:val="006E1D06"/>
    <w:rsid w:val="006E1D1B"/>
    <w:rsid w:val="006E1D21"/>
    <w:rsid w:val="006E1D34"/>
    <w:rsid w:val="006E1DE6"/>
    <w:rsid w:val="006E1E2F"/>
    <w:rsid w:val="006E1E92"/>
    <w:rsid w:val="006E1EAB"/>
    <w:rsid w:val="006E1F8E"/>
    <w:rsid w:val="006E1FAB"/>
    <w:rsid w:val="006E2035"/>
    <w:rsid w:val="006E21BE"/>
    <w:rsid w:val="006E2217"/>
    <w:rsid w:val="006E22F5"/>
    <w:rsid w:val="006E23B1"/>
    <w:rsid w:val="006E248F"/>
    <w:rsid w:val="006E24A8"/>
    <w:rsid w:val="006E251E"/>
    <w:rsid w:val="006E2530"/>
    <w:rsid w:val="006E2590"/>
    <w:rsid w:val="006E27D7"/>
    <w:rsid w:val="006E2868"/>
    <w:rsid w:val="006E2874"/>
    <w:rsid w:val="006E28C2"/>
    <w:rsid w:val="006E2919"/>
    <w:rsid w:val="006E29C0"/>
    <w:rsid w:val="006E2A29"/>
    <w:rsid w:val="006E2D2A"/>
    <w:rsid w:val="006E2E01"/>
    <w:rsid w:val="006E2F0C"/>
    <w:rsid w:val="006E2F21"/>
    <w:rsid w:val="006E2F56"/>
    <w:rsid w:val="006E3018"/>
    <w:rsid w:val="006E305D"/>
    <w:rsid w:val="006E3094"/>
    <w:rsid w:val="006E30E4"/>
    <w:rsid w:val="006E3116"/>
    <w:rsid w:val="006E3150"/>
    <w:rsid w:val="006E31A6"/>
    <w:rsid w:val="006E31D5"/>
    <w:rsid w:val="006E31DD"/>
    <w:rsid w:val="006E31F0"/>
    <w:rsid w:val="006E3211"/>
    <w:rsid w:val="006E3278"/>
    <w:rsid w:val="006E33C3"/>
    <w:rsid w:val="006E34BF"/>
    <w:rsid w:val="006E3636"/>
    <w:rsid w:val="006E368B"/>
    <w:rsid w:val="006E36AC"/>
    <w:rsid w:val="006E37B7"/>
    <w:rsid w:val="006E3894"/>
    <w:rsid w:val="006E3925"/>
    <w:rsid w:val="006E3952"/>
    <w:rsid w:val="006E3BAC"/>
    <w:rsid w:val="006E3C44"/>
    <w:rsid w:val="006E3C8E"/>
    <w:rsid w:val="006E3CA9"/>
    <w:rsid w:val="006E3CC3"/>
    <w:rsid w:val="006E3D4E"/>
    <w:rsid w:val="006E3D62"/>
    <w:rsid w:val="006E3D6B"/>
    <w:rsid w:val="006E3DC0"/>
    <w:rsid w:val="006E3DEE"/>
    <w:rsid w:val="006E3E22"/>
    <w:rsid w:val="006E3E53"/>
    <w:rsid w:val="006E3E61"/>
    <w:rsid w:val="006E3E80"/>
    <w:rsid w:val="006E3E89"/>
    <w:rsid w:val="006E3E8D"/>
    <w:rsid w:val="006E3EEF"/>
    <w:rsid w:val="006E3FF7"/>
    <w:rsid w:val="006E40DA"/>
    <w:rsid w:val="006E414D"/>
    <w:rsid w:val="006E42C7"/>
    <w:rsid w:val="006E435F"/>
    <w:rsid w:val="006E441D"/>
    <w:rsid w:val="006E4546"/>
    <w:rsid w:val="006E4598"/>
    <w:rsid w:val="006E45AA"/>
    <w:rsid w:val="006E4634"/>
    <w:rsid w:val="006E465A"/>
    <w:rsid w:val="006E46B4"/>
    <w:rsid w:val="006E46BB"/>
    <w:rsid w:val="006E472B"/>
    <w:rsid w:val="006E4751"/>
    <w:rsid w:val="006E478D"/>
    <w:rsid w:val="006E4828"/>
    <w:rsid w:val="006E4875"/>
    <w:rsid w:val="006E48AB"/>
    <w:rsid w:val="006E4954"/>
    <w:rsid w:val="006E4AC5"/>
    <w:rsid w:val="006E4BA1"/>
    <w:rsid w:val="006E4BBD"/>
    <w:rsid w:val="006E4C27"/>
    <w:rsid w:val="006E4CFF"/>
    <w:rsid w:val="006E4D0F"/>
    <w:rsid w:val="006E4D9B"/>
    <w:rsid w:val="006E4E62"/>
    <w:rsid w:val="006E4EB0"/>
    <w:rsid w:val="006E4ECA"/>
    <w:rsid w:val="006E4EE6"/>
    <w:rsid w:val="006E4F70"/>
    <w:rsid w:val="006E4FF0"/>
    <w:rsid w:val="006E500B"/>
    <w:rsid w:val="006E51C1"/>
    <w:rsid w:val="006E5293"/>
    <w:rsid w:val="006E5503"/>
    <w:rsid w:val="006E5529"/>
    <w:rsid w:val="006E555C"/>
    <w:rsid w:val="006E557F"/>
    <w:rsid w:val="006E5712"/>
    <w:rsid w:val="006E577D"/>
    <w:rsid w:val="006E57C4"/>
    <w:rsid w:val="006E58D8"/>
    <w:rsid w:val="006E58E1"/>
    <w:rsid w:val="006E598C"/>
    <w:rsid w:val="006E5A17"/>
    <w:rsid w:val="006E5A21"/>
    <w:rsid w:val="006E5C60"/>
    <w:rsid w:val="006E5D22"/>
    <w:rsid w:val="006E5DBC"/>
    <w:rsid w:val="006E5E05"/>
    <w:rsid w:val="006E5E93"/>
    <w:rsid w:val="006E5F45"/>
    <w:rsid w:val="006E5FCC"/>
    <w:rsid w:val="006E5FCD"/>
    <w:rsid w:val="006E5FFA"/>
    <w:rsid w:val="006E6021"/>
    <w:rsid w:val="006E6044"/>
    <w:rsid w:val="006E6096"/>
    <w:rsid w:val="006E6135"/>
    <w:rsid w:val="006E6179"/>
    <w:rsid w:val="006E61C5"/>
    <w:rsid w:val="006E6300"/>
    <w:rsid w:val="006E631C"/>
    <w:rsid w:val="006E633F"/>
    <w:rsid w:val="006E647F"/>
    <w:rsid w:val="006E665A"/>
    <w:rsid w:val="006E66E9"/>
    <w:rsid w:val="006E66ED"/>
    <w:rsid w:val="006E6804"/>
    <w:rsid w:val="006E6886"/>
    <w:rsid w:val="006E68A6"/>
    <w:rsid w:val="006E69A3"/>
    <w:rsid w:val="006E6A2F"/>
    <w:rsid w:val="006E6A8E"/>
    <w:rsid w:val="006E6A95"/>
    <w:rsid w:val="006E6B01"/>
    <w:rsid w:val="006E6B3E"/>
    <w:rsid w:val="006E6B41"/>
    <w:rsid w:val="006E6BED"/>
    <w:rsid w:val="006E6D6D"/>
    <w:rsid w:val="006E6E6E"/>
    <w:rsid w:val="006E6EEC"/>
    <w:rsid w:val="006E6FA0"/>
    <w:rsid w:val="006E6FAB"/>
    <w:rsid w:val="006E6FC5"/>
    <w:rsid w:val="006E701B"/>
    <w:rsid w:val="006E702A"/>
    <w:rsid w:val="006E7171"/>
    <w:rsid w:val="006E7204"/>
    <w:rsid w:val="006E7287"/>
    <w:rsid w:val="006E72BA"/>
    <w:rsid w:val="006E72FF"/>
    <w:rsid w:val="006E7369"/>
    <w:rsid w:val="006E73D4"/>
    <w:rsid w:val="006E7454"/>
    <w:rsid w:val="006E7492"/>
    <w:rsid w:val="006E75B2"/>
    <w:rsid w:val="006E75EC"/>
    <w:rsid w:val="006E7660"/>
    <w:rsid w:val="006E7698"/>
    <w:rsid w:val="006E76E9"/>
    <w:rsid w:val="006E7767"/>
    <w:rsid w:val="006E77BC"/>
    <w:rsid w:val="006E780A"/>
    <w:rsid w:val="006E789F"/>
    <w:rsid w:val="006E79F6"/>
    <w:rsid w:val="006E7A37"/>
    <w:rsid w:val="006E7AD0"/>
    <w:rsid w:val="006E7B9A"/>
    <w:rsid w:val="006E7C08"/>
    <w:rsid w:val="006E7CE9"/>
    <w:rsid w:val="006E7D82"/>
    <w:rsid w:val="006E7DE7"/>
    <w:rsid w:val="006E7F14"/>
    <w:rsid w:val="006E7F3F"/>
    <w:rsid w:val="006E7FF9"/>
    <w:rsid w:val="006F0062"/>
    <w:rsid w:val="006F0241"/>
    <w:rsid w:val="006F0259"/>
    <w:rsid w:val="006F030A"/>
    <w:rsid w:val="006F03A2"/>
    <w:rsid w:val="006F0461"/>
    <w:rsid w:val="006F04A1"/>
    <w:rsid w:val="006F070A"/>
    <w:rsid w:val="006F0764"/>
    <w:rsid w:val="006F07CB"/>
    <w:rsid w:val="006F083D"/>
    <w:rsid w:val="006F0883"/>
    <w:rsid w:val="006F09BB"/>
    <w:rsid w:val="006F0A89"/>
    <w:rsid w:val="006F0AF5"/>
    <w:rsid w:val="006F0B09"/>
    <w:rsid w:val="006F0B7D"/>
    <w:rsid w:val="006F0C78"/>
    <w:rsid w:val="006F0C7F"/>
    <w:rsid w:val="006F0CA5"/>
    <w:rsid w:val="006F0E23"/>
    <w:rsid w:val="006F0E38"/>
    <w:rsid w:val="006F0EA9"/>
    <w:rsid w:val="006F0EB2"/>
    <w:rsid w:val="006F0ED6"/>
    <w:rsid w:val="006F0F3A"/>
    <w:rsid w:val="006F1026"/>
    <w:rsid w:val="006F1056"/>
    <w:rsid w:val="006F10F1"/>
    <w:rsid w:val="006F121E"/>
    <w:rsid w:val="006F1232"/>
    <w:rsid w:val="006F1327"/>
    <w:rsid w:val="006F13D3"/>
    <w:rsid w:val="006F13F7"/>
    <w:rsid w:val="006F142C"/>
    <w:rsid w:val="006F145F"/>
    <w:rsid w:val="006F14FA"/>
    <w:rsid w:val="006F1508"/>
    <w:rsid w:val="006F1723"/>
    <w:rsid w:val="006F17B0"/>
    <w:rsid w:val="006F17D3"/>
    <w:rsid w:val="006F1890"/>
    <w:rsid w:val="006F1A5F"/>
    <w:rsid w:val="006F1ADD"/>
    <w:rsid w:val="006F1B1B"/>
    <w:rsid w:val="006F1CF5"/>
    <w:rsid w:val="006F1E24"/>
    <w:rsid w:val="006F1EBA"/>
    <w:rsid w:val="006F1F15"/>
    <w:rsid w:val="006F1F5F"/>
    <w:rsid w:val="006F1FFD"/>
    <w:rsid w:val="006F200B"/>
    <w:rsid w:val="006F207D"/>
    <w:rsid w:val="006F20C2"/>
    <w:rsid w:val="006F20D0"/>
    <w:rsid w:val="006F20EE"/>
    <w:rsid w:val="006F20FA"/>
    <w:rsid w:val="006F2226"/>
    <w:rsid w:val="006F228F"/>
    <w:rsid w:val="006F2493"/>
    <w:rsid w:val="006F24AF"/>
    <w:rsid w:val="006F2518"/>
    <w:rsid w:val="006F254F"/>
    <w:rsid w:val="006F2638"/>
    <w:rsid w:val="006F2779"/>
    <w:rsid w:val="006F27BC"/>
    <w:rsid w:val="006F27E6"/>
    <w:rsid w:val="006F286B"/>
    <w:rsid w:val="006F29EB"/>
    <w:rsid w:val="006F2A03"/>
    <w:rsid w:val="006F2A46"/>
    <w:rsid w:val="006F2B54"/>
    <w:rsid w:val="006F2C27"/>
    <w:rsid w:val="006F2D74"/>
    <w:rsid w:val="006F2DB9"/>
    <w:rsid w:val="006F2E35"/>
    <w:rsid w:val="006F2E38"/>
    <w:rsid w:val="006F2EBE"/>
    <w:rsid w:val="006F2ECB"/>
    <w:rsid w:val="006F2FCB"/>
    <w:rsid w:val="006F2FD6"/>
    <w:rsid w:val="006F2FF1"/>
    <w:rsid w:val="006F301F"/>
    <w:rsid w:val="006F30A7"/>
    <w:rsid w:val="006F30CD"/>
    <w:rsid w:val="006F30D3"/>
    <w:rsid w:val="006F3205"/>
    <w:rsid w:val="006F3227"/>
    <w:rsid w:val="006F3241"/>
    <w:rsid w:val="006F331B"/>
    <w:rsid w:val="006F33EE"/>
    <w:rsid w:val="006F3475"/>
    <w:rsid w:val="006F3535"/>
    <w:rsid w:val="006F364E"/>
    <w:rsid w:val="006F36B7"/>
    <w:rsid w:val="006F36DF"/>
    <w:rsid w:val="006F3726"/>
    <w:rsid w:val="006F3740"/>
    <w:rsid w:val="006F3758"/>
    <w:rsid w:val="006F3799"/>
    <w:rsid w:val="006F3808"/>
    <w:rsid w:val="006F382C"/>
    <w:rsid w:val="006F393B"/>
    <w:rsid w:val="006F3AED"/>
    <w:rsid w:val="006F3B77"/>
    <w:rsid w:val="006F3BEB"/>
    <w:rsid w:val="006F3C3A"/>
    <w:rsid w:val="006F3CAC"/>
    <w:rsid w:val="006F3E07"/>
    <w:rsid w:val="006F3E28"/>
    <w:rsid w:val="006F3E66"/>
    <w:rsid w:val="006F3F05"/>
    <w:rsid w:val="006F3F6F"/>
    <w:rsid w:val="006F40AF"/>
    <w:rsid w:val="006F4136"/>
    <w:rsid w:val="006F428A"/>
    <w:rsid w:val="006F44CD"/>
    <w:rsid w:val="006F4534"/>
    <w:rsid w:val="006F454B"/>
    <w:rsid w:val="006F4578"/>
    <w:rsid w:val="006F461A"/>
    <w:rsid w:val="006F47B0"/>
    <w:rsid w:val="006F4803"/>
    <w:rsid w:val="006F4809"/>
    <w:rsid w:val="006F48A5"/>
    <w:rsid w:val="006F48FB"/>
    <w:rsid w:val="006F4969"/>
    <w:rsid w:val="006F4984"/>
    <w:rsid w:val="006F49AF"/>
    <w:rsid w:val="006F49CC"/>
    <w:rsid w:val="006F4A70"/>
    <w:rsid w:val="006F4A86"/>
    <w:rsid w:val="006F4ACA"/>
    <w:rsid w:val="006F4BD4"/>
    <w:rsid w:val="006F4C8A"/>
    <w:rsid w:val="006F4CA7"/>
    <w:rsid w:val="006F4CAF"/>
    <w:rsid w:val="006F4CB9"/>
    <w:rsid w:val="006F4D0C"/>
    <w:rsid w:val="006F4DB7"/>
    <w:rsid w:val="006F4E74"/>
    <w:rsid w:val="006F4F6F"/>
    <w:rsid w:val="006F5054"/>
    <w:rsid w:val="006F505E"/>
    <w:rsid w:val="006F508A"/>
    <w:rsid w:val="006F50BF"/>
    <w:rsid w:val="006F50C9"/>
    <w:rsid w:val="006F5121"/>
    <w:rsid w:val="006F51A1"/>
    <w:rsid w:val="006F5209"/>
    <w:rsid w:val="006F5218"/>
    <w:rsid w:val="006F5316"/>
    <w:rsid w:val="006F5323"/>
    <w:rsid w:val="006F53D3"/>
    <w:rsid w:val="006F55A8"/>
    <w:rsid w:val="006F5628"/>
    <w:rsid w:val="006F5818"/>
    <w:rsid w:val="006F58F6"/>
    <w:rsid w:val="006F590A"/>
    <w:rsid w:val="006F5A95"/>
    <w:rsid w:val="006F5A96"/>
    <w:rsid w:val="006F5B62"/>
    <w:rsid w:val="006F5C2D"/>
    <w:rsid w:val="006F5CF4"/>
    <w:rsid w:val="006F5D4E"/>
    <w:rsid w:val="006F5D4F"/>
    <w:rsid w:val="006F5D64"/>
    <w:rsid w:val="006F5E84"/>
    <w:rsid w:val="006F5E8D"/>
    <w:rsid w:val="006F5EEC"/>
    <w:rsid w:val="006F5FA6"/>
    <w:rsid w:val="006F60D5"/>
    <w:rsid w:val="006F610A"/>
    <w:rsid w:val="006F61A1"/>
    <w:rsid w:val="006F61B6"/>
    <w:rsid w:val="006F61EE"/>
    <w:rsid w:val="006F624B"/>
    <w:rsid w:val="006F627C"/>
    <w:rsid w:val="006F62AD"/>
    <w:rsid w:val="006F6408"/>
    <w:rsid w:val="006F6514"/>
    <w:rsid w:val="006F6592"/>
    <w:rsid w:val="006F66C5"/>
    <w:rsid w:val="006F66F0"/>
    <w:rsid w:val="006F6718"/>
    <w:rsid w:val="006F6735"/>
    <w:rsid w:val="006F673F"/>
    <w:rsid w:val="006F679C"/>
    <w:rsid w:val="006F6828"/>
    <w:rsid w:val="006F6967"/>
    <w:rsid w:val="006F69AD"/>
    <w:rsid w:val="006F6A27"/>
    <w:rsid w:val="006F6BB0"/>
    <w:rsid w:val="006F6BF3"/>
    <w:rsid w:val="006F6CF7"/>
    <w:rsid w:val="006F6D41"/>
    <w:rsid w:val="006F6DAA"/>
    <w:rsid w:val="006F6E52"/>
    <w:rsid w:val="006F6E8D"/>
    <w:rsid w:val="006F6EF4"/>
    <w:rsid w:val="006F6FB2"/>
    <w:rsid w:val="006F7034"/>
    <w:rsid w:val="006F71FB"/>
    <w:rsid w:val="006F732E"/>
    <w:rsid w:val="006F733D"/>
    <w:rsid w:val="006F7344"/>
    <w:rsid w:val="006F73EA"/>
    <w:rsid w:val="006F74A5"/>
    <w:rsid w:val="006F752B"/>
    <w:rsid w:val="006F753E"/>
    <w:rsid w:val="006F7562"/>
    <w:rsid w:val="006F7574"/>
    <w:rsid w:val="006F7591"/>
    <w:rsid w:val="006F75AB"/>
    <w:rsid w:val="006F75C2"/>
    <w:rsid w:val="006F75FC"/>
    <w:rsid w:val="006F7869"/>
    <w:rsid w:val="006F7903"/>
    <w:rsid w:val="006F797E"/>
    <w:rsid w:val="006F7A15"/>
    <w:rsid w:val="006F7A20"/>
    <w:rsid w:val="006F7A37"/>
    <w:rsid w:val="006F7A55"/>
    <w:rsid w:val="006F7A9E"/>
    <w:rsid w:val="006F7B76"/>
    <w:rsid w:val="006F7C29"/>
    <w:rsid w:val="006F7C3F"/>
    <w:rsid w:val="006F7C67"/>
    <w:rsid w:val="006F7E6B"/>
    <w:rsid w:val="006F7E75"/>
    <w:rsid w:val="006F7F57"/>
    <w:rsid w:val="006F7FB0"/>
    <w:rsid w:val="0070003A"/>
    <w:rsid w:val="007001B6"/>
    <w:rsid w:val="00700332"/>
    <w:rsid w:val="007003A1"/>
    <w:rsid w:val="00700498"/>
    <w:rsid w:val="007004B5"/>
    <w:rsid w:val="0070050F"/>
    <w:rsid w:val="0070058C"/>
    <w:rsid w:val="0070059D"/>
    <w:rsid w:val="00700653"/>
    <w:rsid w:val="00700667"/>
    <w:rsid w:val="00700674"/>
    <w:rsid w:val="0070077B"/>
    <w:rsid w:val="00700783"/>
    <w:rsid w:val="007007D0"/>
    <w:rsid w:val="007007E8"/>
    <w:rsid w:val="007008B9"/>
    <w:rsid w:val="007009B0"/>
    <w:rsid w:val="00700A0B"/>
    <w:rsid w:val="00700A29"/>
    <w:rsid w:val="00700A8B"/>
    <w:rsid w:val="00700A98"/>
    <w:rsid w:val="00700AAC"/>
    <w:rsid w:val="00700C35"/>
    <w:rsid w:val="00700DE3"/>
    <w:rsid w:val="00700F0F"/>
    <w:rsid w:val="00700F39"/>
    <w:rsid w:val="00700FE5"/>
    <w:rsid w:val="007010D8"/>
    <w:rsid w:val="007011DA"/>
    <w:rsid w:val="0070126D"/>
    <w:rsid w:val="007012A3"/>
    <w:rsid w:val="007012BD"/>
    <w:rsid w:val="0070141C"/>
    <w:rsid w:val="0070144A"/>
    <w:rsid w:val="00701486"/>
    <w:rsid w:val="0070152E"/>
    <w:rsid w:val="00701559"/>
    <w:rsid w:val="00701572"/>
    <w:rsid w:val="007016CC"/>
    <w:rsid w:val="007017F8"/>
    <w:rsid w:val="00701942"/>
    <w:rsid w:val="007019A9"/>
    <w:rsid w:val="007019B3"/>
    <w:rsid w:val="007019BC"/>
    <w:rsid w:val="007019D6"/>
    <w:rsid w:val="00701A36"/>
    <w:rsid w:val="00701BDE"/>
    <w:rsid w:val="00701BF9"/>
    <w:rsid w:val="00701DBA"/>
    <w:rsid w:val="00701E43"/>
    <w:rsid w:val="00701F56"/>
    <w:rsid w:val="00701F5F"/>
    <w:rsid w:val="00701FCE"/>
    <w:rsid w:val="007020BC"/>
    <w:rsid w:val="00702199"/>
    <w:rsid w:val="007021FE"/>
    <w:rsid w:val="00702229"/>
    <w:rsid w:val="00702273"/>
    <w:rsid w:val="007023B2"/>
    <w:rsid w:val="00702430"/>
    <w:rsid w:val="007024B8"/>
    <w:rsid w:val="007025C4"/>
    <w:rsid w:val="007026BE"/>
    <w:rsid w:val="0070279B"/>
    <w:rsid w:val="007027ED"/>
    <w:rsid w:val="0070293E"/>
    <w:rsid w:val="00702985"/>
    <w:rsid w:val="007029A6"/>
    <w:rsid w:val="00702AD7"/>
    <w:rsid w:val="00702AEF"/>
    <w:rsid w:val="00702C8F"/>
    <w:rsid w:val="00702CFF"/>
    <w:rsid w:val="00702E93"/>
    <w:rsid w:val="00702F45"/>
    <w:rsid w:val="00702F6B"/>
    <w:rsid w:val="00702FC1"/>
    <w:rsid w:val="00702FF3"/>
    <w:rsid w:val="00703043"/>
    <w:rsid w:val="0070306C"/>
    <w:rsid w:val="0070309B"/>
    <w:rsid w:val="007030C0"/>
    <w:rsid w:val="0070310C"/>
    <w:rsid w:val="007031C8"/>
    <w:rsid w:val="00703211"/>
    <w:rsid w:val="007033BF"/>
    <w:rsid w:val="00703539"/>
    <w:rsid w:val="00703579"/>
    <w:rsid w:val="007035D9"/>
    <w:rsid w:val="0070363C"/>
    <w:rsid w:val="00703680"/>
    <w:rsid w:val="00703AD7"/>
    <w:rsid w:val="00703BBD"/>
    <w:rsid w:val="00703BD2"/>
    <w:rsid w:val="00703BD5"/>
    <w:rsid w:val="00703BDB"/>
    <w:rsid w:val="00703C2A"/>
    <w:rsid w:val="00703C44"/>
    <w:rsid w:val="00703C54"/>
    <w:rsid w:val="00703C5C"/>
    <w:rsid w:val="00703E98"/>
    <w:rsid w:val="00703EAD"/>
    <w:rsid w:val="00703ED6"/>
    <w:rsid w:val="00703EE8"/>
    <w:rsid w:val="00703EF7"/>
    <w:rsid w:val="00703F8E"/>
    <w:rsid w:val="00704032"/>
    <w:rsid w:val="00704052"/>
    <w:rsid w:val="007042CB"/>
    <w:rsid w:val="0070430E"/>
    <w:rsid w:val="007043B5"/>
    <w:rsid w:val="0070441E"/>
    <w:rsid w:val="00704457"/>
    <w:rsid w:val="00704689"/>
    <w:rsid w:val="0070468C"/>
    <w:rsid w:val="007046DF"/>
    <w:rsid w:val="00704744"/>
    <w:rsid w:val="00704779"/>
    <w:rsid w:val="0070481B"/>
    <w:rsid w:val="007048B0"/>
    <w:rsid w:val="00704A20"/>
    <w:rsid w:val="00704A8D"/>
    <w:rsid w:val="00704AC3"/>
    <w:rsid w:val="00704B68"/>
    <w:rsid w:val="00704B95"/>
    <w:rsid w:val="00704C93"/>
    <w:rsid w:val="00704CC2"/>
    <w:rsid w:val="00704CF3"/>
    <w:rsid w:val="00704D91"/>
    <w:rsid w:val="00704DFF"/>
    <w:rsid w:val="00704EB4"/>
    <w:rsid w:val="00704F33"/>
    <w:rsid w:val="0070500D"/>
    <w:rsid w:val="00705134"/>
    <w:rsid w:val="007051AD"/>
    <w:rsid w:val="007051C3"/>
    <w:rsid w:val="007051E5"/>
    <w:rsid w:val="0070537C"/>
    <w:rsid w:val="007053E4"/>
    <w:rsid w:val="007053E9"/>
    <w:rsid w:val="00705416"/>
    <w:rsid w:val="00705500"/>
    <w:rsid w:val="007055EA"/>
    <w:rsid w:val="0070578A"/>
    <w:rsid w:val="007057BD"/>
    <w:rsid w:val="007057CD"/>
    <w:rsid w:val="0070589C"/>
    <w:rsid w:val="00705936"/>
    <w:rsid w:val="00705974"/>
    <w:rsid w:val="0070599D"/>
    <w:rsid w:val="007059EA"/>
    <w:rsid w:val="00705A51"/>
    <w:rsid w:val="00705AC6"/>
    <w:rsid w:val="00705AFF"/>
    <w:rsid w:val="00705C26"/>
    <w:rsid w:val="00705CA9"/>
    <w:rsid w:val="00705D71"/>
    <w:rsid w:val="00705E1F"/>
    <w:rsid w:val="00705E73"/>
    <w:rsid w:val="00705E88"/>
    <w:rsid w:val="00705F1C"/>
    <w:rsid w:val="00705F35"/>
    <w:rsid w:val="00705F68"/>
    <w:rsid w:val="00705FED"/>
    <w:rsid w:val="00706128"/>
    <w:rsid w:val="00706197"/>
    <w:rsid w:val="00706237"/>
    <w:rsid w:val="0070627A"/>
    <w:rsid w:val="007062EC"/>
    <w:rsid w:val="0070634B"/>
    <w:rsid w:val="00706371"/>
    <w:rsid w:val="007063F3"/>
    <w:rsid w:val="007065B7"/>
    <w:rsid w:val="00706680"/>
    <w:rsid w:val="007066EB"/>
    <w:rsid w:val="00706831"/>
    <w:rsid w:val="007068E6"/>
    <w:rsid w:val="007069FC"/>
    <w:rsid w:val="00706AC9"/>
    <w:rsid w:val="00706B7C"/>
    <w:rsid w:val="00706B98"/>
    <w:rsid w:val="00706D59"/>
    <w:rsid w:val="00706E8E"/>
    <w:rsid w:val="00706EE1"/>
    <w:rsid w:val="00706EF6"/>
    <w:rsid w:val="00706F70"/>
    <w:rsid w:val="00706FA6"/>
    <w:rsid w:val="00706FC0"/>
    <w:rsid w:val="007071AD"/>
    <w:rsid w:val="007071B6"/>
    <w:rsid w:val="007071D7"/>
    <w:rsid w:val="007071F1"/>
    <w:rsid w:val="0070728C"/>
    <w:rsid w:val="007073D2"/>
    <w:rsid w:val="0070750D"/>
    <w:rsid w:val="007075C4"/>
    <w:rsid w:val="00707839"/>
    <w:rsid w:val="00707850"/>
    <w:rsid w:val="00707ACF"/>
    <w:rsid w:val="00707B94"/>
    <w:rsid w:val="00707CC6"/>
    <w:rsid w:val="00707D4C"/>
    <w:rsid w:val="00707D6E"/>
    <w:rsid w:val="00707E21"/>
    <w:rsid w:val="00707E36"/>
    <w:rsid w:val="00707EC3"/>
    <w:rsid w:val="00707F88"/>
    <w:rsid w:val="00707FC5"/>
    <w:rsid w:val="00710061"/>
    <w:rsid w:val="00710478"/>
    <w:rsid w:val="00710598"/>
    <w:rsid w:val="00710655"/>
    <w:rsid w:val="007106AE"/>
    <w:rsid w:val="00710770"/>
    <w:rsid w:val="007107AF"/>
    <w:rsid w:val="0071092A"/>
    <w:rsid w:val="00710A99"/>
    <w:rsid w:val="00710B1C"/>
    <w:rsid w:val="00710B30"/>
    <w:rsid w:val="00710DE9"/>
    <w:rsid w:val="00710E52"/>
    <w:rsid w:val="00710E56"/>
    <w:rsid w:val="00710E7E"/>
    <w:rsid w:val="00710EE4"/>
    <w:rsid w:val="00710F0C"/>
    <w:rsid w:val="00711210"/>
    <w:rsid w:val="0071122A"/>
    <w:rsid w:val="007112CB"/>
    <w:rsid w:val="007112DF"/>
    <w:rsid w:val="00711301"/>
    <w:rsid w:val="00711330"/>
    <w:rsid w:val="00711425"/>
    <w:rsid w:val="00711451"/>
    <w:rsid w:val="007114D3"/>
    <w:rsid w:val="00711531"/>
    <w:rsid w:val="007115FC"/>
    <w:rsid w:val="00711612"/>
    <w:rsid w:val="00711640"/>
    <w:rsid w:val="00711660"/>
    <w:rsid w:val="00711661"/>
    <w:rsid w:val="0071170C"/>
    <w:rsid w:val="007117A2"/>
    <w:rsid w:val="007117C0"/>
    <w:rsid w:val="0071182A"/>
    <w:rsid w:val="00711A53"/>
    <w:rsid w:val="00711B01"/>
    <w:rsid w:val="00711B1C"/>
    <w:rsid w:val="00711B2C"/>
    <w:rsid w:val="00711CA3"/>
    <w:rsid w:val="00711DEB"/>
    <w:rsid w:val="00711E69"/>
    <w:rsid w:val="00711EA4"/>
    <w:rsid w:val="00711F1B"/>
    <w:rsid w:val="00711FE7"/>
    <w:rsid w:val="0071202A"/>
    <w:rsid w:val="00712053"/>
    <w:rsid w:val="0071209A"/>
    <w:rsid w:val="007121D3"/>
    <w:rsid w:val="007122AB"/>
    <w:rsid w:val="007122F0"/>
    <w:rsid w:val="0071230E"/>
    <w:rsid w:val="00712334"/>
    <w:rsid w:val="007123F5"/>
    <w:rsid w:val="0071240E"/>
    <w:rsid w:val="0071249F"/>
    <w:rsid w:val="007124B6"/>
    <w:rsid w:val="007125C0"/>
    <w:rsid w:val="00712637"/>
    <w:rsid w:val="00712702"/>
    <w:rsid w:val="00712721"/>
    <w:rsid w:val="007127D1"/>
    <w:rsid w:val="00712850"/>
    <w:rsid w:val="007128D6"/>
    <w:rsid w:val="00712978"/>
    <w:rsid w:val="0071299C"/>
    <w:rsid w:val="00712A0E"/>
    <w:rsid w:val="00712A2F"/>
    <w:rsid w:val="00712B49"/>
    <w:rsid w:val="00712BCA"/>
    <w:rsid w:val="00712C77"/>
    <w:rsid w:val="00712C7C"/>
    <w:rsid w:val="00712F0E"/>
    <w:rsid w:val="00712FFD"/>
    <w:rsid w:val="00713021"/>
    <w:rsid w:val="0071315D"/>
    <w:rsid w:val="00713221"/>
    <w:rsid w:val="007132D0"/>
    <w:rsid w:val="007132F1"/>
    <w:rsid w:val="0071337E"/>
    <w:rsid w:val="007133E0"/>
    <w:rsid w:val="007133EC"/>
    <w:rsid w:val="00713561"/>
    <w:rsid w:val="00713826"/>
    <w:rsid w:val="007138EF"/>
    <w:rsid w:val="00713971"/>
    <w:rsid w:val="00713975"/>
    <w:rsid w:val="00713A54"/>
    <w:rsid w:val="00713AA6"/>
    <w:rsid w:val="00713BFA"/>
    <w:rsid w:val="00713CCD"/>
    <w:rsid w:val="00713CFE"/>
    <w:rsid w:val="00713D22"/>
    <w:rsid w:val="00713D32"/>
    <w:rsid w:val="00713D7E"/>
    <w:rsid w:val="00713DC2"/>
    <w:rsid w:val="00713E02"/>
    <w:rsid w:val="00713E0F"/>
    <w:rsid w:val="00713EA6"/>
    <w:rsid w:val="00713F14"/>
    <w:rsid w:val="00713F16"/>
    <w:rsid w:val="00713F6D"/>
    <w:rsid w:val="00714021"/>
    <w:rsid w:val="007141A1"/>
    <w:rsid w:val="007142B4"/>
    <w:rsid w:val="00714559"/>
    <w:rsid w:val="00714562"/>
    <w:rsid w:val="007145A4"/>
    <w:rsid w:val="007145B3"/>
    <w:rsid w:val="007145D7"/>
    <w:rsid w:val="007145F3"/>
    <w:rsid w:val="00714676"/>
    <w:rsid w:val="00714719"/>
    <w:rsid w:val="007147B8"/>
    <w:rsid w:val="007147EF"/>
    <w:rsid w:val="00714840"/>
    <w:rsid w:val="007148C4"/>
    <w:rsid w:val="00714945"/>
    <w:rsid w:val="00714952"/>
    <w:rsid w:val="00714A0A"/>
    <w:rsid w:val="00714A66"/>
    <w:rsid w:val="00714A78"/>
    <w:rsid w:val="00714B14"/>
    <w:rsid w:val="00714B36"/>
    <w:rsid w:val="00714B58"/>
    <w:rsid w:val="00714C61"/>
    <w:rsid w:val="00714D17"/>
    <w:rsid w:val="00714D7F"/>
    <w:rsid w:val="00714E0D"/>
    <w:rsid w:val="00714E4E"/>
    <w:rsid w:val="00714F02"/>
    <w:rsid w:val="00714F23"/>
    <w:rsid w:val="00714F6E"/>
    <w:rsid w:val="007150B1"/>
    <w:rsid w:val="00715122"/>
    <w:rsid w:val="00715148"/>
    <w:rsid w:val="00715230"/>
    <w:rsid w:val="00715417"/>
    <w:rsid w:val="00715428"/>
    <w:rsid w:val="007155DC"/>
    <w:rsid w:val="00715617"/>
    <w:rsid w:val="007156EC"/>
    <w:rsid w:val="007156F3"/>
    <w:rsid w:val="0071574B"/>
    <w:rsid w:val="0071576B"/>
    <w:rsid w:val="0071577B"/>
    <w:rsid w:val="00715805"/>
    <w:rsid w:val="00715814"/>
    <w:rsid w:val="00715826"/>
    <w:rsid w:val="00715831"/>
    <w:rsid w:val="007158B2"/>
    <w:rsid w:val="0071592A"/>
    <w:rsid w:val="007159EC"/>
    <w:rsid w:val="00715A61"/>
    <w:rsid w:val="00715A97"/>
    <w:rsid w:val="00715C5B"/>
    <w:rsid w:val="00715D0A"/>
    <w:rsid w:val="00715D39"/>
    <w:rsid w:val="00715EB7"/>
    <w:rsid w:val="00715EC7"/>
    <w:rsid w:val="00715F08"/>
    <w:rsid w:val="0071612E"/>
    <w:rsid w:val="007161B1"/>
    <w:rsid w:val="007161D2"/>
    <w:rsid w:val="00716205"/>
    <w:rsid w:val="0071622A"/>
    <w:rsid w:val="0071624C"/>
    <w:rsid w:val="00716281"/>
    <w:rsid w:val="007162B7"/>
    <w:rsid w:val="007162E1"/>
    <w:rsid w:val="00716397"/>
    <w:rsid w:val="007163AC"/>
    <w:rsid w:val="00716407"/>
    <w:rsid w:val="00716456"/>
    <w:rsid w:val="007164A1"/>
    <w:rsid w:val="00716512"/>
    <w:rsid w:val="00716565"/>
    <w:rsid w:val="007165D2"/>
    <w:rsid w:val="00716685"/>
    <w:rsid w:val="00716781"/>
    <w:rsid w:val="007167B7"/>
    <w:rsid w:val="007167EB"/>
    <w:rsid w:val="00716838"/>
    <w:rsid w:val="007168E7"/>
    <w:rsid w:val="0071698A"/>
    <w:rsid w:val="00716A18"/>
    <w:rsid w:val="00716A56"/>
    <w:rsid w:val="00716A86"/>
    <w:rsid w:val="00716B58"/>
    <w:rsid w:val="00716B5D"/>
    <w:rsid w:val="00716DB1"/>
    <w:rsid w:val="00717032"/>
    <w:rsid w:val="007170AC"/>
    <w:rsid w:val="007170E0"/>
    <w:rsid w:val="00717178"/>
    <w:rsid w:val="0071720A"/>
    <w:rsid w:val="00717432"/>
    <w:rsid w:val="00717470"/>
    <w:rsid w:val="00717532"/>
    <w:rsid w:val="0071755B"/>
    <w:rsid w:val="00717600"/>
    <w:rsid w:val="00717621"/>
    <w:rsid w:val="00717627"/>
    <w:rsid w:val="007176A4"/>
    <w:rsid w:val="00717815"/>
    <w:rsid w:val="00717A06"/>
    <w:rsid w:val="00717A23"/>
    <w:rsid w:val="00717AAC"/>
    <w:rsid w:val="00717AB7"/>
    <w:rsid w:val="00717AD2"/>
    <w:rsid w:val="00717BF5"/>
    <w:rsid w:val="00717C43"/>
    <w:rsid w:val="00717C4C"/>
    <w:rsid w:val="00717C67"/>
    <w:rsid w:val="00717C6A"/>
    <w:rsid w:val="00717D40"/>
    <w:rsid w:val="00717D4D"/>
    <w:rsid w:val="00717DBE"/>
    <w:rsid w:val="00717DC1"/>
    <w:rsid w:val="00717DF5"/>
    <w:rsid w:val="00717E09"/>
    <w:rsid w:val="00717E19"/>
    <w:rsid w:val="00717E52"/>
    <w:rsid w:val="00717F8D"/>
    <w:rsid w:val="00717FEF"/>
    <w:rsid w:val="0072006C"/>
    <w:rsid w:val="007200AE"/>
    <w:rsid w:val="007200E7"/>
    <w:rsid w:val="0072014A"/>
    <w:rsid w:val="007201B5"/>
    <w:rsid w:val="007201F1"/>
    <w:rsid w:val="00720265"/>
    <w:rsid w:val="00720276"/>
    <w:rsid w:val="007202FA"/>
    <w:rsid w:val="007203F8"/>
    <w:rsid w:val="00720432"/>
    <w:rsid w:val="0072051A"/>
    <w:rsid w:val="00720552"/>
    <w:rsid w:val="00720574"/>
    <w:rsid w:val="0072057B"/>
    <w:rsid w:val="007206EC"/>
    <w:rsid w:val="0072072F"/>
    <w:rsid w:val="0072075C"/>
    <w:rsid w:val="0072079B"/>
    <w:rsid w:val="00720900"/>
    <w:rsid w:val="007209D1"/>
    <w:rsid w:val="00720A2A"/>
    <w:rsid w:val="00720A54"/>
    <w:rsid w:val="00720A5F"/>
    <w:rsid w:val="00720B1D"/>
    <w:rsid w:val="00720B2A"/>
    <w:rsid w:val="00720BA0"/>
    <w:rsid w:val="00720C15"/>
    <w:rsid w:val="00720C67"/>
    <w:rsid w:val="00720C8D"/>
    <w:rsid w:val="00720D6B"/>
    <w:rsid w:val="00720D84"/>
    <w:rsid w:val="00720DFA"/>
    <w:rsid w:val="00720F1B"/>
    <w:rsid w:val="00720F46"/>
    <w:rsid w:val="00720FD7"/>
    <w:rsid w:val="007210CD"/>
    <w:rsid w:val="00721287"/>
    <w:rsid w:val="007212B7"/>
    <w:rsid w:val="007212F4"/>
    <w:rsid w:val="007214C9"/>
    <w:rsid w:val="007215B7"/>
    <w:rsid w:val="0072172C"/>
    <w:rsid w:val="007217BD"/>
    <w:rsid w:val="00721842"/>
    <w:rsid w:val="00721956"/>
    <w:rsid w:val="007219AB"/>
    <w:rsid w:val="00721A40"/>
    <w:rsid w:val="00721AB9"/>
    <w:rsid w:val="00721ABE"/>
    <w:rsid w:val="00721AD0"/>
    <w:rsid w:val="00721AE8"/>
    <w:rsid w:val="00721B6F"/>
    <w:rsid w:val="00721B8C"/>
    <w:rsid w:val="00721BE8"/>
    <w:rsid w:val="00721C34"/>
    <w:rsid w:val="00721D1F"/>
    <w:rsid w:val="00721D27"/>
    <w:rsid w:val="00721E90"/>
    <w:rsid w:val="00721F24"/>
    <w:rsid w:val="0072205A"/>
    <w:rsid w:val="00722325"/>
    <w:rsid w:val="007223D5"/>
    <w:rsid w:val="00722481"/>
    <w:rsid w:val="007224B9"/>
    <w:rsid w:val="0072252C"/>
    <w:rsid w:val="0072273C"/>
    <w:rsid w:val="007227BC"/>
    <w:rsid w:val="007227DA"/>
    <w:rsid w:val="00722889"/>
    <w:rsid w:val="007228BD"/>
    <w:rsid w:val="007228C2"/>
    <w:rsid w:val="00722AC7"/>
    <w:rsid w:val="00722B53"/>
    <w:rsid w:val="00722B56"/>
    <w:rsid w:val="00722B5E"/>
    <w:rsid w:val="00722BA4"/>
    <w:rsid w:val="00722C76"/>
    <w:rsid w:val="00722D16"/>
    <w:rsid w:val="00722DEB"/>
    <w:rsid w:val="00722F8F"/>
    <w:rsid w:val="00722FED"/>
    <w:rsid w:val="00722FFA"/>
    <w:rsid w:val="007230B6"/>
    <w:rsid w:val="0072310A"/>
    <w:rsid w:val="00723198"/>
    <w:rsid w:val="007231B6"/>
    <w:rsid w:val="007231CE"/>
    <w:rsid w:val="00723263"/>
    <w:rsid w:val="00723277"/>
    <w:rsid w:val="007232DA"/>
    <w:rsid w:val="007232FF"/>
    <w:rsid w:val="007233BA"/>
    <w:rsid w:val="00723425"/>
    <w:rsid w:val="00723559"/>
    <w:rsid w:val="0072355C"/>
    <w:rsid w:val="00723643"/>
    <w:rsid w:val="00723754"/>
    <w:rsid w:val="0072375E"/>
    <w:rsid w:val="007237EB"/>
    <w:rsid w:val="007237EC"/>
    <w:rsid w:val="00723AD8"/>
    <w:rsid w:val="00723DA8"/>
    <w:rsid w:val="00723DE1"/>
    <w:rsid w:val="00723F15"/>
    <w:rsid w:val="00723FC2"/>
    <w:rsid w:val="00724002"/>
    <w:rsid w:val="0072402F"/>
    <w:rsid w:val="007240FE"/>
    <w:rsid w:val="00724137"/>
    <w:rsid w:val="00724240"/>
    <w:rsid w:val="0072427D"/>
    <w:rsid w:val="007243D1"/>
    <w:rsid w:val="00724406"/>
    <w:rsid w:val="00724408"/>
    <w:rsid w:val="0072444D"/>
    <w:rsid w:val="007247BC"/>
    <w:rsid w:val="00724A02"/>
    <w:rsid w:val="00724A37"/>
    <w:rsid w:val="00724A49"/>
    <w:rsid w:val="00724B40"/>
    <w:rsid w:val="00724C23"/>
    <w:rsid w:val="00724C3E"/>
    <w:rsid w:val="00724D3B"/>
    <w:rsid w:val="00724D73"/>
    <w:rsid w:val="00724E22"/>
    <w:rsid w:val="00724E5A"/>
    <w:rsid w:val="00724E6A"/>
    <w:rsid w:val="00724E8A"/>
    <w:rsid w:val="00725369"/>
    <w:rsid w:val="00725445"/>
    <w:rsid w:val="007254E2"/>
    <w:rsid w:val="007254ED"/>
    <w:rsid w:val="0072552E"/>
    <w:rsid w:val="0072553D"/>
    <w:rsid w:val="00725565"/>
    <w:rsid w:val="007255AB"/>
    <w:rsid w:val="00725724"/>
    <w:rsid w:val="0072574E"/>
    <w:rsid w:val="00725784"/>
    <w:rsid w:val="0072578D"/>
    <w:rsid w:val="0072586F"/>
    <w:rsid w:val="00725908"/>
    <w:rsid w:val="00725937"/>
    <w:rsid w:val="0072594E"/>
    <w:rsid w:val="007259A8"/>
    <w:rsid w:val="007259B0"/>
    <w:rsid w:val="007259BE"/>
    <w:rsid w:val="007259DC"/>
    <w:rsid w:val="00725A89"/>
    <w:rsid w:val="00725AB0"/>
    <w:rsid w:val="00725B38"/>
    <w:rsid w:val="00725C8F"/>
    <w:rsid w:val="00725CE6"/>
    <w:rsid w:val="00725D36"/>
    <w:rsid w:val="00725EDD"/>
    <w:rsid w:val="00725F83"/>
    <w:rsid w:val="00725FF8"/>
    <w:rsid w:val="00726014"/>
    <w:rsid w:val="00726039"/>
    <w:rsid w:val="00726068"/>
    <w:rsid w:val="007260E0"/>
    <w:rsid w:val="00726159"/>
    <w:rsid w:val="00726192"/>
    <w:rsid w:val="007261AC"/>
    <w:rsid w:val="00726216"/>
    <w:rsid w:val="0072628C"/>
    <w:rsid w:val="007264B8"/>
    <w:rsid w:val="00726578"/>
    <w:rsid w:val="007265DE"/>
    <w:rsid w:val="00726604"/>
    <w:rsid w:val="00726645"/>
    <w:rsid w:val="00726692"/>
    <w:rsid w:val="00726708"/>
    <w:rsid w:val="0072674D"/>
    <w:rsid w:val="007267BF"/>
    <w:rsid w:val="007267D2"/>
    <w:rsid w:val="00726849"/>
    <w:rsid w:val="00726861"/>
    <w:rsid w:val="007268F2"/>
    <w:rsid w:val="00726A06"/>
    <w:rsid w:val="00726A0C"/>
    <w:rsid w:val="00726A4D"/>
    <w:rsid w:val="00726AD8"/>
    <w:rsid w:val="00726B17"/>
    <w:rsid w:val="00726B26"/>
    <w:rsid w:val="00726B73"/>
    <w:rsid w:val="00726C73"/>
    <w:rsid w:val="00726C74"/>
    <w:rsid w:val="00726C78"/>
    <w:rsid w:val="00726CBB"/>
    <w:rsid w:val="00726CF7"/>
    <w:rsid w:val="00726D50"/>
    <w:rsid w:val="00726D64"/>
    <w:rsid w:val="00726D8F"/>
    <w:rsid w:val="00726D9B"/>
    <w:rsid w:val="00726ED6"/>
    <w:rsid w:val="00726F00"/>
    <w:rsid w:val="00726F59"/>
    <w:rsid w:val="00726FEF"/>
    <w:rsid w:val="007270DC"/>
    <w:rsid w:val="00727169"/>
    <w:rsid w:val="007271F7"/>
    <w:rsid w:val="00727202"/>
    <w:rsid w:val="007272A3"/>
    <w:rsid w:val="007274E6"/>
    <w:rsid w:val="007274F8"/>
    <w:rsid w:val="00727512"/>
    <w:rsid w:val="007276F8"/>
    <w:rsid w:val="007277A8"/>
    <w:rsid w:val="0072783B"/>
    <w:rsid w:val="00727916"/>
    <w:rsid w:val="00727A25"/>
    <w:rsid w:val="00727A4F"/>
    <w:rsid w:val="00727A95"/>
    <w:rsid w:val="00727AAA"/>
    <w:rsid w:val="00727B10"/>
    <w:rsid w:val="00727B5E"/>
    <w:rsid w:val="00727B7E"/>
    <w:rsid w:val="00727B80"/>
    <w:rsid w:val="00727C3E"/>
    <w:rsid w:val="00727CAF"/>
    <w:rsid w:val="00727D0B"/>
    <w:rsid w:val="00727DAC"/>
    <w:rsid w:val="00727EBA"/>
    <w:rsid w:val="00727F1F"/>
    <w:rsid w:val="007300C8"/>
    <w:rsid w:val="0073010E"/>
    <w:rsid w:val="00730271"/>
    <w:rsid w:val="00730341"/>
    <w:rsid w:val="007303C8"/>
    <w:rsid w:val="00730430"/>
    <w:rsid w:val="0073049A"/>
    <w:rsid w:val="0073054D"/>
    <w:rsid w:val="00730685"/>
    <w:rsid w:val="007306B4"/>
    <w:rsid w:val="00730711"/>
    <w:rsid w:val="00730731"/>
    <w:rsid w:val="00730755"/>
    <w:rsid w:val="00730818"/>
    <w:rsid w:val="0073086F"/>
    <w:rsid w:val="0073093C"/>
    <w:rsid w:val="00730B06"/>
    <w:rsid w:val="00730CB2"/>
    <w:rsid w:val="00730D93"/>
    <w:rsid w:val="00730DEC"/>
    <w:rsid w:val="00730EDE"/>
    <w:rsid w:val="00730F03"/>
    <w:rsid w:val="00730F1D"/>
    <w:rsid w:val="00730F78"/>
    <w:rsid w:val="0073113E"/>
    <w:rsid w:val="007311E2"/>
    <w:rsid w:val="00731276"/>
    <w:rsid w:val="00731290"/>
    <w:rsid w:val="007312D0"/>
    <w:rsid w:val="00731314"/>
    <w:rsid w:val="00731365"/>
    <w:rsid w:val="007314AE"/>
    <w:rsid w:val="007315AE"/>
    <w:rsid w:val="007318A6"/>
    <w:rsid w:val="007319C5"/>
    <w:rsid w:val="00731A4B"/>
    <w:rsid w:val="00731AA9"/>
    <w:rsid w:val="00731B04"/>
    <w:rsid w:val="00731B15"/>
    <w:rsid w:val="00731B24"/>
    <w:rsid w:val="00731B43"/>
    <w:rsid w:val="00731B4B"/>
    <w:rsid w:val="00731B59"/>
    <w:rsid w:val="00731BA2"/>
    <w:rsid w:val="00731C27"/>
    <w:rsid w:val="00731D23"/>
    <w:rsid w:val="00731DA6"/>
    <w:rsid w:val="00731DEC"/>
    <w:rsid w:val="00731E3C"/>
    <w:rsid w:val="00731F12"/>
    <w:rsid w:val="00732262"/>
    <w:rsid w:val="00732277"/>
    <w:rsid w:val="007322A4"/>
    <w:rsid w:val="007322E5"/>
    <w:rsid w:val="00732349"/>
    <w:rsid w:val="00732353"/>
    <w:rsid w:val="00732425"/>
    <w:rsid w:val="00732539"/>
    <w:rsid w:val="00732700"/>
    <w:rsid w:val="00732812"/>
    <w:rsid w:val="00732899"/>
    <w:rsid w:val="0073290F"/>
    <w:rsid w:val="00732966"/>
    <w:rsid w:val="0073296E"/>
    <w:rsid w:val="007329BE"/>
    <w:rsid w:val="00732B3C"/>
    <w:rsid w:val="00732B45"/>
    <w:rsid w:val="00732B73"/>
    <w:rsid w:val="00732BB1"/>
    <w:rsid w:val="00732BF0"/>
    <w:rsid w:val="00732C03"/>
    <w:rsid w:val="00732CD9"/>
    <w:rsid w:val="00732CE8"/>
    <w:rsid w:val="00732E07"/>
    <w:rsid w:val="00732E3C"/>
    <w:rsid w:val="00732EC2"/>
    <w:rsid w:val="00732EDC"/>
    <w:rsid w:val="00732F4F"/>
    <w:rsid w:val="00732FF6"/>
    <w:rsid w:val="00733030"/>
    <w:rsid w:val="007330A0"/>
    <w:rsid w:val="007331E4"/>
    <w:rsid w:val="00733289"/>
    <w:rsid w:val="007332FB"/>
    <w:rsid w:val="00733391"/>
    <w:rsid w:val="0073339E"/>
    <w:rsid w:val="007333A6"/>
    <w:rsid w:val="007335E9"/>
    <w:rsid w:val="00733659"/>
    <w:rsid w:val="00733847"/>
    <w:rsid w:val="007338E5"/>
    <w:rsid w:val="0073394B"/>
    <w:rsid w:val="007339D8"/>
    <w:rsid w:val="00733A24"/>
    <w:rsid w:val="00733A30"/>
    <w:rsid w:val="00733A3E"/>
    <w:rsid w:val="00733A43"/>
    <w:rsid w:val="00733ACB"/>
    <w:rsid w:val="00733AE4"/>
    <w:rsid w:val="00733B28"/>
    <w:rsid w:val="00733B5A"/>
    <w:rsid w:val="00733C81"/>
    <w:rsid w:val="00733D14"/>
    <w:rsid w:val="00733D2F"/>
    <w:rsid w:val="00733E1C"/>
    <w:rsid w:val="00733E5B"/>
    <w:rsid w:val="00734015"/>
    <w:rsid w:val="00734285"/>
    <w:rsid w:val="007342E2"/>
    <w:rsid w:val="00734361"/>
    <w:rsid w:val="0073444B"/>
    <w:rsid w:val="00734456"/>
    <w:rsid w:val="007344AF"/>
    <w:rsid w:val="00734527"/>
    <w:rsid w:val="007345B1"/>
    <w:rsid w:val="007345B6"/>
    <w:rsid w:val="007345FD"/>
    <w:rsid w:val="0073461F"/>
    <w:rsid w:val="0073470A"/>
    <w:rsid w:val="00734739"/>
    <w:rsid w:val="0073474F"/>
    <w:rsid w:val="00734841"/>
    <w:rsid w:val="007348EA"/>
    <w:rsid w:val="007349FA"/>
    <w:rsid w:val="00734A3D"/>
    <w:rsid w:val="00734B48"/>
    <w:rsid w:val="00734BF4"/>
    <w:rsid w:val="00734C8E"/>
    <w:rsid w:val="00734D4D"/>
    <w:rsid w:val="00734DDC"/>
    <w:rsid w:val="00734E0F"/>
    <w:rsid w:val="00734E89"/>
    <w:rsid w:val="00734ED1"/>
    <w:rsid w:val="00734EEC"/>
    <w:rsid w:val="00734F6D"/>
    <w:rsid w:val="00735008"/>
    <w:rsid w:val="00735057"/>
    <w:rsid w:val="007351AA"/>
    <w:rsid w:val="007351DF"/>
    <w:rsid w:val="00735319"/>
    <w:rsid w:val="007354DB"/>
    <w:rsid w:val="00735709"/>
    <w:rsid w:val="00735963"/>
    <w:rsid w:val="007359C4"/>
    <w:rsid w:val="00735AB3"/>
    <w:rsid w:val="00735ADC"/>
    <w:rsid w:val="00735C13"/>
    <w:rsid w:val="00735C40"/>
    <w:rsid w:val="00735D59"/>
    <w:rsid w:val="00735DE5"/>
    <w:rsid w:val="00735DF0"/>
    <w:rsid w:val="00735E09"/>
    <w:rsid w:val="00735EF3"/>
    <w:rsid w:val="0073601C"/>
    <w:rsid w:val="00736032"/>
    <w:rsid w:val="00736059"/>
    <w:rsid w:val="00736108"/>
    <w:rsid w:val="0073612C"/>
    <w:rsid w:val="00736160"/>
    <w:rsid w:val="0073625C"/>
    <w:rsid w:val="0073630F"/>
    <w:rsid w:val="007363B3"/>
    <w:rsid w:val="007363CB"/>
    <w:rsid w:val="007364BC"/>
    <w:rsid w:val="00736500"/>
    <w:rsid w:val="0073651D"/>
    <w:rsid w:val="00736531"/>
    <w:rsid w:val="00736618"/>
    <w:rsid w:val="007366D5"/>
    <w:rsid w:val="0073675E"/>
    <w:rsid w:val="0073685B"/>
    <w:rsid w:val="007369B1"/>
    <w:rsid w:val="00736A3F"/>
    <w:rsid w:val="00736A85"/>
    <w:rsid w:val="00736B09"/>
    <w:rsid w:val="00736B38"/>
    <w:rsid w:val="00736BA2"/>
    <w:rsid w:val="00736BF3"/>
    <w:rsid w:val="00736C17"/>
    <w:rsid w:val="00736C3D"/>
    <w:rsid w:val="00736C57"/>
    <w:rsid w:val="00736C8C"/>
    <w:rsid w:val="00736CC0"/>
    <w:rsid w:val="00736CFE"/>
    <w:rsid w:val="00736D8C"/>
    <w:rsid w:val="00736EB0"/>
    <w:rsid w:val="00736FC0"/>
    <w:rsid w:val="00737025"/>
    <w:rsid w:val="00737057"/>
    <w:rsid w:val="00737139"/>
    <w:rsid w:val="007371CE"/>
    <w:rsid w:val="0073727F"/>
    <w:rsid w:val="007372B2"/>
    <w:rsid w:val="007375CE"/>
    <w:rsid w:val="007376DD"/>
    <w:rsid w:val="007376F9"/>
    <w:rsid w:val="007377A6"/>
    <w:rsid w:val="00737842"/>
    <w:rsid w:val="00737961"/>
    <w:rsid w:val="00737997"/>
    <w:rsid w:val="007379A3"/>
    <w:rsid w:val="00737AD4"/>
    <w:rsid w:val="00737B12"/>
    <w:rsid w:val="00737B19"/>
    <w:rsid w:val="00737C48"/>
    <w:rsid w:val="00737C8D"/>
    <w:rsid w:val="00737D6D"/>
    <w:rsid w:val="00737DC8"/>
    <w:rsid w:val="00737E47"/>
    <w:rsid w:val="00740030"/>
    <w:rsid w:val="007400D9"/>
    <w:rsid w:val="007401B8"/>
    <w:rsid w:val="00740204"/>
    <w:rsid w:val="00740207"/>
    <w:rsid w:val="0074023D"/>
    <w:rsid w:val="0074028C"/>
    <w:rsid w:val="007402A4"/>
    <w:rsid w:val="00740316"/>
    <w:rsid w:val="00740377"/>
    <w:rsid w:val="007404CE"/>
    <w:rsid w:val="0074056E"/>
    <w:rsid w:val="00740608"/>
    <w:rsid w:val="0074064E"/>
    <w:rsid w:val="0074075D"/>
    <w:rsid w:val="007408B0"/>
    <w:rsid w:val="0074094D"/>
    <w:rsid w:val="00740B03"/>
    <w:rsid w:val="00740B37"/>
    <w:rsid w:val="00740BB2"/>
    <w:rsid w:val="00740BF6"/>
    <w:rsid w:val="00740CAE"/>
    <w:rsid w:val="00740D75"/>
    <w:rsid w:val="00740D9B"/>
    <w:rsid w:val="00740E38"/>
    <w:rsid w:val="00740ECC"/>
    <w:rsid w:val="00740F09"/>
    <w:rsid w:val="00740FC5"/>
    <w:rsid w:val="00740FEB"/>
    <w:rsid w:val="00741048"/>
    <w:rsid w:val="00741266"/>
    <w:rsid w:val="00741283"/>
    <w:rsid w:val="0074142C"/>
    <w:rsid w:val="007415EF"/>
    <w:rsid w:val="0074165C"/>
    <w:rsid w:val="00741685"/>
    <w:rsid w:val="007416D6"/>
    <w:rsid w:val="007417B6"/>
    <w:rsid w:val="007418B7"/>
    <w:rsid w:val="007418D0"/>
    <w:rsid w:val="007418E4"/>
    <w:rsid w:val="007418F1"/>
    <w:rsid w:val="0074191E"/>
    <w:rsid w:val="00741963"/>
    <w:rsid w:val="0074197D"/>
    <w:rsid w:val="00741A53"/>
    <w:rsid w:val="00741B7E"/>
    <w:rsid w:val="00741D1C"/>
    <w:rsid w:val="00741D2B"/>
    <w:rsid w:val="00741E3B"/>
    <w:rsid w:val="00741F57"/>
    <w:rsid w:val="0074205A"/>
    <w:rsid w:val="007420EC"/>
    <w:rsid w:val="0074210B"/>
    <w:rsid w:val="00742191"/>
    <w:rsid w:val="00742246"/>
    <w:rsid w:val="0074224E"/>
    <w:rsid w:val="007422C1"/>
    <w:rsid w:val="007422DE"/>
    <w:rsid w:val="00742494"/>
    <w:rsid w:val="007424E0"/>
    <w:rsid w:val="00742552"/>
    <w:rsid w:val="0074261E"/>
    <w:rsid w:val="00742631"/>
    <w:rsid w:val="007428AF"/>
    <w:rsid w:val="007428F6"/>
    <w:rsid w:val="00742901"/>
    <w:rsid w:val="007429AB"/>
    <w:rsid w:val="00742B67"/>
    <w:rsid w:val="00742C31"/>
    <w:rsid w:val="00742CD9"/>
    <w:rsid w:val="00742D64"/>
    <w:rsid w:val="00742D9A"/>
    <w:rsid w:val="00742E34"/>
    <w:rsid w:val="00742E69"/>
    <w:rsid w:val="00742E6C"/>
    <w:rsid w:val="00742F8D"/>
    <w:rsid w:val="00742F95"/>
    <w:rsid w:val="00742FA5"/>
    <w:rsid w:val="00743010"/>
    <w:rsid w:val="00743187"/>
    <w:rsid w:val="0074321B"/>
    <w:rsid w:val="007432E7"/>
    <w:rsid w:val="00743368"/>
    <w:rsid w:val="007434A2"/>
    <w:rsid w:val="007434B2"/>
    <w:rsid w:val="007434D4"/>
    <w:rsid w:val="007435BA"/>
    <w:rsid w:val="00743630"/>
    <w:rsid w:val="00743675"/>
    <w:rsid w:val="007436AE"/>
    <w:rsid w:val="007436DB"/>
    <w:rsid w:val="007436ED"/>
    <w:rsid w:val="007438E2"/>
    <w:rsid w:val="007438FA"/>
    <w:rsid w:val="0074398F"/>
    <w:rsid w:val="00743A4F"/>
    <w:rsid w:val="00743A5C"/>
    <w:rsid w:val="00743A9F"/>
    <w:rsid w:val="00743B1E"/>
    <w:rsid w:val="00743BA5"/>
    <w:rsid w:val="00743BF7"/>
    <w:rsid w:val="00743C2C"/>
    <w:rsid w:val="00743C31"/>
    <w:rsid w:val="00743CAA"/>
    <w:rsid w:val="00743D54"/>
    <w:rsid w:val="00743D66"/>
    <w:rsid w:val="00743DB1"/>
    <w:rsid w:val="00743E19"/>
    <w:rsid w:val="00743E37"/>
    <w:rsid w:val="00743EF7"/>
    <w:rsid w:val="00743F37"/>
    <w:rsid w:val="00743F55"/>
    <w:rsid w:val="00743FBE"/>
    <w:rsid w:val="00744030"/>
    <w:rsid w:val="00744137"/>
    <w:rsid w:val="00744140"/>
    <w:rsid w:val="0074418C"/>
    <w:rsid w:val="007441D1"/>
    <w:rsid w:val="0074421D"/>
    <w:rsid w:val="007445F6"/>
    <w:rsid w:val="007446AB"/>
    <w:rsid w:val="00744845"/>
    <w:rsid w:val="007448E4"/>
    <w:rsid w:val="0074492B"/>
    <w:rsid w:val="007449D2"/>
    <w:rsid w:val="00744A59"/>
    <w:rsid w:val="00744AE3"/>
    <w:rsid w:val="00744B1B"/>
    <w:rsid w:val="00744CD1"/>
    <w:rsid w:val="00744CFB"/>
    <w:rsid w:val="00744D2A"/>
    <w:rsid w:val="00744E13"/>
    <w:rsid w:val="00744E7D"/>
    <w:rsid w:val="00744E90"/>
    <w:rsid w:val="00744F8F"/>
    <w:rsid w:val="00745007"/>
    <w:rsid w:val="00745154"/>
    <w:rsid w:val="007451A4"/>
    <w:rsid w:val="00745260"/>
    <w:rsid w:val="0074526C"/>
    <w:rsid w:val="0074527D"/>
    <w:rsid w:val="0074537A"/>
    <w:rsid w:val="0074546D"/>
    <w:rsid w:val="007454D6"/>
    <w:rsid w:val="0074556F"/>
    <w:rsid w:val="00745609"/>
    <w:rsid w:val="0074560A"/>
    <w:rsid w:val="00745638"/>
    <w:rsid w:val="00745684"/>
    <w:rsid w:val="007456C4"/>
    <w:rsid w:val="00745837"/>
    <w:rsid w:val="007458AB"/>
    <w:rsid w:val="00745AD2"/>
    <w:rsid w:val="00745C4F"/>
    <w:rsid w:val="00745C71"/>
    <w:rsid w:val="00745D5E"/>
    <w:rsid w:val="00745D69"/>
    <w:rsid w:val="00745D6E"/>
    <w:rsid w:val="00745E27"/>
    <w:rsid w:val="00745E5C"/>
    <w:rsid w:val="00745F48"/>
    <w:rsid w:val="0074607C"/>
    <w:rsid w:val="007461F8"/>
    <w:rsid w:val="0074633F"/>
    <w:rsid w:val="0074640F"/>
    <w:rsid w:val="0074642C"/>
    <w:rsid w:val="0074646F"/>
    <w:rsid w:val="007464E4"/>
    <w:rsid w:val="00746535"/>
    <w:rsid w:val="00746593"/>
    <w:rsid w:val="007466C3"/>
    <w:rsid w:val="007467A5"/>
    <w:rsid w:val="007467D5"/>
    <w:rsid w:val="00746865"/>
    <w:rsid w:val="007469DE"/>
    <w:rsid w:val="00746B4E"/>
    <w:rsid w:val="00746CA3"/>
    <w:rsid w:val="00746CCC"/>
    <w:rsid w:val="00746CFE"/>
    <w:rsid w:val="00746E10"/>
    <w:rsid w:val="0074700B"/>
    <w:rsid w:val="0074705E"/>
    <w:rsid w:val="007471B0"/>
    <w:rsid w:val="0074725F"/>
    <w:rsid w:val="0074726B"/>
    <w:rsid w:val="0074734A"/>
    <w:rsid w:val="007473B1"/>
    <w:rsid w:val="007473F8"/>
    <w:rsid w:val="00747493"/>
    <w:rsid w:val="00747512"/>
    <w:rsid w:val="00747516"/>
    <w:rsid w:val="0074754F"/>
    <w:rsid w:val="007475E8"/>
    <w:rsid w:val="007475F1"/>
    <w:rsid w:val="007476CE"/>
    <w:rsid w:val="00747885"/>
    <w:rsid w:val="00747895"/>
    <w:rsid w:val="007478CA"/>
    <w:rsid w:val="00747AF6"/>
    <w:rsid w:val="00747B03"/>
    <w:rsid w:val="00747B61"/>
    <w:rsid w:val="00747BE1"/>
    <w:rsid w:val="00747D88"/>
    <w:rsid w:val="00747DB7"/>
    <w:rsid w:val="00747DEA"/>
    <w:rsid w:val="00747E74"/>
    <w:rsid w:val="00747E7C"/>
    <w:rsid w:val="00747ED1"/>
    <w:rsid w:val="0075001E"/>
    <w:rsid w:val="0075016D"/>
    <w:rsid w:val="00750253"/>
    <w:rsid w:val="0075027F"/>
    <w:rsid w:val="00750294"/>
    <w:rsid w:val="007502A9"/>
    <w:rsid w:val="0075032E"/>
    <w:rsid w:val="007503AA"/>
    <w:rsid w:val="007504ED"/>
    <w:rsid w:val="00750515"/>
    <w:rsid w:val="00750553"/>
    <w:rsid w:val="007505A3"/>
    <w:rsid w:val="007505B4"/>
    <w:rsid w:val="007506E1"/>
    <w:rsid w:val="00750719"/>
    <w:rsid w:val="0075094E"/>
    <w:rsid w:val="00750983"/>
    <w:rsid w:val="007509DD"/>
    <w:rsid w:val="007509F7"/>
    <w:rsid w:val="00750AB9"/>
    <w:rsid w:val="00750AC3"/>
    <w:rsid w:val="00750B1B"/>
    <w:rsid w:val="00750C00"/>
    <w:rsid w:val="00750C18"/>
    <w:rsid w:val="00750C32"/>
    <w:rsid w:val="00750E24"/>
    <w:rsid w:val="00750E32"/>
    <w:rsid w:val="00750F35"/>
    <w:rsid w:val="00750F71"/>
    <w:rsid w:val="00750F8B"/>
    <w:rsid w:val="0075100A"/>
    <w:rsid w:val="00751026"/>
    <w:rsid w:val="007510C1"/>
    <w:rsid w:val="007510CC"/>
    <w:rsid w:val="007510F4"/>
    <w:rsid w:val="00751145"/>
    <w:rsid w:val="007511C8"/>
    <w:rsid w:val="007511F0"/>
    <w:rsid w:val="007511FB"/>
    <w:rsid w:val="00751258"/>
    <w:rsid w:val="007512CF"/>
    <w:rsid w:val="00751388"/>
    <w:rsid w:val="0075138C"/>
    <w:rsid w:val="0075139B"/>
    <w:rsid w:val="007513F0"/>
    <w:rsid w:val="00751490"/>
    <w:rsid w:val="007517DC"/>
    <w:rsid w:val="007517E8"/>
    <w:rsid w:val="00751827"/>
    <w:rsid w:val="007518CD"/>
    <w:rsid w:val="00751923"/>
    <w:rsid w:val="00751953"/>
    <w:rsid w:val="00751971"/>
    <w:rsid w:val="0075199D"/>
    <w:rsid w:val="00751A5A"/>
    <w:rsid w:val="00751B6D"/>
    <w:rsid w:val="00751BE4"/>
    <w:rsid w:val="00751BF2"/>
    <w:rsid w:val="00751D02"/>
    <w:rsid w:val="00751DDB"/>
    <w:rsid w:val="00751E5B"/>
    <w:rsid w:val="00751EFC"/>
    <w:rsid w:val="00751F73"/>
    <w:rsid w:val="007520E7"/>
    <w:rsid w:val="0075214F"/>
    <w:rsid w:val="00752205"/>
    <w:rsid w:val="007522E1"/>
    <w:rsid w:val="0075235D"/>
    <w:rsid w:val="007524FC"/>
    <w:rsid w:val="007525A8"/>
    <w:rsid w:val="00752612"/>
    <w:rsid w:val="0075264B"/>
    <w:rsid w:val="0075278D"/>
    <w:rsid w:val="00752790"/>
    <w:rsid w:val="007527CF"/>
    <w:rsid w:val="00752861"/>
    <w:rsid w:val="0075294E"/>
    <w:rsid w:val="0075299C"/>
    <w:rsid w:val="00752A4D"/>
    <w:rsid w:val="00752A94"/>
    <w:rsid w:val="00752B0F"/>
    <w:rsid w:val="00752BEB"/>
    <w:rsid w:val="00752CC4"/>
    <w:rsid w:val="00752D75"/>
    <w:rsid w:val="00752D8E"/>
    <w:rsid w:val="00752E52"/>
    <w:rsid w:val="00752E53"/>
    <w:rsid w:val="00752EBA"/>
    <w:rsid w:val="00752F85"/>
    <w:rsid w:val="00752FF5"/>
    <w:rsid w:val="0075304E"/>
    <w:rsid w:val="007531CC"/>
    <w:rsid w:val="00753204"/>
    <w:rsid w:val="00753246"/>
    <w:rsid w:val="0075329E"/>
    <w:rsid w:val="007533B6"/>
    <w:rsid w:val="0075341C"/>
    <w:rsid w:val="00753420"/>
    <w:rsid w:val="0075361E"/>
    <w:rsid w:val="0075362C"/>
    <w:rsid w:val="00753670"/>
    <w:rsid w:val="00753750"/>
    <w:rsid w:val="00753763"/>
    <w:rsid w:val="007537DB"/>
    <w:rsid w:val="0075388C"/>
    <w:rsid w:val="00753922"/>
    <w:rsid w:val="00753932"/>
    <w:rsid w:val="007539C9"/>
    <w:rsid w:val="00753B4E"/>
    <w:rsid w:val="00753B78"/>
    <w:rsid w:val="00753B81"/>
    <w:rsid w:val="00753CC0"/>
    <w:rsid w:val="00753D0D"/>
    <w:rsid w:val="00753D56"/>
    <w:rsid w:val="00753EEB"/>
    <w:rsid w:val="00753F0F"/>
    <w:rsid w:val="00753F11"/>
    <w:rsid w:val="00753F2D"/>
    <w:rsid w:val="00754043"/>
    <w:rsid w:val="007540F0"/>
    <w:rsid w:val="00754131"/>
    <w:rsid w:val="00754135"/>
    <w:rsid w:val="0075424B"/>
    <w:rsid w:val="007544D7"/>
    <w:rsid w:val="007545A8"/>
    <w:rsid w:val="007545C0"/>
    <w:rsid w:val="007546C3"/>
    <w:rsid w:val="007546D1"/>
    <w:rsid w:val="00754720"/>
    <w:rsid w:val="0075472D"/>
    <w:rsid w:val="0075492E"/>
    <w:rsid w:val="00754AFF"/>
    <w:rsid w:val="00754B63"/>
    <w:rsid w:val="00754D14"/>
    <w:rsid w:val="00754F6A"/>
    <w:rsid w:val="00754FA7"/>
    <w:rsid w:val="007550AD"/>
    <w:rsid w:val="00755139"/>
    <w:rsid w:val="0075516F"/>
    <w:rsid w:val="0075520C"/>
    <w:rsid w:val="007552FB"/>
    <w:rsid w:val="007553AB"/>
    <w:rsid w:val="007553E8"/>
    <w:rsid w:val="007553FA"/>
    <w:rsid w:val="007553FD"/>
    <w:rsid w:val="00755420"/>
    <w:rsid w:val="007554F7"/>
    <w:rsid w:val="0075561B"/>
    <w:rsid w:val="0075567C"/>
    <w:rsid w:val="00755694"/>
    <w:rsid w:val="007556A0"/>
    <w:rsid w:val="007556BB"/>
    <w:rsid w:val="00755783"/>
    <w:rsid w:val="007557D9"/>
    <w:rsid w:val="007558D2"/>
    <w:rsid w:val="00755934"/>
    <w:rsid w:val="00755973"/>
    <w:rsid w:val="00755A37"/>
    <w:rsid w:val="00755A4C"/>
    <w:rsid w:val="00755AC0"/>
    <w:rsid w:val="00755AFA"/>
    <w:rsid w:val="00755BBD"/>
    <w:rsid w:val="00755D5B"/>
    <w:rsid w:val="00755DC5"/>
    <w:rsid w:val="00755DF3"/>
    <w:rsid w:val="00755DF8"/>
    <w:rsid w:val="00755F5B"/>
    <w:rsid w:val="00755F9F"/>
    <w:rsid w:val="00755FAF"/>
    <w:rsid w:val="00755FEC"/>
    <w:rsid w:val="00756111"/>
    <w:rsid w:val="007561D6"/>
    <w:rsid w:val="00756297"/>
    <w:rsid w:val="00756323"/>
    <w:rsid w:val="0075638B"/>
    <w:rsid w:val="00756618"/>
    <w:rsid w:val="00756634"/>
    <w:rsid w:val="00756666"/>
    <w:rsid w:val="007566AA"/>
    <w:rsid w:val="00756860"/>
    <w:rsid w:val="007569CB"/>
    <w:rsid w:val="00756A89"/>
    <w:rsid w:val="00756B38"/>
    <w:rsid w:val="00756BE6"/>
    <w:rsid w:val="00756E3A"/>
    <w:rsid w:val="00756E74"/>
    <w:rsid w:val="00756F0F"/>
    <w:rsid w:val="00756F56"/>
    <w:rsid w:val="0075703C"/>
    <w:rsid w:val="0075709F"/>
    <w:rsid w:val="0075710C"/>
    <w:rsid w:val="0075712A"/>
    <w:rsid w:val="0075712C"/>
    <w:rsid w:val="0075728A"/>
    <w:rsid w:val="00757340"/>
    <w:rsid w:val="00757366"/>
    <w:rsid w:val="007573AA"/>
    <w:rsid w:val="00757420"/>
    <w:rsid w:val="00757423"/>
    <w:rsid w:val="007575BB"/>
    <w:rsid w:val="0075763F"/>
    <w:rsid w:val="007576F2"/>
    <w:rsid w:val="007576F8"/>
    <w:rsid w:val="0075778E"/>
    <w:rsid w:val="007577D0"/>
    <w:rsid w:val="007578C1"/>
    <w:rsid w:val="007578E0"/>
    <w:rsid w:val="0075792D"/>
    <w:rsid w:val="0075795D"/>
    <w:rsid w:val="00757981"/>
    <w:rsid w:val="007579BF"/>
    <w:rsid w:val="00757A2A"/>
    <w:rsid w:val="00757A38"/>
    <w:rsid w:val="00757A3E"/>
    <w:rsid w:val="00757A45"/>
    <w:rsid w:val="00757A4D"/>
    <w:rsid w:val="00757A81"/>
    <w:rsid w:val="00757BDB"/>
    <w:rsid w:val="00757CC2"/>
    <w:rsid w:val="00757DAD"/>
    <w:rsid w:val="00757DD1"/>
    <w:rsid w:val="00757E84"/>
    <w:rsid w:val="00757E91"/>
    <w:rsid w:val="00757F68"/>
    <w:rsid w:val="00757FA8"/>
    <w:rsid w:val="007600FE"/>
    <w:rsid w:val="00760159"/>
    <w:rsid w:val="0076018F"/>
    <w:rsid w:val="0076023F"/>
    <w:rsid w:val="0076032D"/>
    <w:rsid w:val="00760461"/>
    <w:rsid w:val="0076050A"/>
    <w:rsid w:val="0076051B"/>
    <w:rsid w:val="0076057F"/>
    <w:rsid w:val="00760619"/>
    <w:rsid w:val="007607A1"/>
    <w:rsid w:val="0076081E"/>
    <w:rsid w:val="0076088C"/>
    <w:rsid w:val="007608A9"/>
    <w:rsid w:val="007609A0"/>
    <w:rsid w:val="007609D8"/>
    <w:rsid w:val="00760A59"/>
    <w:rsid w:val="00760A9B"/>
    <w:rsid w:val="00760B25"/>
    <w:rsid w:val="00760B4D"/>
    <w:rsid w:val="00760B76"/>
    <w:rsid w:val="00760BB5"/>
    <w:rsid w:val="00760C1C"/>
    <w:rsid w:val="00760DFA"/>
    <w:rsid w:val="00760E16"/>
    <w:rsid w:val="00760E28"/>
    <w:rsid w:val="00760EF0"/>
    <w:rsid w:val="00760F34"/>
    <w:rsid w:val="00760F5D"/>
    <w:rsid w:val="00761043"/>
    <w:rsid w:val="0076108A"/>
    <w:rsid w:val="007610D4"/>
    <w:rsid w:val="0076110E"/>
    <w:rsid w:val="00761134"/>
    <w:rsid w:val="0076122B"/>
    <w:rsid w:val="007612F7"/>
    <w:rsid w:val="00761356"/>
    <w:rsid w:val="00761379"/>
    <w:rsid w:val="0076138D"/>
    <w:rsid w:val="007613AA"/>
    <w:rsid w:val="007614F0"/>
    <w:rsid w:val="00761544"/>
    <w:rsid w:val="00761670"/>
    <w:rsid w:val="007616E3"/>
    <w:rsid w:val="00761710"/>
    <w:rsid w:val="007618DB"/>
    <w:rsid w:val="007618FB"/>
    <w:rsid w:val="0076192C"/>
    <w:rsid w:val="00761946"/>
    <w:rsid w:val="007619B8"/>
    <w:rsid w:val="00761A75"/>
    <w:rsid w:val="00761A85"/>
    <w:rsid w:val="00761A93"/>
    <w:rsid w:val="00761B46"/>
    <w:rsid w:val="00761BC9"/>
    <w:rsid w:val="00761BE8"/>
    <w:rsid w:val="00761D67"/>
    <w:rsid w:val="00761E50"/>
    <w:rsid w:val="00761EA3"/>
    <w:rsid w:val="0076207A"/>
    <w:rsid w:val="00762300"/>
    <w:rsid w:val="00762326"/>
    <w:rsid w:val="00762339"/>
    <w:rsid w:val="00762396"/>
    <w:rsid w:val="007624B2"/>
    <w:rsid w:val="007624CC"/>
    <w:rsid w:val="007624FA"/>
    <w:rsid w:val="0076251D"/>
    <w:rsid w:val="0076252E"/>
    <w:rsid w:val="007625BD"/>
    <w:rsid w:val="0076269D"/>
    <w:rsid w:val="007626B8"/>
    <w:rsid w:val="00762776"/>
    <w:rsid w:val="00762855"/>
    <w:rsid w:val="0076289F"/>
    <w:rsid w:val="0076290B"/>
    <w:rsid w:val="00762965"/>
    <w:rsid w:val="0076296C"/>
    <w:rsid w:val="00762992"/>
    <w:rsid w:val="00762C12"/>
    <w:rsid w:val="00762CAB"/>
    <w:rsid w:val="00762E6D"/>
    <w:rsid w:val="00763072"/>
    <w:rsid w:val="00763202"/>
    <w:rsid w:val="007632A9"/>
    <w:rsid w:val="007632EF"/>
    <w:rsid w:val="0076332B"/>
    <w:rsid w:val="00763474"/>
    <w:rsid w:val="007634EE"/>
    <w:rsid w:val="00763607"/>
    <w:rsid w:val="00763673"/>
    <w:rsid w:val="007636A2"/>
    <w:rsid w:val="0076370B"/>
    <w:rsid w:val="00763788"/>
    <w:rsid w:val="007637E2"/>
    <w:rsid w:val="007637F3"/>
    <w:rsid w:val="0076381F"/>
    <w:rsid w:val="0076387D"/>
    <w:rsid w:val="007638CB"/>
    <w:rsid w:val="0076391E"/>
    <w:rsid w:val="00763A6B"/>
    <w:rsid w:val="00763AD0"/>
    <w:rsid w:val="00763BAA"/>
    <w:rsid w:val="00763BC8"/>
    <w:rsid w:val="00763BE7"/>
    <w:rsid w:val="00763C19"/>
    <w:rsid w:val="00763C5E"/>
    <w:rsid w:val="00763C7E"/>
    <w:rsid w:val="00763CA4"/>
    <w:rsid w:val="00763CB3"/>
    <w:rsid w:val="00763CF9"/>
    <w:rsid w:val="00763CFD"/>
    <w:rsid w:val="00763D05"/>
    <w:rsid w:val="00763D07"/>
    <w:rsid w:val="00763D2A"/>
    <w:rsid w:val="00763D31"/>
    <w:rsid w:val="00763D6D"/>
    <w:rsid w:val="00763DCD"/>
    <w:rsid w:val="00763DD2"/>
    <w:rsid w:val="00763E50"/>
    <w:rsid w:val="00763E84"/>
    <w:rsid w:val="00763EEF"/>
    <w:rsid w:val="00763EFB"/>
    <w:rsid w:val="00763F61"/>
    <w:rsid w:val="00764105"/>
    <w:rsid w:val="0076410B"/>
    <w:rsid w:val="0076410D"/>
    <w:rsid w:val="00764210"/>
    <w:rsid w:val="0076425F"/>
    <w:rsid w:val="00764392"/>
    <w:rsid w:val="00764474"/>
    <w:rsid w:val="007644F1"/>
    <w:rsid w:val="0076452D"/>
    <w:rsid w:val="00764568"/>
    <w:rsid w:val="0076457A"/>
    <w:rsid w:val="007647BA"/>
    <w:rsid w:val="007647CA"/>
    <w:rsid w:val="00764806"/>
    <w:rsid w:val="007648BA"/>
    <w:rsid w:val="00764937"/>
    <w:rsid w:val="00764A0C"/>
    <w:rsid w:val="00764A56"/>
    <w:rsid w:val="00764B8B"/>
    <w:rsid w:val="00764CC6"/>
    <w:rsid w:val="00764EC2"/>
    <w:rsid w:val="00764F3A"/>
    <w:rsid w:val="00765163"/>
    <w:rsid w:val="00765167"/>
    <w:rsid w:val="007651D8"/>
    <w:rsid w:val="0076529F"/>
    <w:rsid w:val="0076535D"/>
    <w:rsid w:val="00765388"/>
    <w:rsid w:val="007653B8"/>
    <w:rsid w:val="00765535"/>
    <w:rsid w:val="00765672"/>
    <w:rsid w:val="0076581C"/>
    <w:rsid w:val="00765847"/>
    <w:rsid w:val="00765883"/>
    <w:rsid w:val="00765A18"/>
    <w:rsid w:val="00765AAC"/>
    <w:rsid w:val="00765B24"/>
    <w:rsid w:val="00765BAD"/>
    <w:rsid w:val="00765C46"/>
    <w:rsid w:val="00765C6B"/>
    <w:rsid w:val="00765CD6"/>
    <w:rsid w:val="00765D1D"/>
    <w:rsid w:val="00765D33"/>
    <w:rsid w:val="00765D7D"/>
    <w:rsid w:val="00765DB8"/>
    <w:rsid w:val="00765DE6"/>
    <w:rsid w:val="00765DEF"/>
    <w:rsid w:val="00765E5F"/>
    <w:rsid w:val="00765F28"/>
    <w:rsid w:val="00765FD9"/>
    <w:rsid w:val="00765FDF"/>
    <w:rsid w:val="0076600C"/>
    <w:rsid w:val="00766023"/>
    <w:rsid w:val="00766251"/>
    <w:rsid w:val="0076628E"/>
    <w:rsid w:val="007662C1"/>
    <w:rsid w:val="007665C9"/>
    <w:rsid w:val="007665DF"/>
    <w:rsid w:val="00766628"/>
    <w:rsid w:val="0076685E"/>
    <w:rsid w:val="0076686E"/>
    <w:rsid w:val="0076687C"/>
    <w:rsid w:val="007669D8"/>
    <w:rsid w:val="00766A7D"/>
    <w:rsid w:val="00766A9D"/>
    <w:rsid w:val="00766AC6"/>
    <w:rsid w:val="00766AE2"/>
    <w:rsid w:val="00766C68"/>
    <w:rsid w:val="00766C90"/>
    <w:rsid w:val="00766D8B"/>
    <w:rsid w:val="00766DCF"/>
    <w:rsid w:val="00766EEF"/>
    <w:rsid w:val="00766F3A"/>
    <w:rsid w:val="00766FA3"/>
    <w:rsid w:val="00766FC8"/>
    <w:rsid w:val="00767038"/>
    <w:rsid w:val="00767088"/>
    <w:rsid w:val="00767206"/>
    <w:rsid w:val="007672B2"/>
    <w:rsid w:val="0076737B"/>
    <w:rsid w:val="00767438"/>
    <w:rsid w:val="0076758F"/>
    <w:rsid w:val="007676AC"/>
    <w:rsid w:val="007676CF"/>
    <w:rsid w:val="007677EB"/>
    <w:rsid w:val="00767851"/>
    <w:rsid w:val="0076789D"/>
    <w:rsid w:val="00767A19"/>
    <w:rsid w:val="00767A68"/>
    <w:rsid w:val="00767A94"/>
    <w:rsid w:val="00767AA5"/>
    <w:rsid w:val="00767B2F"/>
    <w:rsid w:val="00767C05"/>
    <w:rsid w:val="00767C27"/>
    <w:rsid w:val="00767D8C"/>
    <w:rsid w:val="00767D9D"/>
    <w:rsid w:val="00767EC0"/>
    <w:rsid w:val="00767EE6"/>
    <w:rsid w:val="00767EF3"/>
    <w:rsid w:val="00767F00"/>
    <w:rsid w:val="00767F44"/>
    <w:rsid w:val="007700A8"/>
    <w:rsid w:val="0077012D"/>
    <w:rsid w:val="007701C7"/>
    <w:rsid w:val="007701FE"/>
    <w:rsid w:val="0077028B"/>
    <w:rsid w:val="0077035E"/>
    <w:rsid w:val="007703A0"/>
    <w:rsid w:val="0077044B"/>
    <w:rsid w:val="0077050F"/>
    <w:rsid w:val="007705D3"/>
    <w:rsid w:val="00770776"/>
    <w:rsid w:val="007707F6"/>
    <w:rsid w:val="007709FA"/>
    <w:rsid w:val="00770A33"/>
    <w:rsid w:val="00770A66"/>
    <w:rsid w:val="00770ACF"/>
    <w:rsid w:val="00770AFF"/>
    <w:rsid w:val="00770B21"/>
    <w:rsid w:val="00770B22"/>
    <w:rsid w:val="00770B5F"/>
    <w:rsid w:val="00770BCA"/>
    <w:rsid w:val="00770D7C"/>
    <w:rsid w:val="00770DAA"/>
    <w:rsid w:val="00770DD0"/>
    <w:rsid w:val="00770DD1"/>
    <w:rsid w:val="00770E39"/>
    <w:rsid w:val="00770F31"/>
    <w:rsid w:val="00770FBF"/>
    <w:rsid w:val="00770FD8"/>
    <w:rsid w:val="00771047"/>
    <w:rsid w:val="007710DF"/>
    <w:rsid w:val="00771190"/>
    <w:rsid w:val="0077133A"/>
    <w:rsid w:val="00771383"/>
    <w:rsid w:val="007713A5"/>
    <w:rsid w:val="007713EC"/>
    <w:rsid w:val="00771486"/>
    <w:rsid w:val="007714E8"/>
    <w:rsid w:val="007716DA"/>
    <w:rsid w:val="007716E5"/>
    <w:rsid w:val="0077182F"/>
    <w:rsid w:val="0077188B"/>
    <w:rsid w:val="0077189F"/>
    <w:rsid w:val="007718C5"/>
    <w:rsid w:val="00771A1B"/>
    <w:rsid w:val="00771CA1"/>
    <w:rsid w:val="00771CD2"/>
    <w:rsid w:val="00771E8C"/>
    <w:rsid w:val="00771ED7"/>
    <w:rsid w:val="00771EE2"/>
    <w:rsid w:val="00771EE5"/>
    <w:rsid w:val="00771EFC"/>
    <w:rsid w:val="00771FBE"/>
    <w:rsid w:val="00772000"/>
    <w:rsid w:val="00772020"/>
    <w:rsid w:val="0077218D"/>
    <w:rsid w:val="007721B5"/>
    <w:rsid w:val="007722B0"/>
    <w:rsid w:val="007722CC"/>
    <w:rsid w:val="007722E9"/>
    <w:rsid w:val="00772368"/>
    <w:rsid w:val="007723B8"/>
    <w:rsid w:val="0077244E"/>
    <w:rsid w:val="0077265B"/>
    <w:rsid w:val="00772723"/>
    <w:rsid w:val="007727A1"/>
    <w:rsid w:val="0077281C"/>
    <w:rsid w:val="0077283D"/>
    <w:rsid w:val="007728D6"/>
    <w:rsid w:val="00772917"/>
    <w:rsid w:val="00772A09"/>
    <w:rsid w:val="00772AAD"/>
    <w:rsid w:val="00772AAE"/>
    <w:rsid w:val="00772B38"/>
    <w:rsid w:val="00772B62"/>
    <w:rsid w:val="00772B75"/>
    <w:rsid w:val="00772B7C"/>
    <w:rsid w:val="00772C12"/>
    <w:rsid w:val="00772C79"/>
    <w:rsid w:val="00772C9D"/>
    <w:rsid w:val="00772CC9"/>
    <w:rsid w:val="00772CE6"/>
    <w:rsid w:val="00772D3A"/>
    <w:rsid w:val="00772E3A"/>
    <w:rsid w:val="00772F8B"/>
    <w:rsid w:val="00773125"/>
    <w:rsid w:val="00773130"/>
    <w:rsid w:val="007731FE"/>
    <w:rsid w:val="00773213"/>
    <w:rsid w:val="00773263"/>
    <w:rsid w:val="007732E2"/>
    <w:rsid w:val="007733E5"/>
    <w:rsid w:val="00773413"/>
    <w:rsid w:val="0077344B"/>
    <w:rsid w:val="007734FF"/>
    <w:rsid w:val="007735B8"/>
    <w:rsid w:val="00773622"/>
    <w:rsid w:val="00773686"/>
    <w:rsid w:val="007736F9"/>
    <w:rsid w:val="0077377B"/>
    <w:rsid w:val="0077377C"/>
    <w:rsid w:val="00773941"/>
    <w:rsid w:val="00773B3E"/>
    <w:rsid w:val="00773BD5"/>
    <w:rsid w:val="00773BDB"/>
    <w:rsid w:val="00773C49"/>
    <w:rsid w:val="00773C9A"/>
    <w:rsid w:val="00773D61"/>
    <w:rsid w:val="00773DAE"/>
    <w:rsid w:val="00773DCC"/>
    <w:rsid w:val="00773E2D"/>
    <w:rsid w:val="00773E55"/>
    <w:rsid w:val="00773FA8"/>
    <w:rsid w:val="00773FFC"/>
    <w:rsid w:val="00773FFF"/>
    <w:rsid w:val="0077406D"/>
    <w:rsid w:val="007740A0"/>
    <w:rsid w:val="007740B2"/>
    <w:rsid w:val="007740E3"/>
    <w:rsid w:val="00774153"/>
    <w:rsid w:val="007741CA"/>
    <w:rsid w:val="007742D7"/>
    <w:rsid w:val="0077434B"/>
    <w:rsid w:val="007743BD"/>
    <w:rsid w:val="0077441D"/>
    <w:rsid w:val="0077446A"/>
    <w:rsid w:val="007744D8"/>
    <w:rsid w:val="00774622"/>
    <w:rsid w:val="007746D1"/>
    <w:rsid w:val="00774740"/>
    <w:rsid w:val="007747BA"/>
    <w:rsid w:val="007747F3"/>
    <w:rsid w:val="00774827"/>
    <w:rsid w:val="00774A10"/>
    <w:rsid w:val="00774A35"/>
    <w:rsid w:val="00774A94"/>
    <w:rsid w:val="00774AEF"/>
    <w:rsid w:val="00774B23"/>
    <w:rsid w:val="00774B58"/>
    <w:rsid w:val="00774BE9"/>
    <w:rsid w:val="00774C3A"/>
    <w:rsid w:val="00774C3D"/>
    <w:rsid w:val="00774C46"/>
    <w:rsid w:val="00774C81"/>
    <w:rsid w:val="00774CA5"/>
    <w:rsid w:val="00774D79"/>
    <w:rsid w:val="00774DAC"/>
    <w:rsid w:val="00774DC8"/>
    <w:rsid w:val="00774DDF"/>
    <w:rsid w:val="00774EAD"/>
    <w:rsid w:val="00774EC7"/>
    <w:rsid w:val="00774ECD"/>
    <w:rsid w:val="00774F8A"/>
    <w:rsid w:val="007750B4"/>
    <w:rsid w:val="0077511F"/>
    <w:rsid w:val="007751CD"/>
    <w:rsid w:val="007752EC"/>
    <w:rsid w:val="00775347"/>
    <w:rsid w:val="00775408"/>
    <w:rsid w:val="007755BF"/>
    <w:rsid w:val="00775626"/>
    <w:rsid w:val="0077574E"/>
    <w:rsid w:val="007757BE"/>
    <w:rsid w:val="007757EC"/>
    <w:rsid w:val="007758A9"/>
    <w:rsid w:val="007758C9"/>
    <w:rsid w:val="00775983"/>
    <w:rsid w:val="00775989"/>
    <w:rsid w:val="007759F2"/>
    <w:rsid w:val="00775A16"/>
    <w:rsid w:val="00775AF0"/>
    <w:rsid w:val="00775B11"/>
    <w:rsid w:val="00775B50"/>
    <w:rsid w:val="00775C99"/>
    <w:rsid w:val="00775D2E"/>
    <w:rsid w:val="00775F14"/>
    <w:rsid w:val="00775F6D"/>
    <w:rsid w:val="007760BA"/>
    <w:rsid w:val="007760D3"/>
    <w:rsid w:val="00776261"/>
    <w:rsid w:val="0077627D"/>
    <w:rsid w:val="007762A4"/>
    <w:rsid w:val="007762FE"/>
    <w:rsid w:val="00776300"/>
    <w:rsid w:val="00776398"/>
    <w:rsid w:val="00776479"/>
    <w:rsid w:val="00776585"/>
    <w:rsid w:val="0077663F"/>
    <w:rsid w:val="00776648"/>
    <w:rsid w:val="0077669A"/>
    <w:rsid w:val="007766A6"/>
    <w:rsid w:val="007767F1"/>
    <w:rsid w:val="00776885"/>
    <w:rsid w:val="007768A9"/>
    <w:rsid w:val="007768B1"/>
    <w:rsid w:val="007769E9"/>
    <w:rsid w:val="00776A3A"/>
    <w:rsid w:val="00776A5F"/>
    <w:rsid w:val="00776A6E"/>
    <w:rsid w:val="00776B74"/>
    <w:rsid w:val="00776B88"/>
    <w:rsid w:val="00776E72"/>
    <w:rsid w:val="00776EF9"/>
    <w:rsid w:val="00776F1B"/>
    <w:rsid w:val="00776FF3"/>
    <w:rsid w:val="00777019"/>
    <w:rsid w:val="00777090"/>
    <w:rsid w:val="0077709A"/>
    <w:rsid w:val="007770BE"/>
    <w:rsid w:val="007770F0"/>
    <w:rsid w:val="007771DD"/>
    <w:rsid w:val="00777342"/>
    <w:rsid w:val="00777343"/>
    <w:rsid w:val="00777364"/>
    <w:rsid w:val="007774B7"/>
    <w:rsid w:val="0077762F"/>
    <w:rsid w:val="0077767E"/>
    <w:rsid w:val="0077778B"/>
    <w:rsid w:val="0077784D"/>
    <w:rsid w:val="00777894"/>
    <w:rsid w:val="007778C7"/>
    <w:rsid w:val="00777913"/>
    <w:rsid w:val="007779A4"/>
    <w:rsid w:val="00777A3D"/>
    <w:rsid w:val="00777A69"/>
    <w:rsid w:val="00777A8B"/>
    <w:rsid w:val="00777A97"/>
    <w:rsid w:val="00777B07"/>
    <w:rsid w:val="00777B23"/>
    <w:rsid w:val="00777B24"/>
    <w:rsid w:val="00777D04"/>
    <w:rsid w:val="00777DE9"/>
    <w:rsid w:val="00777DF1"/>
    <w:rsid w:val="00777EB8"/>
    <w:rsid w:val="00777FFB"/>
    <w:rsid w:val="007800A7"/>
    <w:rsid w:val="00780143"/>
    <w:rsid w:val="0078019C"/>
    <w:rsid w:val="007801E9"/>
    <w:rsid w:val="0078021C"/>
    <w:rsid w:val="00780305"/>
    <w:rsid w:val="007803A0"/>
    <w:rsid w:val="007804DD"/>
    <w:rsid w:val="00780552"/>
    <w:rsid w:val="0078060C"/>
    <w:rsid w:val="007806EC"/>
    <w:rsid w:val="007807B3"/>
    <w:rsid w:val="007807DA"/>
    <w:rsid w:val="007807EE"/>
    <w:rsid w:val="00780826"/>
    <w:rsid w:val="0078095C"/>
    <w:rsid w:val="00780966"/>
    <w:rsid w:val="00780997"/>
    <w:rsid w:val="00780998"/>
    <w:rsid w:val="007809BF"/>
    <w:rsid w:val="007809DB"/>
    <w:rsid w:val="00780A17"/>
    <w:rsid w:val="00780AA8"/>
    <w:rsid w:val="00780CE6"/>
    <w:rsid w:val="00780D49"/>
    <w:rsid w:val="00780D7E"/>
    <w:rsid w:val="00780D91"/>
    <w:rsid w:val="00780DE5"/>
    <w:rsid w:val="00780EF8"/>
    <w:rsid w:val="00780F6F"/>
    <w:rsid w:val="00780F87"/>
    <w:rsid w:val="0078134A"/>
    <w:rsid w:val="0078138C"/>
    <w:rsid w:val="007813B7"/>
    <w:rsid w:val="007815DB"/>
    <w:rsid w:val="0078162E"/>
    <w:rsid w:val="00781763"/>
    <w:rsid w:val="007817BF"/>
    <w:rsid w:val="00781803"/>
    <w:rsid w:val="00781815"/>
    <w:rsid w:val="00781894"/>
    <w:rsid w:val="00781975"/>
    <w:rsid w:val="007819FF"/>
    <w:rsid w:val="00781A10"/>
    <w:rsid w:val="00781A61"/>
    <w:rsid w:val="00781A97"/>
    <w:rsid w:val="00781AAC"/>
    <w:rsid w:val="00781B6B"/>
    <w:rsid w:val="00781DD9"/>
    <w:rsid w:val="00781E48"/>
    <w:rsid w:val="00781EA5"/>
    <w:rsid w:val="00781EA6"/>
    <w:rsid w:val="00781F0F"/>
    <w:rsid w:val="00781F57"/>
    <w:rsid w:val="00781FBE"/>
    <w:rsid w:val="00782042"/>
    <w:rsid w:val="0078215D"/>
    <w:rsid w:val="00782179"/>
    <w:rsid w:val="00782188"/>
    <w:rsid w:val="007821E3"/>
    <w:rsid w:val="007821E7"/>
    <w:rsid w:val="0078228D"/>
    <w:rsid w:val="007822F1"/>
    <w:rsid w:val="007824EF"/>
    <w:rsid w:val="00782615"/>
    <w:rsid w:val="00782797"/>
    <w:rsid w:val="00782868"/>
    <w:rsid w:val="0078286A"/>
    <w:rsid w:val="00782AAB"/>
    <w:rsid w:val="00782AB2"/>
    <w:rsid w:val="00782B06"/>
    <w:rsid w:val="00782B20"/>
    <w:rsid w:val="00782B55"/>
    <w:rsid w:val="00782CC7"/>
    <w:rsid w:val="00782D12"/>
    <w:rsid w:val="00782D9F"/>
    <w:rsid w:val="00782F4A"/>
    <w:rsid w:val="00782F4C"/>
    <w:rsid w:val="00782F6B"/>
    <w:rsid w:val="00782FAB"/>
    <w:rsid w:val="00783070"/>
    <w:rsid w:val="0078310D"/>
    <w:rsid w:val="00783280"/>
    <w:rsid w:val="00783393"/>
    <w:rsid w:val="00783470"/>
    <w:rsid w:val="0078350D"/>
    <w:rsid w:val="0078366B"/>
    <w:rsid w:val="0078369A"/>
    <w:rsid w:val="00783811"/>
    <w:rsid w:val="00783869"/>
    <w:rsid w:val="00783A3E"/>
    <w:rsid w:val="00783A4F"/>
    <w:rsid w:val="00783A57"/>
    <w:rsid w:val="00783B6F"/>
    <w:rsid w:val="00783C41"/>
    <w:rsid w:val="00783C59"/>
    <w:rsid w:val="00783C85"/>
    <w:rsid w:val="00783CFC"/>
    <w:rsid w:val="00783D99"/>
    <w:rsid w:val="00783D9C"/>
    <w:rsid w:val="00783F15"/>
    <w:rsid w:val="00783FC9"/>
    <w:rsid w:val="0078402E"/>
    <w:rsid w:val="007840B9"/>
    <w:rsid w:val="007840D8"/>
    <w:rsid w:val="00784108"/>
    <w:rsid w:val="0078417B"/>
    <w:rsid w:val="00784243"/>
    <w:rsid w:val="0078442A"/>
    <w:rsid w:val="0078448E"/>
    <w:rsid w:val="00784772"/>
    <w:rsid w:val="00784824"/>
    <w:rsid w:val="00784875"/>
    <w:rsid w:val="00784932"/>
    <w:rsid w:val="00784963"/>
    <w:rsid w:val="0078496E"/>
    <w:rsid w:val="00784980"/>
    <w:rsid w:val="007849D1"/>
    <w:rsid w:val="007849ED"/>
    <w:rsid w:val="007849FC"/>
    <w:rsid w:val="00784AC4"/>
    <w:rsid w:val="00784AD8"/>
    <w:rsid w:val="00784AE4"/>
    <w:rsid w:val="00784C0A"/>
    <w:rsid w:val="00784C59"/>
    <w:rsid w:val="00784E9F"/>
    <w:rsid w:val="00784EA7"/>
    <w:rsid w:val="00784EBA"/>
    <w:rsid w:val="00784EF6"/>
    <w:rsid w:val="00784F20"/>
    <w:rsid w:val="00784FAC"/>
    <w:rsid w:val="00784FC0"/>
    <w:rsid w:val="0078510C"/>
    <w:rsid w:val="00785166"/>
    <w:rsid w:val="007851B9"/>
    <w:rsid w:val="007851C8"/>
    <w:rsid w:val="007852EE"/>
    <w:rsid w:val="00785373"/>
    <w:rsid w:val="007853A2"/>
    <w:rsid w:val="007853CB"/>
    <w:rsid w:val="007853CC"/>
    <w:rsid w:val="0078541C"/>
    <w:rsid w:val="00785453"/>
    <w:rsid w:val="00785491"/>
    <w:rsid w:val="007854E8"/>
    <w:rsid w:val="00785502"/>
    <w:rsid w:val="00785658"/>
    <w:rsid w:val="00785685"/>
    <w:rsid w:val="007856CB"/>
    <w:rsid w:val="007858B9"/>
    <w:rsid w:val="007858F3"/>
    <w:rsid w:val="0078591A"/>
    <w:rsid w:val="00785920"/>
    <w:rsid w:val="007859DE"/>
    <w:rsid w:val="00785AA7"/>
    <w:rsid w:val="00785B2D"/>
    <w:rsid w:val="00785B83"/>
    <w:rsid w:val="00785BEC"/>
    <w:rsid w:val="00785C12"/>
    <w:rsid w:val="00785D0C"/>
    <w:rsid w:val="00785F20"/>
    <w:rsid w:val="00785F42"/>
    <w:rsid w:val="007860FF"/>
    <w:rsid w:val="0078620D"/>
    <w:rsid w:val="007862E2"/>
    <w:rsid w:val="0078630D"/>
    <w:rsid w:val="00786312"/>
    <w:rsid w:val="00786365"/>
    <w:rsid w:val="007863C9"/>
    <w:rsid w:val="007863ED"/>
    <w:rsid w:val="00786423"/>
    <w:rsid w:val="0078642F"/>
    <w:rsid w:val="00786468"/>
    <w:rsid w:val="00786507"/>
    <w:rsid w:val="0078661F"/>
    <w:rsid w:val="0078662E"/>
    <w:rsid w:val="0078663A"/>
    <w:rsid w:val="0078668B"/>
    <w:rsid w:val="0078670A"/>
    <w:rsid w:val="00786791"/>
    <w:rsid w:val="0078692D"/>
    <w:rsid w:val="007869E3"/>
    <w:rsid w:val="00786AD9"/>
    <w:rsid w:val="00786B45"/>
    <w:rsid w:val="00786B77"/>
    <w:rsid w:val="00786BF9"/>
    <w:rsid w:val="00786C7D"/>
    <w:rsid w:val="00786C82"/>
    <w:rsid w:val="00786D2A"/>
    <w:rsid w:val="00786DAA"/>
    <w:rsid w:val="00786ED6"/>
    <w:rsid w:val="00786F07"/>
    <w:rsid w:val="00786F43"/>
    <w:rsid w:val="00787030"/>
    <w:rsid w:val="007871BF"/>
    <w:rsid w:val="00787253"/>
    <w:rsid w:val="007872E8"/>
    <w:rsid w:val="0078732B"/>
    <w:rsid w:val="007873D8"/>
    <w:rsid w:val="0078740E"/>
    <w:rsid w:val="00787425"/>
    <w:rsid w:val="00787514"/>
    <w:rsid w:val="00787550"/>
    <w:rsid w:val="00787591"/>
    <w:rsid w:val="00787652"/>
    <w:rsid w:val="00787667"/>
    <w:rsid w:val="007878E1"/>
    <w:rsid w:val="00787A30"/>
    <w:rsid w:val="00787B09"/>
    <w:rsid w:val="00787B66"/>
    <w:rsid w:val="00787C19"/>
    <w:rsid w:val="00787C47"/>
    <w:rsid w:val="00787C53"/>
    <w:rsid w:val="00787CE3"/>
    <w:rsid w:val="00787D19"/>
    <w:rsid w:val="00787D38"/>
    <w:rsid w:val="00787D46"/>
    <w:rsid w:val="00787DBC"/>
    <w:rsid w:val="00787DD7"/>
    <w:rsid w:val="00787E79"/>
    <w:rsid w:val="00787E87"/>
    <w:rsid w:val="00787EA3"/>
    <w:rsid w:val="00787EAF"/>
    <w:rsid w:val="00787F79"/>
    <w:rsid w:val="0079001F"/>
    <w:rsid w:val="00790035"/>
    <w:rsid w:val="00790085"/>
    <w:rsid w:val="007900D1"/>
    <w:rsid w:val="007901C6"/>
    <w:rsid w:val="007901E8"/>
    <w:rsid w:val="00790388"/>
    <w:rsid w:val="00790393"/>
    <w:rsid w:val="00790428"/>
    <w:rsid w:val="007904E2"/>
    <w:rsid w:val="007905FB"/>
    <w:rsid w:val="00790719"/>
    <w:rsid w:val="00790738"/>
    <w:rsid w:val="0079073E"/>
    <w:rsid w:val="007908B3"/>
    <w:rsid w:val="007908E0"/>
    <w:rsid w:val="0079099C"/>
    <w:rsid w:val="007909A7"/>
    <w:rsid w:val="00790A49"/>
    <w:rsid w:val="00790C33"/>
    <w:rsid w:val="00790C51"/>
    <w:rsid w:val="00790C5E"/>
    <w:rsid w:val="00790CA7"/>
    <w:rsid w:val="00790D92"/>
    <w:rsid w:val="00790E27"/>
    <w:rsid w:val="00790E6F"/>
    <w:rsid w:val="00790E87"/>
    <w:rsid w:val="00790F2E"/>
    <w:rsid w:val="00790F9E"/>
    <w:rsid w:val="00790FA9"/>
    <w:rsid w:val="00791029"/>
    <w:rsid w:val="007910C1"/>
    <w:rsid w:val="007910D7"/>
    <w:rsid w:val="00791149"/>
    <w:rsid w:val="007911D3"/>
    <w:rsid w:val="00791201"/>
    <w:rsid w:val="0079133A"/>
    <w:rsid w:val="007913BE"/>
    <w:rsid w:val="00791438"/>
    <w:rsid w:val="00791576"/>
    <w:rsid w:val="007915C6"/>
    <w:rsid w:val="00791618"/>
    <w:rsid w:val="00791635"/>
    <w:rsid w:val="007916AE"/>
    <w:rsid w:val="007917D3"/>
    <w:rsid w:val="00791812"/>
    <w:rsid w:val="007918D8"/>
    <w:rsid w:val="007918FC"/>
    <w:rsid w:val="0079198E"/>
    <w:rsid w:val="007919C9"/>
    <w:rsid w:val="00791A22"/>
    <w:rsid w:val="00791AB6"/>
    <w:rsid w:val="00791AE8"/>
    <w:rsid w:val="00791B2A"/>
    <w:rsid w:val="00791B98"/>
    <w:rsid w:val="00791BBE"/>
    <w:rsid w:val="00791BE5"/>
    <w:rsid w:val="00791BF5"/>
    <w:rsid w:val="00791BF8"/>
    <w:rsid w:val="00791CC6"/>
    <w:rsid w:val="00791D41"/>
    <w:rsid w:val="00791DA1"/>
    <w:rsid w:val="00791DAA"/>
    <w:rsid w:val="00791DFF"/>
    <w:rsid w:val="00791EB2"/>
    <w:rsid w:val="00791ECD"/>
    <w:rsid w:val="00791F24"/>
    <w:rsid w:val="00791F42"/>
    <w:rsid w:val="00791F6A"/>
    <w:rsid w:val="00792092"/>
    <w:rsid w:val="007920AA"/>
    <w:rsid w:val="00792139"/>
    <w:rsid w:val="007921FC"/>
    <w:rsid w:val="00792237"/>
    <w:rsid w:val="00792361"/>
    <w:rsid w:val="00792391"/>
    <w:rsid w:val="0079241C"/>
    <w:rsid w:val="00792450"/>
    <w:rsid w:val="0079247D"/>
    <w:rsid w:val="007924F6"/>
    <w:rsid w:val="00792544"/>
    <w:rsid w:val="00792548"/>
    <w:rsid w:val="0079265C"/>
    <w:rsid w:val="0079268C"/>
    <w:rsid w:val="00792706"/>
    <w:rsid w:val="007927DF"/>
    <w:rsid w:val="0079288C"/>
    <w:rsid w:val="007928E1"/>
    <w:rsid w:val="00792904"/>
    <w:rsid w:val="00792A16"/>
    <w:rsid w:val="00792A58"/>
    <w:rsid w:val="00792BC6"/>
    <w:rsid w:val="00792BC9"/>
    <w:rsid w:val="00792C44"/>
    <w:rsid w:val="00792C5D"/>
    <w:rsid w:val="00792C68"/>
    <w:rsid w:val="00792C92"/>
    <w:rsid w:val="00792D90"/>
    <w:rsid w:val="00792E09"/>
    <w:rsid w:val="00792E5F"/>
    <w:rsid w:val="00792EDF"/>
    <w:rsid w:val="00792F29"/>
    <w:rsid w:val="00792F45"/>
    <w:rsid w:val="00793003"/>
    <w:rsid w:val="00793063"/>
    <w:rsid w:val="007930E7"/>
    <w:rsid w:val="00793104"/>
    <w:rsid w:val="00793107"/>
    <w:rsid w:val="0079320F"/>
    <w:rsid w:val="0079330E"/>
    <w:rsid w:val="00793370"/>
    <w:rsid w:val="0079341F"/>
    <w:rsid w:val="00793499"/>
    <w:rsid w:val="0079359B"/>
    <w:rsid w:val="0079360F"/>
    <w:rsid w:val="0079362D"/>
    <w:rsid w:val="00793692"/>
    <w:rsid w:val="007936BA"/>
    <w:rsid w:val="00793740"/>
    <w:rsid w:val="0079377A"/>
    <w:rsid w:val="007938B4"/>
    <w:rsid w:val="00793948"/>
    <w:rsid w:val="00793A0D"/>
    <w:rsid w:val="00793A23"/>
    <w:rsid w:val="00793A35"/>
    <w:rsid w:val="00793A8F"/>
    <w:rsid w:val="00793ACE"/>
    <w:rsid w:val="00793ADA"/>
    <w:rsid w:val="00793B23"/>
    <w:rsid w:val="00793C12"/>
    <w:rsid w:val="00793C61"/>
    <w:rsid w:val="00793C93"/>
    <w:rsid w:val="00793D60"/>
    <w:rsid w:val="00793DD0"/>
    <w:rsid w:val="00793DE3"/>
    <w:rsid w:val="00793F57"/>
    <w:rsid w:val="00793FCF"/>
    <w:rsid w:val="0079404A"/>
    <w:rsid w:val="0079406A"/>
    <w:rsid w:val="00794075"/>
    <w:rsid w:val="00794104"/>
    <w:rsid w:val="00794119"/>
    <w:rsid w:val="00794141"/>
    <w:rsid w:val="007941AE"/>
    <w:rsid w:val="00794296"/>
    <w:rsid w:val="00794398"/>
    <w:rsid w:val="00794412"/>
    <w:rsid w:val="00794434"/>
    <w:rsid w:val="007944E2"/>
    <w:rsid w:val="00794525"/>
    <w:rsid w:val="00794665"/>
    <w:rsid w:val="00794706"/>
    <w:rsid w:val="0079485D"/>
    <w:rsid w:val="00794861"/>
    <w:rsid w:val="00794A38"/>
    <w:rsid w:val="00794A6B"/>
    <w:rsid w:val="00794AD1"/>
    <w:rsid w:val="00794B40"/>
    <w:rsid w:val="00794B42"/>
    <w:rsid w:val="00794CE0"/>
    <w:rsid w:val="00794D36"/>
    <w:rsid w:val="00794F2A"/>
    <w:rsid w:val="00794F47"/>
    <w:rsid w:val="00794FE2"/>
    <w:rsid w:val="00795010"/>
    <w:rsid w:val="00795035"/>
    <w:rsid w:val="0079504B"/>
    <w:rsid w:val="0079509A"/>
    <w:rsid w:val="00795151"/>
    <w:rsid w:val="007951B3"/>
    <w:rsid w:val="0079541A"/>
    <w:rsid w:val="00795502"/>
    <w:rsid w:val="00795574"/>
    <w:rsid w:val="0079559D"/>
    <w:rsid w:val="0079567E"/>
    <w:rsid w:val="007956DA"/>
    <w:rsid w:val="00795742"/>
    <w:rsid w:val="00795773"/>
    <w:rsid w:val="007957F2"/>
    <w:rsid w:val="0079585B"/>
    <w:rsid w:val="007958D9"/>
    <w:rsid w:val="00795992"/>
    <w:rsid w:val="007959E1"/>
    <w:rsid w:val="00795A2D"/>
    <w:rsid w:val="00795ACD"/>
    <w:rsid w:val="00795E09"/>
    <w:rsid w:val="00795E28"/>
    <w:rsid w:val="00795F1C"/>
    <w:rsid w:val="00795F37"/>
    <w:rsid w:val="00796025"/>
    <w:rsid w:val="007960AC"/>
    <w:rsid w:val="007961A1"/>
    <w:rsid w:val="007961DD"/>
    <w:rsid w:val="00796215"/>
    <w:rsid w:val="00796254"/>
    <w:rsid w:val="00796263"/>
    <w:rsid w:val="00796313"/>
    <w:rsid w:val="007963AD"/>
    <w:rsid w:val="007963D7"/>
    <w:rsid w:val="0079645D"/>
    <w:rsid w:val="00796474"/>
    <w:rsid w:val="0079659C"/>
    <w:rsid w:val="007965E2"/>
    <w:rsid w:val="00796629"/>
    <w:rsid w:val="007966D5"/>
    <w:rsid w:val="007966E6"/>
    <w:rsid w:val="007966F9"/>
    <w:rsid w:val="00796743"/>
    <w:rsid w:val="00796758"/>
    <w:rsid w:val="00796834"/>
    <w:rsid w:val="007968D4"/>
    <w:rsid w:val="0079692A"/>
    <w:rsid w:val="0079693E"/>
    <w:rsid w:val="00796AF4"/>
    <w:rsid w:val="00796C3C"/>
    <w:rsid w:val="00796C87"/>
    <w:rsid w:val="00796C9C"/>
    <w:rsid w:val="00796CBA"/>
    <w:rsid w:val="00796D60"/>
    <w:rsid w:val="00796DDA"/>
    <w:rsid w:val="00796DDC"/>
    <w:rsid w:val="00796E1C"/>
    <w:rsid w:val="00796E98"/>
    <w:rsid w:val="007970F7"/>
    <w:rsid w:val="00797139"/>
    <w:rsid w:val="0079714B"/>
    <w:rsid w:val="00797183"/>
    <w:rsid w:val="007971AA"/>
    <w:rsid w:val="0079725B"/>
    <w:rsid w:val="0079726D"/>
    <w:rsid w:val="00797342"/>
    <w:rsid w:val="00797375"/>
    <w:rsid w:val="00797390"/>
    <w:rsid w:val="0079742A"/>
    <w:rsid w:val="00797516"/>
    <w:rsid w:val="00797517"/>
    <w:rsid w:val="00797622"/>
    <w:rsid w:val="007976DF"/>
    <w:rsid w:val="0079771D"/>
    <w:rsid w:val="00797767"/>
    <w:rsid w:val="007977E9"/>
    <w:rsid w:val="0079787A"/>
    <w:rsid w:val="00797894"/>
    <w:rsid w:val="00797921"/>
    <w:rsid w:val="0079798B"/>
    <w:rsid w:val="00797A23"/>
    <w:rsid w:val="00797A83"/>
    <w:rsid w:val="00797A97"/>
    <w:rsid w:val="00797AC2"/>
    <w:rsid w:val="00797B62"/>
    <w:rsid w:val="00797BA6"/>
    <w:rsid w:val="00797BEB"/>
    <w:rsid w:val="00797C18"/>
    <w:rsid w:val="00797CA2"/>
    <w:rsid w:val="00797D6F"/>
    <w:rsid w:val="00797DC5"/>
    <w:rsid w:val="00797F3C"/>
    <w:rsid w:val="00797F76"/>
    <w:rsid w:val="007A00B5"/>
    <w:rsid w:val="007A00FB"/>
    <w:rsid w:val="007A0106"/>
    <w:rsid w:val="007A0188"/>
    <w:rsid w:val="007A01DE"/>
    <w:rsid w:val="007A0211"/>
    <w:rsid w:val="007A0260"/>
    <w:rsid w:val="007A030C"/>
    <w:rsid w:val="007A032C"/>
    <w:rsid w:val="007A0555"/>
    <w:rsid w:val="007A05B1"/>
    <w:rsid w:val="007A0626"/>
    <w:rsid w:val="007A0658"/>
    <w:rsid w:val="007A0736"/>
    <w:rsid w:val="007A081F"/>
    <w:rsid w:val="007A0829"/>
    <w:rsid w:val="007A0896"/>
    <w:rsid w:val="007A08E6"/>
    <w:rsid w:val="007A08FE"/>
    <w:rsid w:val="007A095A"/>
    <w:rsid w:val="007A0A61"/>
    <w:rsid w:val="007A0B0E"/>
    <w:rsid w:val="007A0B20"/>
    <w:rsid w:val="007A0B71"/>
    <w:rsid w:val="007A0C09"/>
    <w:rsid w:val="007A0C24"/>
    <w:rsid w:val="007A0CD7"/>
    <w:rsid w:val="007A0D1A"/>
    <w:rsid w:val="007A0D4F"/>
    <w:rsid w:val="007A0D52"/>
    <w:rsid w:val="007A0D90"/>
    <w:rsid w:val="007A0E02"/>
    <w:rsid w:val="007A0EE5"/>
    <w:rsid w:val="007A0F00"/>
    <w:rsid w:val="007A0F02"/>
    <w:rsid w:val="007A0F71"/>
    <w:rsid w:val="007A0FA5"/>
    <w:rsid w:val="007A1079"/>
    <w:rsid w:val="007A107A"/>
    <w:rsid w:val="007A1154"/>
    <w:rsid w:val="007A11A5"/>
    <w:rsid w:val="007A1256"/>
    <w:rsid w:val="007A127D"/>
    <w:rsid w:val="007A12A7"/>
    <w:rsid w:val="007A13EA"/>
    <w:rsid w:val="007A14C6"/>
    <w:rsid w:val="007A1557"/>
    <w:rsid w:val="007A15A1"/>
    <w:rsid w:val="007A15B0"/>
    <w:rsid w:val="007A1633"/>
    <w:rsid w:val="007A164E"/>
    <w:rsid w:val="007A168D"/>
    <w:rsid w:val="007A1707"/>
    <w:rsid w:val="007A17D0"/>
    <w:rsid w:val="007A17D5"/>
    <w:rsid w:val="007A17F0"/>
    <w:rsid w:val="007A1916"/>
    <w:rsid w:val="007A1943"/>
    <w:rsid w:val="007A199C"/>
    <w:rsid w:val="007A19C2"/>
    <w:rsid w:val="007A1A55"/>
    <w:rsid w:val="007A1BE3"/>
    <w:rsid w:val="007A1D33"/>
    <w:rsid w:val="007A1ED0"/>
    <w:rsid w:val="007A2033"/>
    <w:rsid w:val="007A209C"/>
    <w:rsid w:val="007A2112"/>
    <w:rsid w:val="007A21F0"/>
    <w:rsid w:val="007A223F"/>
    <w:rsid w:val="007A224F"/>
    <w:rsid w:val="007A2258"/>
    <w:rsid w:val="007A2343"/>
    <w:rsid w:val="007A23B4"/>
    <w:rsid w:val="007A23F9"/>
    <w:rsid w:val="007A2551"/>
    <w:rsid w:val="007A26F6"/>
    <w:rsid w:val="007A2718"/>
    <w:rsid w:val="007A278D"/>
    <w:rsid w:val="007A27BB"/>
    <w:rsid w:val="007A282E"/>
    <w:rsid w:val="007A2949"/>
    <w:rsid w:val="007A29B5"/>
    <w:rsid w:val="007A2B88"/>
    <w:rsid w:val="007A2CA3"/>
    <w:rsid w:val="007A2CF8"/>
    <w:rsid w:val="007A2E29"/>
    <w:rsid w:val="007A2E87"/>
    <w:rsid w:val="007A2F29"/>
    <w:rsid w:val="007A2F6D"/>
    <w:rsid w:val="007A30AB"/>
    <w:rsid w:val="007A30E1"/>
    <w:rsid w:val="007A3122"/>
    <w:rsid w:val="007A31D7"/>
    <w:rsid w:val="007A342B"/>
    <w:rsid w:val="007A3430"/>
    <w:rsid w:val="007A3549"/>
    <w:rsid w:val="007A355E"/>
    <w:rsid w:val="007A35A1"/>
    <w:rsid w:val="007A35DC"/>
    <w:rsid w:val="007A366D"/>
    <w:rsid w:val="007A36DA"/>
    <w:rsid w:val="007A377C"/>
    <w:rsid w:val="007A37E9"/>
    <w:rsid w:val="007A38AB"/>
    <w:rsid w:val="007A393B"/>
    <w:rsid w:val="007A394F"/>
    <w:rsid w:val="007A396B"/>
    <w:rsid w:val="007A39C9"/>
    <w:rsid w:val="007A3A3C"/>
    <w:rsid w:val="007A3A5F"/>
    <w:rsid w:val="007A3B8D"/>
    <w:rsid w:val="007A3C18"/>
    <w:rsid w:val="007A3E2C"/>
    <w:rsid w:val="007A3E71"/>
    <w:rsid w:val="007A3F99"/>
    <w:rsid w:val="007A404A"/>
    <w:rsid w:val="007A409B"/>
    <w:rsid w:val="007A40D9"/>
    <w:rsid w:val="007A411D"/>
    <w:rsid w:val="007A41CB"/>
    <w:rsid w:val="007A4228"/>
    <w:rsid w:val="007A42E3"/>
    <w:rsid w:val="007A4312"/>
    <w:rsid w:val="007A43CA"/>
    <w:rsid w:val="007A4534"/>
    <w:rsid w:val="007A4617"/>
    <w:rsid w:val="007A46E4"/>
    <w:rsid w:val="007A4717"/>
    <w:rsid w:val="007A473B"/>
    <w:rsid w:val="007A4781"/>
    <w:rsid w:val="007A47AD"/>
    <w:rsid w:val="007A481D"/>
    <w:rsid w:val="007A485B"/>
    <w:rsid w:val="007A49B5"/>
    <w:rsid w:val="007A4A66"/>
    <w:rsid w:val="007A4A7B"/>
    <w:rsid w:val="007A4B4F"/>
    <w:rsid w:val="007A4B67"/>
    <w:rsid w:val="007A4CE8"/>
    <w:rsid w:val="007A4D2A"/>
    <w:rsid w:val="007A4D31"/>
    <w:rsid w:val="007A4D4B"/>
    <w:rsid w:val="007A4D4F"/>
    <w:rsid w:val="007A4F9F"/>
    <w:rsid w:val="007A5002"/>
    <w:rsid w:val="007A50FB"/>
    <w:rsid w:val="007A528F"/>
    <w:rsid w:val="007A52CA"/>
    <w:rsid w:val="007A53B7"/>
    <w:rsid w:val="007A53CA"/>
    <w:rsid w:val="007A53F4"/>
    <w:rsid w:val="007A5421"/>
    <w:rsid w:val="007A54AF"/>
    <w:rsid w:val="007A5509"/>
    <w:rsid w:val="007A550D"/>
    <w:rsid w:val="007A5551"/>
    <w:rsid w:val="007A5555"/>
    <w:rsid w:val="007A560E"/>
    <w:rsid w:val="007A561C"/>
    <w:rsid w:val="007A5978"/>
    <w:rsid w:val="007A59AF"/>
    <w:rsid w:val="007A5A4B"/>
    <w:rsid w:val="007A5AE0"/>
    <w:rsid w:val="007A5B45"/>
    <w:rsid w:val="007A5B81"/>
    <w:rsid w:val="007A5BBD"/>
    <w:rsid w:val="007A5BE6"/>
    <w:rsid w:val="007A5D61"/>
    <w:rsid w:val="007A5D76"/>
    <w:rsid w:val="007A5DAA"/>
    <w:rsid w:val="007A5E68"/>
    <w:rsid w:val="007A5EFC"/>
    <w:rsid w:val="007A5F04"/>
    <w:rsid w:val="007A5F2C"/>
    <w:rsid w:val="007A5F58"/>
    <w:rsid w:val="007A61A7"/>
    <w:rsid w:val="007A61E6"/>
    <w:rsid w:val="007A6300"/>
    <w:rsid w:val="007A637E"/>
    <w:rsid w:val="007A647A"/>
    <w:rsid w:val="007A64B4"/>
    <w:rsid w:val="007A6521"/>
    <w:rsid w:val="007A6567"/>
    <w:rsid w:val="007A6568"/>
    <w:rsid w:val="007A666E"/>
    <w:rsid w:val="007A67A4"/>
    <w:rsid w:val="007A67B1"/>
    <w:rsid w:val="007A67F6"/>
    <w:rsid w:val="007A6835"/>
    <w:rsid w:val="007A683E"/>
    <w:rsid w:val="007A683F"/>
    <w:rsid w:val="007A694D"/>
    <w:rsid w:val="007A6B2B"/>
    <w:rsid w:val="007A6B5D"/>
    <w:rsid w:val="007A6D53"/>
    <w:rsid w:val="007A6D6C"/>
    <w:rsid w:val="007A6D78"/>
    <w:rsid w:val="007A6D87"/>
    <w:rsid w:val="007A6DE7"/>
    <w:rsid w:val="007A6F53"/>
    <w:rsid w:val="007A6FF5"/>
    <w:rsid w:val="007A6FF9"/>
    <w:rsid w:val="007A715F"/>
    <w:rsid w:val="007A7201"/>
    <w:rsid w:val="007A721A"/>
    <w:rsid w:val="007A7275"/>
    <w:rsid w:val="007A730F"/>
    <w:rsid w:val="007A733D"/>
    <w:rsid w:val="007A742B"/>
    <w:rsid w:val="007A7519"/>
    <w:rsid w:val="007A75C7"/>
    <w:rsid w:val="007A763D"/>
    <w:rsid w:val="007A7687"/>
    <w:rsid w:val="007A768B"/>
    <w:rsid w:val="007A772B"/>
    <w:rsid w:val="007A7740"/>
    <w:rsid w:val="007A77AC"/>
    <w:rsid w:val="007A77AE"/>
    <w:rsid w:val="007A77C9"/>
    <w:rsid w:val="007A782B"/>
    <w:rsid w:val="007A7882"/>
    <w:rsid w:val="007A7924"/>
    <w:rsid w:val="007A799A"/>
    <w:rsid w:val="007A79C5"/>
    <w:rsid w:val="007A79EA"/>
    <w:rsid w:val="007A7A22"/>
    <w:rsid w:val="007A7A2B"/>
    <w:rsid w:val="007A7DE9"/>
    <w:rsid w:val="007A7DF0"/>
    <w:rsid w:val="007A7DF1"/>
    <w:rsid w:val="007A7EE8"/>
    <w:rsid w:val="007A7F02"/>
    <w:rsid w:val="007A7F28"/>
    <w:rsid w:val="007A7FBA"/>
    <w:rsid w:val="007B000A"/>
    <w:rsid w:val="007B00FB"/>
    <w:rsid w:val="007B0116"/>
    <w:rsid w:val="007B0245"/>
    <w:rsid w:val="007B029C"/>
    <w:rsid w:val="007B02E4"/>
    <w:rsid w:val="007B02E5"/>
    <w:rsid w:val="007B0337"/>
    <w:rsid w:val="007B0383"/>
    <w:rsid w:val="007B03A0"/>
    <w:rsid w:val="007B058F"/>
    <w:rsid w:val="007B05D9"/>
    <w:rsid w:val="007B05DB"/>
    <w:rsid w:val="007B05EE"/>
    <w:rsid w:val="007B06CB"/>
    <w:rsid w:val="007B07C5"/>
    <w:rsid w:val="007B0835"/>
    <w:rsid w:val="007B096D"/>
    <w:rsid w:val="007B09B4"/>
    <w:rsid w:val="007B0A33"/>
    <w:rsid w:val="007B0B97"/>
    <w:rsid w:val="007B0BD1"/>
    <w:rsid w:val="007B0CAB"/>
    <w:rsid w:val="007B0D7B"/>
    <w:rsid w:val="007B0DC6"/>
    <w:rsid w:val="007B0DD1"/>
    <w:rsid w:val="007B0E75"/>
    <w:rsid w:val="007B0E7D"/>
    <w:rsid w:val="007B0E9F"/>
    <w:rsid w:val="007B0FA8"/>
    <w:rsid w:val="007B1054"/>
    <w:rsid w:val="007B110F"/>
    <w:rsid w:val="007B1265"/>
    <w:rsid w:val="007B12AB"/>
    <w:rsid w:val="007B1466"/>
    <w:rsid w:val="007B1678"/>
    <w:rsid w:val="007B168A"/>
    <w:rsid w:val="007B1695"/>
    <w:rsid w:val="007B16B9"/>
    <w:rsid w:val="007B1790"/>
    <w:rsid w:val="007B191B"/>
    <w:rsid w:val="007B1A14"/>
    <w:rsid w:val="007B1A4E"/>
    <w:rsid w:val="007B1C39"/>
    <w:rsid w:val="007B1CE4"/>
    <w:rsid w:val="007B1D1F"/>
    <w:rsid w:val="007B1DE3"/>
    <w:rsid w:val="007B1DEA"/>
    <w:rsid w:val="007B1DF2"/>
    <w:rsid w:val="007B1DF7"/>
    <w:rsid w:val="007B1E7B"/>
    <w:rsid w:val="007B1E91"/>
    <w:rsid w:val="007B1F6D"/>
    <w:rsid w:val="007B206F"/>
    <w:rsid w:val="007B2088"/>
    <w:rsid w:val="007B2217"/>
    <w:rsid w:val="007B22DE"/>
    <w:rsid w:val="007B23C1"/>
    <w:rsid w:val="007B24AF"/>
    <w:rsid w:val="007B24C7"/>
    <w:rsid w:val="007B251F"/>
    <w:rsid w:val="007B2539"/>
    <w:rsid w:val="007B2641"/>
    <w:rsid w:val="007B2677"/>
    <w:rsid w:val="007B2858"/>
    <w:rsid w:val="007B2868"/>
    <w:rsid w:val="007B2932"/>
    <w:rsid w:val="007B2952"/>
    <w:rsid w:val="007B29A5"/>
    <w:rsid w:val="007B2C8F"/>
    <w:rsid w:val="007B3020"/>
    <w:rsid w:val="007B306F"/>
    <w:rsid w:val="007B3158"/>
    <w:rsid w:val="007B3254"/>
    <w:rsid w:val="007B3284"/>
    <w:rsid w:val="007B329B"/>
    <w:rsid w:val="007B32D2"/>
    <w:rsid w:val="007B3359"/>
    <w:rsid w:val="007B336F"/>
    <w:rsid w:val="007B3450"/>
    <w:rsid w:val="007B3528"/>
    <w:rsid w:val="007B353F"/>
    <w:rsid w:val="007B3575"/>
    <w:rsid w:val="007B3577"/>
    <w:rsid w:val="007B35FE"/>
    <w:rsid w:val="007B360A"/>
    <w:rsid w:val="007B3611"/>
    <w:rsid w:val="007B362E"/>
    <w:rsid w:val="007B3817"/>
    <w:rsid w:val="007B3874"/>
    <w:rsid w:val="007B38A3"/>
    <w:rsid w:val="007B3947"/>
    <w:rsid w:val="007B3A22"/>
    <w:rsid w:val="007B3AEE"/>
    <w:rsid w:val="007B3D68"/>
    <w:rsid w:val="007B3D83"/>
    <w:rsid w:val="007B3E61"/>
    <w:rsid w:val="007B3E66"/>
    <w:rsid w:val="007B3F9A"/>
    <w:rsid w:val="007B3FA0"/>
    <w:rsid w:val="007B3FC5"/>
    <w:rsid w:val="007B401C"/>
    <w:rsid w:val="007B4027"/>
    <w:rsid w:val="007B4083"/>
    <w:rsid w:val="007B41BE"/>
    <w:rsid w:val="007B4292"/>
    <w:rsid w:val="007B44BD"/>
    <w:rsid w:val="007B45D7"/>
    <w:rsid w:val="007B477A"/>
    <w:rsid w:val="007B4789"/>
    <w:rsid w:val="007B4805"/>
    <w:rsid w:val="007B480A"/>
    <w:rsid w:val="007B48AE"/>
    <w:rsid w:val="007B48E0"/>
    <w:rsid w:val="007B4906"/>
    <w:rsid w:val="007B4B81"/>
    <w:rsid w:val="007B4CD0"/>
    <w:rsid w:val="007B4D4F"/>
    <w:rsid w:val="007B4D64"/>
    <w:rsid w:val="007B4E0E"/>
    <w:rsid w:val="007B4E61"/>
    <w:rsid w:val="007B4E6C"/>
    <w:rsid w:val="007B4ED3"/>
    <w:rsid w:val="007B500C"/>
    <w:rsid w:val="007B5016"/>
    <w:rsid w:val="007B501F"/>
    <w:rsid w:val="007B504A"/>
    <w:rsid w:val="007B50B8"/>
    <w:rsid w:val="007B5312"/>
    <w:rsid w:val="007B53CD"/>
    <w:rsid w:val="007B54C5"/>
    <w:rsid w:val="007B54D1"/>
    <w:rsid w:val="007B5676"/>
    <w:rsid w:val="007B56E1"/>
    <w:rsid w:val="007B570F"/>
    <w:rsid w:val="007B576C"/>
    <w:rsid w:val="007B577F"/>
    <w:rsid w:val="007B579A"/>
    <w:rsid w:val="007B57A9"/>
    <w:rsid w:val="007B57B4"/>
    <w:rsid w:val="007B585E"/>
    <w:rsid w:val="007B5913"/>
    <w:rsid w:val="007B599D"/>
    <w:rsid w:val="007B5A00"/>
    <w:rsid w:val="007B5A36"/>
    <w:rsid w:val="007B5A45"/>
    <w:rsid w:val="007B5B87"/>
    <w:rsid w:val="007B5C69"/>
    <w:rsid w:val="007B5CA9"/>
    <w:rsid w:val="007B5CD1"/>
    <w:rsid w:val="007B5D33"/>
    <w:rsid w:val="007B5D3C"/>
    <w:rsid w:val="007B5DAF"/>
    <w:rsid w:val="007B5EA0"/>
    <w:rsid w:val="007B5F03"/>
    <w:rsid w:val="007B6248"/>
    <w:rsid w:val="007B630F"/>
    <w:rsid w:val="007B63F1"/>
    <w:rsid w:val="007B6408"/>
    <w:rsid w:val="007B652A"/>
    <w:rsid w:val="007B6550"/>
    <w:rsid w:val="007B65F9"/>
    <w:rsid w:val="007B6706"/>
    <w:rsid w:val="007B684F"/>
    <w:rsid w:val="007B6ACA"/>
    <w:rsid w:val="007B6B89"/>
    <w:rsid w:val="007B6BD1"/>
    <w:rsid w:val="007B6BDC"/>
    <w:rsid w:val="007B6C8E"/>
    <w:rsid w:val="007B6DB5"/>
    <w:rsid w:val="007B6DC4"/>
    <w:rsid w:val="007B6E2C"/>
    <w:rsid w:val="007B6FF1"/>
    <w:rsid w:val="007B7017"/>
    <w:rsid w:val="007B709A"/>
    <w:rsid w:val="007B7177"/>
    <w:rsid w:val="007B7192"/>
    <w:rsid w:val="007B7268"/>
    <w:rsid w:val="007B7289"/>
    <w:rsid w:val="007B73B8"/>
    <w:rsid w:val="007B73F4"/>
    <w:rsid w:val="007B755B"/>
    <w:rsid w:val="007B75DD"/>
    <w:rsid w:val="007B7644"/>
    <w:rsid w:val="007B7699"/>
    <w:rsid w:val="007B76AB"/>
    <w:rsid w:val="007B76EB"/>
    <w:rsid w:val="007B770E"/>
    <w:rsid w:val="007B7722"/>
    <w:rsid w:val="007B7732"/>
    <w:rsid w:val="007B78CD"/>
    <w:rsid w:val="007B791A"/>
    <w:rsid w:val="007B7927"/>
    <w:rsid w:val="007B79A3"/>
    <w:rsid w:val="007B79A8"/>
    <w:rsid w:val="007B7A00"/>
    <w:rsid w:val="007B7B30"/>
    <w:rsid w:val="007B7E30"/>
    <w:rsid w:val="007B7E70"/>
    <w:rsid w:val="007B7EBB"/>
    <w:rsid w:val="007C0023"/>
    <w:rsid w:val="007C0076"/>
    <w:rsid w:val="007C00F4"/>
    <w:rsid w:val="007C0119"/>
    <w:rsid w:val="007C027B"/>
    <w:rsid w:val="007C0326"/>
    <w:rsid w:val="007C0614"/>
    <w:rsid w:val="007C0663"/>
    <w:rsid w:val="007C0799"/>
    <w:rsid w:val="007C07DA"/>
    <w:rsid w:val="007C0846"/>
    <w:rsid w:val="007C08D4"/>
    <w:rsid w:val="007C0920"/>
    <w:rsid w:val="007C0957"/>
    <w:rsid w:val="007C0994"/>
    <w:rsid w:val="007C0A7B"/>
    <w:rsid w:val="007C0BD2"/>
    <w:rsid w:val="007C0C15"/>
    <w:rsid w:val="007C0C1C"/>
    <w:rsid w:val="007C0CFA"/>
    <w:rsid w:val="007C0D9E"/>
    <w:rsid w:val="007C0E8B"/>
    <w:rsid w:val="007C0E98"/>
    <w:rsid w:val="007C0EB7"/>
    <w:rsid w:val="007C0F5B"/>
    <w:rsid w:val="007C0FC0"/>
    <w:rsid w:val="007C1096"/>
    <w:rsid w:val="007C1144"/>
    <w:rsid w:val="007C1289"/>
    <w:rsid w:val="007C13A5"/>
    <w:rsid w:val="007C1423"/>
    <w:rsid w:val="007C14FC"/>
    <w:rsid w:val="007C1542"/>
    <w:rsid w:val="007C15DD"/>
    <w:rsid w:val="007C1676"/>
    <w:rsid w:val="007C172D"/>
    <w:rsid w:val="007C1845"/>
    <w:rsid w:val="007C18EB"/>
    <w:rsid w:val="007C1976"/>
    <w:rsid w:val="007C19CC"/>
    <w:rsid w:val="007C1A42"/>
    <w:rsid w:val="007C1A83"/>
    <w:rsid w:val="007C1CAB"/>
    <w:rsid w:val="007C1D82"/>
    <w:rsid w:val="007C1E0D"/>
    <w:rsid w:val="007C1E81"/>
    <w:rsid w:val="007C1E91"/>
    <w:rsid w:val="007C1F34"/>
    <w:rsid w:val="007C231C"/>
    <w:rsid w:val="007C23B3"/>
    <w:rsid w:val="007C23ED"/>
    <w:rsid w:val="007C23F3"/>
    <w:rsid w:val="007C241D"/>
    <w:rsid w:val="007C2474"/>
    <w:rsid w:val="007C2479"/>
    <w:rsid w:val="007C259B"/>
    <w:rsid w:val="007C25EF"/>
    <w:rsid w:val="007C2665"/>
    <w:rsid w:val="007C2669"/>
    <w:rsid w:val="007C2677"/>
    <w:rsid w:val="007C26B7"/>
    <w:rsid w:val="007C273E"/>
    <w:rsid w:val="007C2839"/>
    <w:rsid w:val="007C28A6"/>
    <w:rsid w:val="007C290D"/>
    <w:rsid w:val="007C290E"/>
    <w:rsid w:val="007C2950"/>
    <w:rsid w:val="007C299D"/>
    <w:rsid w:val="007C2A04"/>
    <w:rsid w:val="007C2A0B"/>
    <w:rsid w:val="007C2A1A"/>
    <w:rsid w:val="007C2A31"/>
    <w:rsid w:val="007C2BD7"/>
    <w:rsid w:val="007C2C2F"/>
    <w:rsid w:val="007C2E28"/>
    <w:rsid w:val="007C2EA7"/>
    <w:rsid w:val="007C303F"/>
    <w:rsid w:val="007C30A1"/>
    <w:rsid w:val="007C3177"/>
    <w:rsid w:val="007C319A"/>
    <w:rsid w:val="007C32D6"/>
    <w:rsid w:val="007C33A5"/>
    <w:rsid w:val="007C342F"/>
    <w:rsid w:val="007C3521"/>
    <w:rsid w:val="007C35C2"/>
    <w:rsid w:val="007C35D9"/>
    <w:rsid w:val="007C35F7"/>
    <w:rsid w:val="007C362E"/>
    <w:rsid w:val="007C36D4"/>
    <w:rsid w:val="007C3706"/>
    <w:rsid w:val="007C37BE"/>
    <w:rsid w:val="007C37F3"/>
    <w:rsid w:val="007C3802"/>
    <w:rsid w:val="007C3832"/>
    <w:rsid w:val="007C3843"/>
    <w:rsid w:val="007C384B"/>
    <w:rsid w:val="007C3B2C"/>
    <w:rsid w:val="007C3BF0"/>
    <w:rsid w:val="007C3CB3"/>
    <w:rsid w:val="007C3CFF"/>
    <w:rsid w:val="007C3D3D"/>
    <w:rsid w:val="007C3D43"/>
    <w:rsid w:val="007C3EEE"/>
    <w:rsid w:val="007C3FFB"/>
    <w:rsid w:val="007C4020"/>
    <w:rsid w:val="007C4022"/>
    <w:rsid w:val="007C4184"/>
    <w:rsid w:val="007C4192"/>
    <w:rsid w:val="007C4232"/>
    <w:rsid w:val="007C4235"/>
    <w:rsid w:val="007C4288"/>
    <w:rsid w:val="007C42A0"/>
    <w:rsid w:val="007C4316"/>
    <w:rsid w:val="007C4364"/>
    <w:rsid w:val="007C4484"/>
    <w:rsid w:val="007C45A8"/>
    <w:rsid w:val="007C4709"/>
    <w:rsid w:val="007C4789"/>
    <w:rsid w:val="007C48B9"/>
    <w:rsid w:val="007C497D"/>
    <w:rsid w:val="007C4A5D"/>
    <w:rsid w:val="007C4B43"/>
    <w:rsid w:val="007C4B5F"/>
    <w:rsid w:val="007C4B61"/>
    <w:rsid w:val="007C4BD2"/>
    <w:rsid w:val="007C4C98"/>
    <w:rsid w:val="007C4CB9"/>
    <w:rsid w:val="007C4E47"/>
    <w:rsid w:val="007C4E98"/>
    <w:rsid w:val="007C4EA4"/>
    <w:rsid w:val="007C4F16"/>
    <w:rsid w:val="007C4F3D"/>
    <w:rsid w:val="007C4F45"/>
    <w:rsid w:val="007C4F99"/>
    <w:rsid w:val="007C505C"/>
    <w:rsid w:val="007C507E"/>
    <w:rsid w:val="007C5118"/>
    <w:rsid w:val="007C51AD"/>
    <w:rsid w:val="007C51EB"/>
    <w:rsid w:val="007C5263"/>
    <w:rsid w:val="007C53A2"/>
    <w:rsid w:val="007C5457"/>
    <w:rsid w:val="007C54D8"/>
    <w:rsid w:val="007C54D9"/>
    <w:rsid w:val="007C55DF"/>
    <w:rsid w:val="007C55EC"/>
    <w:rsid w:val="007C56B1"/>
    <w:rsid w:val="007C56D4"/>
    <w:rsid w:val="007C56D9"/>
    <w:rsid w:val="007C57CC"/>
    <w:rsid w:val="007C588C"/>
    <w:rsid w:val="007C58E0"/>
    <w:rsid w:val="007C58F0"/>
    <w:rsid w:val="007C5958"/>
    <w:rsid w:val="007C5A31"/>
    <w:rsid w:val="007C5A5A"/>
    <w:rsid w:val="007C5AA6"/>
    <w:rsid w:val="007C5ACB"/>
    <w:rsid w:val="007C5ADD"/>
    <w:rsid w:val="007C5C09"/>
    <w:rsid w:val="007C5C47"/>
    <w:rsid w:val="007C5C72"/>
    <w:rsid w:val="007C5CD9"/>
    <w:rsid w:val="007C5D2E"/>
    <w:rsid w:val="007C5D8F"/>
    <w:rsid w:val="007C5DA2"/>
    <w:rsid w:val="007C5DF7"/>
    <w:rsid w:val="007C5E6F"/>
    <w:rsid w:val="007C5E7D"/>
    <w:rsid w:val="007C5EC9"/>
    <w:rsid w:val="007C5EF1"/>
    <w:rsid w:val="007C5F42"/>
    <w:rsid w:val="007C60E1"/>
    <w:rsid w:val="007C60F9"/>
    <w:rsid w:val="007C60FD"/>
    <w:rsid w:val="007C617D"/>
    <w:rsid w:val="007C62C3"/>
    <w:rsid w:val="007C62E8"/>
    <w:rsid w:val="007C63B8"/>
    <w:rsid w:val="007C63D1"/>
    <w:rsid w:val="007C640A"/>
    <w:rsid w:val="007C6410"/>
    <w:rsid w:val="007C6493"/>
    <w:rsid w:val="007C6582"/>
    <w:rsid w:val="007C67C1"/>
    <w:rsid w:val="007C67CE"/>
    <w:rsid w:val="007C67D1"/>
    <w:rsid w:val="007C680B"/>
    <w:rsid w:val="007C691C"/>
    <w:rsid w:val="007C6941"/>
    <w:rsid w:val="007C6A4F"/>
    <w:rsid w:val="007C6AD5"/>
    <w:rsid w:val="007C6BD4"/>
    <w:rsid w:val="007C6C55"/>
    <w:rsid w:val="007C6C78"/>
    <w:rsid w:val="007C6CF0"/>
    <w:rsid w:val="007C6D0C"/>
    <w:rsid w:val="007C6DA8"/>
    <w:rsid w:val="007C6DC3"/>
    <w:rsid w:val="007C6F15"/>
    <w:rsid w:val="007C6F42"/>
    <w:rsid w:val="007C7021"/>
    <w:rsid w:val="007C7095"/>
    <w:rsid w:val="007C70D0"/>
    <w:rsid w:val="007C70E0"/>
    <w:rsid w:val="007C7153"/>
    <w:rsid w:val="007C718D"/>
    <w:rsid w:val="007C71C0"/>
    <w:rsid w:val="007C721D"/>
    <w:rsid w:val="007C7244"/>
    <w:rsid w:val="007C73E6"/>
    <w:rsid w:val="007C7447"/>
    <w:rsid w:val="007C7455"/>
    <w:rsid w:val="007C753C"/>
    <w:rsid w:val="007C7557"/>
    <w:rsid w:val="007C764C"/>
    <w:rsid w:val="007C76E9"/>
    <w:rsid w:val="007C77CD"/>
    <w:rsid w:val="007C7853"/>
    <w:rsid w:val="007C7A09"/>
    <w:rsid w:val="007C7B1E"/>
    <w:rsid w:val="007C7B22"/>
    <w:rsid w:val="007C7BB6"/>
    <w:rsid w:val="007C7BDC"/>
    <w:rsid w:val="007C7C2E"/>
    <w:rsid w:val="007C7C38"/>
    <w:rsid w:val="007C7C84"/>
    <w:rsid w:val="007C7CA9"/>
    <w:rsid w:val="007C7D9D"/>
    <w:rsid w:val="007C7E1C"/>
    <w:rsid w:val="007C7F15"/>
    <w:rsid w:val="007C7F23"/>
    <w:rsid w:val="007C7F2D"/>
    <w:rsid w:val="007C7F6D"/>
    <w:rsid w:val="007C7FCB"/>
    <w:rsid w:val="007D0092"/>
    <w:rsid w:val="007D012F"/>
    <w:rsid w:val="007D01DE"/>
    <w:rsid w:val="007D01EA"/>
    <w:rsid w:val="007D02C4"/>
    <w:rsid w:val="007D0374"/>
    <w:rsid w:val="007D0415"/>
    <w:rsid w:val="007D04A5"/>
    <w:rsid w:val="007D04C3"/>
    <w:rsid w:val="007D0609"/>
    <w:rsid w:val="007D0617"/>
    <w:rsid w:val="007D068A"/>
    <w:rsid w:val="007D06C2"/>
    <w:rsid w:val="007D06D3"/>
    <w:rsid w:val="007D0791"/>
    <w:rsid w:val="007D07A3"/>
    <w:rsid w:val="007D08EA"/>
    <w:rsid w:val="007D0941"/>
    <w:rsid w:val="007D0969"/>
    <w:rsid w:val="007D0A50"/>
    <w:rsid w:val="007D0A87"/>
    <w:rsid w:val="007D0A93"/>
    <w:rsid w:val="007D0B07"/>
    <w:rsid w:val="007D0B20"/>
    <w:rsid w:val="007D0B27"/>
    <w:rsid w:val="007D0BA7"/>
    <w:rsid w:val="007D0BAC"/>
    <w:rsid w:val="007D0C01"/>
    <w:rsid w:val="007D0C55"/>
    <w:rsid w:val="007D0CDC"/>
    <w:rsid w:val="007D0D8E"/>
    <w:rsid w:val="007D0E01"/>
    <w:rsid w:val="007D10C2"/>
    <w:rsid w:val="007D10E6"/>
    <w:rsid w:val="007D11C6"/>
    <w:rsid w:val="007D11FB"/>
    <w:rsid w:val="007D138B"/>
    <w:rsid w:val="007D14CE"/>
    <w:rsid w:val="007D154B"/>
    <w:rsid w:val="007D1551"/>
    <w:rsid w:val="007D1675"/>
    <w:rsid w:val="007D17A9"/>
    <w:rsid w:val="007D1892"/>
    <w:rsid w:val="007D18AC"/>
    <w:rsid w:val="007D1966"/>
    <w:rsid w:val="007D19AA"/>
    <w:rsid w:val="007D1A1D"/>
    <w:rsid w:val="007D1A25"/>
    <w:rsid w:val="007D1B30"/>
    <w:rsid w:val="007D1B4C"/>
    <w:rsid w:val="007D1BBF"/>
    <w:rsid w:val="007D1C3A"/>
    <w:rsid w:val="007D1CB4"/>
    <w:rsid w:val="007D1CD5"/>
    <w:rsid w:val="007D1D14"/>
    <w:rsid w:val="007D1D41"/>
    <w:rsid w:val="007D1DC4"/>
    <w:rsid w:val="007D1E88"/>
    <w:rsid w:val="007D1EC8"/>
    <w:rsid w:val="007D1F81"/>
    <w:rsid w:val="007D2025"/>
    <w:rsid w:val="007D2075"/>
    <w:rsid w:val="007D2195"/>
    <w:rsid w:val="007D2196"/>
    <w:rsid w:val="007D21D5"/>
    <w:rsid w:val="007D2262"/>
    <w:rsid w:val="007D226B"/>
    <w:rsid w:val="007D22B3"/>
    <w:rsid w:val="007D233F"/>
    <w:rsid w:val="007D2468"/>
    <w:rsid w:val="007D2514"/>
    <w:rsid w:val="007D2612"/>
    <w:rsid w:val="007D264E"/>
    <w:rsid w:val="007D2745"/>
    <w:rsid w:val="007D2755"/>
    <w:rsid w:val="007D281D"/>
    <w:rsid w:val="007D28DD"/>
    <w:rsid w:val="007D2928"/>
    <w:rsid w:val="007D29DF"/>
    <w:rsid w:val="007D29EE"/>
    <w:rsid w:val="007D29F2"/>
    <w:rsid w:val="007D2ADD"/>
    <w:rsid w:val="007D2BA1"/>
    <w:rsid w:val="007D2C1E"/>
    <w:rsid w:val="007D2CE2"/>
    <w:rsid w:val="007D2D74"/>
    <w:rsid w:val="007D2E25"/>
    <w:rsid w:val="007D2FCE"/>
    <w:rsid w:val="007D3009"/>
    <w:rsid w:val="007D305E"/>
    <w:rsid w:val="007D306D"/>
    <w:rsid w:val="007D319B"/>
    <w:rsid w:val="007D31A4"/>
    <w:rsid w:val="007D31C4"/>
    <w:rsid w:val="007D31D6"/>
    <w:rsid w:val="007D32B3"/>
    <w:rsid w:val="007D330A"/>
    <w:rsid w:val="007D331C"/>
    <w:rsid w:val="007D3336"/>
    <w:rsid w:val="007D33C0"/>
    <w:rsid w:val="007D340A"/>
    <w:rsid w:val="007D3461"/>
    <w:rsid w:val="007D3463"/>
    <w:rsid w:val="007D348D"/>
    <w:rsid w:val="007D3491"/>
    <w:rsid w:val="007D3568"/>
    <w:rsid w:val="007D35AC"/>
    <w:rsid w:val="007D35D8"/>
    <w:rsid w:val="007D360C"/>
    <w:rsid w:val="007D3653"/>
    <w:rsid w:val="007D369C"/>
    <w:rsid w:val="007D36D4"/>
    <w:rsid w:val="007D36D8"/>
    <w:rsid w:val="007D36E8"/>
    <w:rsid w:val="007D3771"/>
    <w:rsid w:val="007D37C8"/>
    <w:rsid w:val="007D382F"/>
    <w:rsid w:val="007D3855"/>
    <w:rsid w:val="007D3879"/>
    <w:rsid w:val="007D389E"/>
    <w:rsid w:val="007D38A4"/>
    <w:rsid w:val="007D395D"/>
    <w:rsid w:val="007D3A17"/>
    <w:rsid w:val="007D3AFF"/>
    <w:rsid w:val="007D3B29"/>
    <w:rsid w:val="007D3C39"/>
    <w:rsid w:val="007D3C45"/>
    <w:rsid w:val="007D3D0F"/>
    <w:rsid w:val="007D3D1F"/>
    <w:rsid w:val="007D3D50"/>
    <w:rsid w:val="007D3D62"/>
    <w:rsid w:val="007D3D88"/>
    <w:rsid w:val="007D3F5B"/>
    <w:rsid w:val="007D3F71"/>
    <w:rsid w:val="007D4032"/>
    <w:rsid w:val="007D4181"/>
    <w:rsid w:val="007D4191"/>
    <w:rsid w:val="007D4273"/>
    <w:rsid w:val="007D4389"/>
    <w:rsid w:val="007D43D4"/>
    <w:rsid w:val="007D43DA"/>
    <w:rsid w:val="007D4424"/>
    <w:rsid w:val="007D44E2"/>
    <w:rsid w:val="007D44FA"/>
    <w:rsid w:val="007D45C5"/>
    <w:rsid w:val="007D45D2"/>
    <w:rsid w:val="007D466F"/>
    <w:rsid w:val="007D488A"/>
    <w:rsid w:val="007D489E"/>
    <w:rsid w:val="007D495A"/>
    <w:rsid w:val="007D4977"/>
    <w:rsid w:val="007D49A5"/>
    <w:rsid w:val="007D49B4"/>
    <w:rsid w:val="007D49B6"/>
    <w:rsid w:val="007D4A4A"/>
    <w:rsid w:val="007D4B49"/>
    <w:rsid w:val="007D4B75"/>
    <w:rsid w:val="007D4B78"/>
    <w:rsid w:val="007D4C02"/>
    <w:rsid w:val="007D4D05"/>
    <w:rsid w:val="007D4DC4"/>
    <w:rsid w:val="007D4DEE"/>
    <w:rsid w:val="007D4E2D"/>
    <w:rsid w:val="007D506C"/>
    <w:rsid w:val="007D519C"/>
    <w:rsid w:val="007D548A"/>
    <w:rsid w:val="007D5512"/>
    <w:rsid w:val="007D5522"/>
    <w:rsid w:val="007D555F"/>
    <w:rsid w:val="007D55A3"/>
    <w:rsid w:val="007D55C1"/>
    <w:rsid w:val="007D55DE"/>
    <w:rsid w:val="007D5618"/>
    <w:rsid w:val="007D5684"/>
    <w:rsid w:val="007D5691"/>
    <w:rsid w:val="007D56BD"/>
    <w:rsid w:val="007D5754"/>
    <w:rsid w:val="007D578C"/>
    <w:rsid w:val="007D57B1"/>
    <w:rsid w:val="007D5805"/>
    <w:rsid w:val="007D58A1"/>
    <w:rsid w:val="007D58D1"/>
    <w:rsid w:val="007D590D"/>
    <w:rsid w:val="007D5919"/>
    <w:rsid w:val="007D592B"/>
    <w:rsid w:val="007D5A6A"/>
    <w:rsid w:val="007D5AA6"/>
    <w:rsid w:val="007D5AEB"/>
    <w:rsid w:val="007D5B39"/>
    <w:rsid w:val="007D5BA7"/>
    <w:rsid w:val="007D5BE8"/>
    <w:rsid w:val="007D5BF0"/>
    <w:rsid w:val="007D5C87"/>
    <w:rsid w:val="007D5E31"/>
    <w:rsid w:val="007D5E68"/>
    <w:rsid w:val="007D5E71"/>
    <w:rsid w:val="007D5F24"/>
    <w:rsid w:val="007D5F63"/>
    <w:rsid w:val="007D60B4"/>
    <w:rsid w:val="007D60D2"/>
    <w:rsid w:val="007D6209"/>
    <w:rsid w:val="007D624E"/>
    <w:rsid w:val="007D631C"/>
    <w:rsid w:val="007D6348"/>
    <w:rsid w:val="007D634E"/>
    <w:rsid w:val="007D6446"/>
    <w:rsid w:val="007D6521"/>
    <w:rsid w:val="007D67CD"/>
    <w:rsid w:val="007D67EF"/>
    <w:rsid w:val="007D6811"/>
    <w:rsid w:val="007D68A1"/>
    <w:rsid w:val="007D6910"/>
    <w:rsid w:val="007D696E"/>
    <w:rsid w:val="007D697B"/>
    <w:rsid w:val="007D69AB"/>
    <w:rsid w:val="007D69CB"/>
    <w:rsid w:val="007D6A5D"/>
    <w:rsid w:val="007D6AF2"/>
    <w:rsid w:val="007D6B04"/>
    <w:rsid w:val="007D6B0D"/>
    <w:rsid w:val="007D6B8F"/>
    <w:rsid w:val="007D6BAA"/>
    <w:rsid w:val="007D6E2B"/>
    <w:rsid w:val="007D6FB0"/>
    <w:rsid w:val="007D703D"/>
    <w:rsid w:val="007D7040"/>
    <w:rsid w:val="007D7057"/>
    <w:rsid w:val="007D7098"/>
    <w:rsid w:val="007D70D7"/>
    <w:rsid w:val="007D7187"/>
    <w:rsid w:val="007D71FC"/>
    <w:rsid w:val="007D722D"/>
    <w:rsid w:val="007D7244"/>
    <w:rsid w:val="007D7271"/>
    <w:rsid w:val="007D72F9"/>
    <w:rsid w:val="007D7410"/>
    <w:rsid w:val="007D7491"/>
    <w:rsid w:val="007D7492"/>
    <w:rsid w:val="007D7549"/>
    <w:rsid w:val="007D7565"/>
    <w:rsid w:val="007D75AE"/>
    <w:rsid w:val="007D7632"/>
    <w:rsid w:val="007D7648"/>
    <w:rsid w:val="007D77C9"/>
    <w:rsid w:val="007D780D"/>
    <w:rsid w:val="007D794B"/>
    <w:rsid w:val="007D79D8"/>
    <w:rsid w:val="007D79EB"/>
    <w:rsid w:val="007D7A91"/>
    <w:rsid w:val="007D7ABC"/>
    <w:rsid w:val="007D7B0B"/>
    <w:rsid w:val="007D7CBD"/>
    <w:rsid w:val="007D7D17"/>
    <w:rsid w:val="007D7DCE"/>
    <w:rsid w:val="007D7DDA"/>
    <w:rsid w:val="007D7E03"/>
    <w:rsid w:val="007D7ED5"/>
    <w:rsid w:val="007D7EDA"/>
    <w:rsid w:val="007D7EF8"/>
    <w:rsid w:val="007D7F20"/>
    <w:rsid w:val="007D7F64"/>
    <w:rsid w:val="007D7FE6"/>
    <w:rsid w:val="007E0017"/>
    <w:rsid w:val="007E0041"/>
    <w:rsid w:val="007E0059"/>
    <w:rsid w:val="007E009B"/>
    <w:rsid w:val="007E00CE"/>
    <w:rsid w:val="007E00FE"/>
    <w:rsid w:val="007E015A"/>
    <w:rsid w:val="007E01BC"/>
    <w:rsid w:val="007E0216"/>
    <w:rsid w:val="007E02AC"/>
    <w:rsid w:val="007E02F3"/>
    <w:rsid w:val="007E0301"/>
    <w:rsid w:val="007E041D"/>
    <w:rsid w:val="007E0457"/>
    <w:rsid w:val="007E04AF"/>
    <w:rsid w:val="007E04E8"/>
    <w:rsid w:val="007E0599"/>
    <w:rsid w:val="007E05C5"/>
    <w:rsid w:val="007E064C"/>
    <w:rsid w:val="007E06AD"/>
    <w:rsid w:val="007E06C5"/>
    <w:rsid w:val="007E06D6"/>
    <w:rsid w:val="007E072C"/>
    <w:rsid w:val="007E07A0"/>
    <w:rsid w:val="007E0825"/>
    <w:rsid w:val="007E08F1"/>
    <w:rsid w:val="007E093E"/>
    <w:rsid w:val="007E0A0A"/>
    <w:rsid w:val="007E0A14"/>
    <w:rsid w:val="007E0AA9"/>
    <w:rsid w:val="007E0AE3"/>
    <w:rsid w:val="007E0AEC"/>
    <w:rsid w:val="007E0B71"/>
    <w:rsid w:val="007E0C7A"/>
    <w:rsid w:val="007E0CAB"/>
    <w:rsid w:val="007E0D18"/>
    <w:rsid w:val="007E0E7A"/>
    <w:rsid w:val="007E0EC8"/>
    <w:rsid w:val="007E0FBD"/>
    <w:rsid w:val="007E1178"/>
    <w:rsid w:val="007E11F5"/>
    <w:rsid w:val="007E12B7"/>
    <w:rsid w:val="007E12EE"/>
    <w:rsid w:val="007E12F0"/>
    <w:rsid w:val="007E13D8"/>
    <w:rsid w:val="007E1454"/>
    <w:rsid w:val="007E1497"/>
    <w:rsid w:val="007E15BA"/>
    <w:rsid w:val="007E160B"/>
    <w:rsid w:val="007E1616"/>
    <w:rsid w:val="007E1626"/>
    <w:rsid w:val="007E165E"/>
    <w:rsid w:val="007E16CC"/>
    <w:rsid w:val="007E16ED"/>
    <w:rsid w:val="007E1740"/>
    <w:rsid w:val="007E179A"/>
    <w:rsid w:val="007E17CC"/>
    <w:rsid w:val="007E18AA"/>
    <w:rsid w:val="007E1900"/>
    <w:rsid w:val="007E19BD"/>
    <w:rsid w:val="007E19EB"/>
    <w:rsid w:val="007E1A51"/>
    <w:rsid w:val="007E1A6B"/>
    <w:rsid w:val="007E1ACC"/>
    <w:rsid w:val="007E1B09"/>
    <w:rsid w:val="007E1B10"/>
    <w:rsid w:val="007E1B56"/>
    <w:rsid w:val="007E1BC0"/>
    <w:rsid w:val="007E1BE0"/>
    <w:rsid w:val="007E1C8B"/>
    <w:rsid w:val="007E1D9C"/>
    <w:rsid w:val="007E1DBD"/>
    <w:rsid w:val="007E1F02"/>
    <w:rsid w:val="007E1FE4"/>
    <w:rsid w:val="007E2340"/>
    <w:rsid w:val="007E237F"/>
    <w:rsid w:val="007E23D8"/>
    <w:rsid w:val="007E23F7"/>
    <w:rsid w:val="007E2464"/>
    <w:rsid w:val="007E24CE"/>
    <w:rsid w:val="007E2566"/>
    <w:rsid w:val="007E2611"/>
    <w:rsid w:val="007E261B"/>
    <w:rsid w:val="007E276D"/>
    <w:rsid w:val="007E29E4"/>
    <w:rsid w:val="007E2A11"/>
    <w:rsid w:val="007E2A21"/>
    <w:rsid w:val="007E2A7D"/>
    <w:rsid w:val="007E2A8C"/>
    <w:rsid w:val="007E2B2C"/>
    <w:rsid w:val="007E2CE6"/>
    <w:rsid w:val="007E2D43"/>
    <w:rsid w:val="007E2D52"/>
    <w:rsid w:val="007E2F64"/>
    <w:rsid w:val="007E2F6E"/>
    <w:rsid w:val="007E2F79"/>
    <w:rsid w:val="007E2F7B"/>
    <w:rsid w:val="007E2FCA"/>
    <w:rsid w:val="007E3067"/>
    <w:rsid w:val="007E310A"/>
    <w:rsid w:val="007E3374"/>
    <w:rsid w:val="007E33A7"/>
    <w:rsid w:val="007E356F"/>
    <w:rsid w:val="007E35FF"/>
    <w:rsid w:val="007E3722"/>
    <w:rsid w:val="007E3819"/>
    <w:rsid w:val="007E38E7"/>
    <w:rsid w:val="007E3982"/>
    <w:rsid w:val="007E3A8E"/>
    <w:rsid w:val="007E3AD4"/>
    <w:rsid w:val="007E3AE8"/>
    <w:rsid w:val="007E3BFF"/>
    <w:rsid w:val="007E3C07"/>
    <w:rsid w:val="007E3C82"/>
    <w:rsid w:val="007E3D16"/>
    <w:rsid w:val="007E416C"/>
    <w:rsid w:val="007E4375"/>
    <w:rsid w:val="007E4390"/>
    <w:rsid w:val="007E445D"/>
    <w:rsid w:val="007E446D"/>
    <w:rsid w:val="007E457E"/>
    <w:rsid w:val="007E4965"/>
    <w:rsid w:val="007E4971"/>
    <w:rsid w:val="007E4A26"/>
    <w:rsid w:val="007E4C32"/>
    <w:rsid w:val="007E4C60"/>
    <w:rsid w:val="007E4CCB"/>
    <w:rsid w:val="007E4CFF"/>
    <w:rsid w:val="007E4E02"/>
    <w:rsid w:val="007E4E27"/>
    <w:rsid w:val="007E4EC1"/>
    <w:rsid w:val="007E4F5F"/>
    <w:rsid w:val="007E4FAF"/>
    <w:rsid w:val="007E50D8"/>
    <w:rsid w:val="007E512E"/>
    <w:rsid w:val="007E5146"/>
    <w:rsid w:val="007E5248"/>
    <w:rsid w:val="007E532B"/>
    <w:rsid w:val="007E54AD"/>
    <w:rsid w:val="007E54CE"/>
    <w:rsid w:val="007E551E"/>
    <w:rsid w:val="007E568F"/>
    <w:rsid w:val="007E5730"/>
    <w:rsid w:val="007E5733"/>
    <w:rsid w:val="007E5744"/>
    <w:rsid w:val="007E57F3"/>
    <w:rsid w:val="007E595A"/>
    <w:rsid w:val="007E5983"/>
    <w:rsid w:val="007E5B4D"/>
    <w:rsid w:val="007E5C34"/>
    <w:rsid w:val="007E5C6F"/>
    <w:rsid w:val="007E5C82"/>
    <w:rsid w:val="007E5D35"/>
    <w:rsid w:val="007E5E21"/>
    <w:rsid w:val="007E5E3C"/>
    <w:rsid w:val="007E5F92"/>
    <w:rsid w:val="007E5FE4"/>
    <w:rsid w:val="007E6124"/>
    <w:rsid w:val="007E63E5"/>
    <w:rsid w:val="007E6415"/>
    <w:rsid w:val="007E6456"/>
    <w:rsid w:val="007E64A5"/>
    <w:rsid w:val="007E654E"/>
    <w:rsid w:val="007E6552"/>
    <w:rsid w:val="007E65A9"/>
    <w:rsid w:val="007E65E3"/>
    <w:rsid w:val="007E6733"/>
    <w:rsid w:val="007E6749"/>
    <w:rsid w:val="007E677B"/>
    <w:rsid w:val="007E6789"/>
    <w:rsid w:val="007E679D"/>
    <w:rsid w:val="007E6860"/>
    <w:rsid w:val="007E6908"/>
    <w:rsid w:val="007E6A97"/>
    <w:rsid w:val="007E6AE6"/>
    <w:rsid w:val="007E6CC7"/>
    <w:rsid w:val="007E6CDB"/>
    <w:rsid w:val="007E6CE1"/>
    <w:rsid w:val="007E6DCA"/>
    <w:rsid w:val="007E6E1A"/>
    <w:rsid w:val="007E6E28"/>
    <w:rsid w:val="007E6E74"/>
    <w:rsid w:val="007E6EA7"/>
    <w:rsid w:val="007E6F38"/>
    <w:rsid w:val="007E6F6B"/>
    <w:rsid w:val="007E6F7F"/>
    <w:rsid w:val="007E6FC1"/>
    <w:rsid w:val="007E71B2"/>
    <w:rsid w:val="007E71D2"/>
    <w:rsid w:val="007E71E3"/>
    <w:rsid w:val="007E723A"/>
    <w:rsid w:val="007E7331"/>
    <w:rsid w:val="007E745D"/>
    <w:rsid w:val="007E759D"/>
    <w:rsid w:val="007E764B"/>
    <w:rsid w:val="007E7660"/>
    <w:rsid w:val="007E767C"/>
    <w:rsid w:val="007E7681"/>
    <w:rsid w:val="007E76A6"/>
    <w:rsid w:val="007E76E0"/>
    <w:rsid w:val="007E77E7"/>
    <w:rsid w:val="007E78C7"/>
    <w:rsid w:val="007E78F4"/>
    <w:rsid w:val="007E78F9"/>
    <w:rsid w:val="007E79A4"/>
    <w:rsid w:val="007E7B47"/>
    <w:rsid w:val="007E7B85"/>
    <w:rsid w:val="007E7BE3"/>
    <w:rsid w:val="007E7DC0"/>
    <w:rsid w:val="007E7F1F"/>
    <w:rsid w:val="007E7F8E"/>
    <w:rsid w:val="007E7FC9"/>
    <w:rsid w:val="007E7FF6"/>
    <w:rsid w:val="007F0050"/>
    <w:rsid w:val="007F012C"/>
    <w:rsid w:val="007F0136"/>
    <w:rsid w:val="007F0164"/>
    <w:rsid w:val="007F0183"/>
    <w:rsid w:val="007F0187"/>
    <w:rsid w:val="007F01E3"/>
    <w:rsid w:val="007F01F7"/>
    <w:rsid w:val="007F0214"/>
    <w:rsid w:val="007F028B"/>
    <w:rsid w:val="007F0305"/>
    <w:rsid w:val="007F03AB"/>
    <w:rsid w:val="007F03EC"/>
    <w:rsid w:val="007F0484"/>
    <w:rsid w:val="007F04DD"/>
    <w:rsid w:val="007F0573"/>
    <w:rsid w:val="007F066F"/>
    <w:rsid w:val="007F0688"/>
    <w:rsid w:val="007F06A0"/>
    <w:rsid w:val="007F07D6"/>
    <w:rsid w:val="007F0A63"/>
    <w:rsid w:val="007F0AF5"/>
    <w:rsid w:val="007F0B04"/>
    <w:rsid w:val="007F0BC4"/>
    <w:rsid w:val="007F0BEC"/>
    <w:rsid w:val="007F0C34"/>
    <w:rsid w:val="007F0C47"/>
    <w:rsid w:val="007F0D65"/>
    <w:rsid w:val="007F0D75"/>
    <w:rsid w:val="007F0E32"/>
    <w:rsid w:val="007F0E60"/>
    <w:rsid w:val="007F0E8A"/>
    <w:rsid w:val="007F0ED7"/>
    <w:rsid w:val="007F0F68"/>
    <w:rsid w:val="007F1052"/>
    <w:rsid w:val="007F11B6"/>
    <w:rsid w:val="007F12AB"/>
    <w:rsid w:val="007F12AE"/>
    <w:rsid w:val="007F13EC"/>
    <w:rsid w:val="007F1505"/>
    <w:rsid w:val="007F16D4"/>
    <w:rsid w:val="007F1745"/>
    <w:rsid w:val="007F17AA"/>
    <w:rsid w:val="007F1924"/>
    <w:rsid w:val="007F19B6"/>
    <w:rsid w:val="007F19DF"/>
    <w:rsid w:val="007F1A2D"/>
    <w:rsid w:val="007F1C1B"/>
    <w:rsid w:val="007F1C4E"/>
    <w:rsid w:val="007F1D02"/>
    <w:rsid w:val="007F1D6B"/>
    <w:rsid w:val="007F1E57"/>
    <w:rsid w:val="007F1E98"/>
    <w:rsid w:val="007F1F40"/>
    <w:rsid w:val="007F1FEC"/>
    <w:rsid w:val="007F2021"/>
    <w:rsid w:val="007F20B6"/>
    <w:rsid w:val="007F2204"/>
    <w:rsid w:val="007F2220"/>
    <w:rsid w:val="007F23C4"/>
    <w:rsid w:val="007F23E7"/>
    <w:rsid w:val="007F23F6"/>
    <w:rsid w:val="007F23FE"/>
    <w:rsid w:val="007F2641"/>
    <w:rsid w:val="007F2665"/>
    <w:rsid w:val="007F27CD"/>
    <w:rsid w:val="007F2873"/>
    <w:rsid w:val="007F2901"/>
    <w:rsid w:val="007F2933"/>
    <w:rsid w:val="007F2B13"/>
    <w:rsid w:val="007F2B28"/>
    <w:rsid w:val="007F2C48"/>
    <w:rsid w:val="007F2C5B"/>
    <w:rsid w:val="007F2D2B"/>
    <w:rsid w:val="007F2D9A"/>
    <w:rsid w:val="007F2E39"/>
    <w:rsid w:val="007F2E73"/>
    <w:rsid w:val="007F2EA4"/>
    <w:rsid w:val="007F2F9E"/>
    <w:rsid w:val="007F30A2"/>
    <w:rsid w:val="007F3146"/>
    <w:rsid w:val="007F32EA"/>
    <w:rsid w:val="007F33AE"/>
    <w:rsid w:val="007F33B2"/>
    <w:rsid w:val="007F34E5"/>
    <w:rsid w:val="007F3509"/>
    <w:rsid w:val="007F3511"/>
    <w:rsid w:val="007F3529"/>
    <w:rsid w:val="007F358C"/>
    <w:rsid w:val="007F35C8"/>
    <w:rsid w:val="007F35EA"/>
    <w:rsid w:val="007F3646"/>
    <w:rsid w:val="007F36C4"/>
    <w:rsid w:val="007F36FD"/>
    <w:rsid w:val="007F37F6"/>
    <w:rsid w:val="007F38ED"/>
    <w:rsid w:val="007F3974"/>
    <w:rsid w:val="007F39A5"/>
    <w:rsid w:val="007F3AE9"/>
    <w:rsid w:val="007F3C24"/>
    <w:rsid w:val="007F3C91"/>
    <w:rsid w:val="007F3D45"/>
    <w:rsid w:val="007F3E0E"/>
    <w:rsid w:val="007F401D"/>
    <w:rsid w:val="007F4039"/>
    <w:rsid w:val="007F413D"/>
    <w:rsid w:val="007F41B3"/>
    <w:rsid w:val="007F4207"/>
    <w:rsid w:val="007F427E"/>
    <w:rsid w:val="007F429D"/>
    <w:rsid w:val="007F431D"/>
    <w:rsid w:val="007F444D"/>
    <w:rsid w:val="007F4475"/>
    <w:rsid w:val="007F4480"/>
    <w:rsid w:val="007F44D0"/>
    <w:rsid w:val="007F4545"/>
    <w:rsid w:val="007F4562"/>
    <w:rsid w:val="007F457A"/>
    <w:rsid w:val="007F470B"/>
    <w:rsid w:val="007F47A5"/>
    <w:rsid w:val="007F4807"/>
    <w:rsid w:val="007F48F9"/>
    <w:rsid w:val="007F4A7F"/>
    <w:rsid w:val="007F4ADB"/>
    <w:rsid w:val="007F4B67"/>
    <w:rsid w:val="007F4B84"/>
    <w:rsid w:val="007F4BF0"/>
    <w:rsid w:val="007F4C5F"/>
    <w:rsid w:val="007F4D55"/>
    <w:rsid w:val="007F4E43"/>
    <w:rsid w:val="007F4F86"/>
    <w:rsid w:val="007F534A"/>
    <w:rsid w:val="007F547F"/>
    <w:rsid w:val="007F54B6"/>
    <w:rsid w:val="007F54E0"/>
    <w:rsid w:val="007F55B1"/>
    <w:rsid w:val="007F55C3"/>
    <w:rsid w:val="007F560C"/>
    <w:rsid w:val="007F5647"/>
    <w:rsid w:val="007F5697"/>
    <w:rsid w:val="007F56A7"/>
    <w:rsid w:val="007F56AF"/>
    <w:rsid w:val="007F578B"/>
    <w:rsid w:val="007F5870"/>
    <w:rsid w:val="007F58D1"/>
    <w:rsid w:val="007F595B"/>
    <w:rsid w:val="007F599E"/>
    <w:rsid w:val="007F5A86"/>
    <w:rsid w:val="007F5B9B"/>
    <w:rsid w:val="007F5BA0"/>
    <w:rsid w:val="007F5C36"/>
    <w:rsid w:val="007F5C4B"/>
    <w:rsid w:val="007F5CC8"/>
    <w:rsid w:val="007F5D9F"/>
    <w:rsid w:val="007F5DA7"/>
    <w:rsid w:val="007F6143"/>
    <w:rsid w:val="007F614E"/>
    <w:rsid w:val="007F61AC"/>
    <w:rsid w:val="007F61F1"/>
    <w:rsid w:val="007F6219"/>
    <w:rsid w:val="007F6348"/>
    <w:rsid w:val="007F6406"/>
    <w:rsid w:val="007F6455"/>
    <w:rsid w:val="007F64EB"/>
    <w:rsid w:val="007F6562"/>
    <w:rsid w:val="007F65AC"/>
    <w:rsid w:val="007F6632"/>
    <w:rsid w:val="007F6688"/>
    <w:rsid w:val="007F66A7"/>
    <w:rsid w:val="007F680B"/>
    <w:rsid w:val="007F6831"/>
    <w:rsid w:val="007F698D"/>
    <w:rsid w:val="007F6A1F"/>
    <w:rsid w:val="007F6A2C"/>
    <w:rsid w:val="007F6A57"/>
    <w:rsid w:val="007F6AFC"/>
    <w:rsid w:val="007F6AFD"/>
    <w:rsid w:val="007F6BBE"/>
    <w:rsid w:val="007F6BD8"/>
    <w:rsid w:val="007F6C46"/>
    <w:rsid w:val="007F6C51"/>
    <w:rsid w:val="007F6CCE"/>
    <w:rsid w:val="007F6CF9"/>
    <w:rsid w:val="007F6E0D"/>
    <w:rsid w:val="007F6EB7"/>
    <w:rsid w:val="007F6ED9"/>
    <w:rsid w:val="007F6F2D"/>
    <w:rsid w:val="007F6F70"/>
    <w:rsid w:val="007F708E"/>
    <w:rsid w:val="007F7159"/>
    <w:rsid w:val="007F7203"/>
    <w:rsid w:val="007F7255"/>
    <w:rsid w:val="007F7257"/>
    <w:rsid w:val="007F72B8"/>
    <w:rsid w:val="007F72CE"/>
    <w:rsid w:val="007F7390"/>
    <w:rsid w:val="007F75B3"/>
    <w:rsid w:val="007F7691"/>
    <w:rsid w:val="007F7696"/>
    <w:rsid w:val="007F76B3"/>
    <w:rsid w:val="007F7719"/>
    <w:rsid w:val="007F779D"/>
    <w:rsid w:val="007F77A7"/>
    <w:rsid w:val="007F77D9"/>
    <w:rsid w:val="007F781C"/>
    <w:rsid w:val="007F78C5"/>
    <w:rsid w:val="007F7A27"/>
    <w:rsid w:val="007F7B1F"/>
    <w:rsid w:val="007F7BE6"/>
    <w:rsid w:val="007F7BEB"/>
    <w:rsid w:val="007F7BEF"/>
    <w:rsid w:val="007F7C57"/>
    <w:rsid w:val="007F7C65"/>
    <w:rsid w:val="007F7CA8"/>
    <w:rsid w:val="007F7D21"/>
    <w:rsid w:val="007F7E48"/>
    <w:rsid w:val="007F7E66"/>
    <w:rsid w:val="007F7F2F"/>
    <w:rsid w:val="007F7F5A"/>
    <w:rsid w:val="007F7F85"/>
    <w:rsid w:val="007F7FEC"/>
    <w:rsid w:val="00800046"/>
    <w:rsid w:val="00800063"/>
    <w:rsid w:val="00800066"/>
    <w:rsid w:val="0080010A"/>
    <w:rsid w:val="00800113"/>
    <w:rsid w:val="00800156"/>
    <w:rsid w:val="008001DD"/>
    <w:rsid w:val="0080024B"/>
    <w:rsid w:val="00800338"/>
    <w:rsid w:val="0080033B"/>
    <w:rsid w:val="008003D3"/>
    <w:rsid w:val="00800449"/>
    <w:rsid w:val="0080052E"/>
    <w:rsid w:val="00800668"/>
    <w:rsid w:val="00800671"/>
    <w:rsid w:val="0080067E"/>
    <w:rsid w:val="0080079E"/>
    <w:rsid w:val="008007B2"/>
    <w:rsid w:val="00800862"/>
    <w:rsid w:val="008008B2"/>
    <w:rsid w:val="008008D8"/>
    <w:rsid w:val="00800929"/>
    <w:rsid w:val="008009A3"/>
    <w:rsid w:val="00800A09"/>
    <w:rsid w:val="00800A34"/>
    <w:rsid w:val="00800A5D"/>
    <w:rsid w:val="00800B47"/>
    <w:rsid w:val="00800D69"/>
    <w:rsid w:val="00800D7A"/>
    <w:rsid w:val="00800DD3"/>
    <w:rsid w:val="00800E26"/>
    <w:rsid w:val="00800FE8"/>
    <w:rsid w:val="0080103D"/>
    <w:rsid w:val="008010FB"/>
    <w:rsid w:val="008010FD"/>
    <w:rsid w:val="0080118B"/>
    <w:rsid w:val="00801246"/>
    <w:rsid w:val="00801276"/>
    <w:rsid w:val="0080127F"/>
    <w:rsid w:val="008012E4"/>
    <w:rsid w:val="008012F9"/>
    <w:rsid w:val="00801315"/>
    <w:rsid w:val="0080131E"/>
    <w:rsid w:val="00801362"/>
    <w:rsid w:val="00801461"/>
    <w:rsid w:val="00801549"/>
    <w:rsid w:val="00801577"/>
    <w:rsid w:val="00801727"/>
    <w:rsid w:val="008017D6"/>
    <w:rsid w:val="00801822"/>
    <w:rsid w:val="00801906"/>
    <w:rsid w:val="00801910"/>
    <w:rsid w:val="0080197D"/>
    <w:rsid w:val="00801A0C"/>
    <w:rsid w:val="00801A76"/>
    <w:rsid w:val="00801AF3"/>
    <w:rsid w:val="00801C32"/>
    <w:rsid w:val="00801CA9"/>
    <w:rsid w:val="00801E2B"/>
    <w:rsid w:val="00801E3C"/>
    <w:rsid w:val="00801E5E"/>
    <w:rsid w:val="00801E63"/>
    <w:rsid w:val="00801E9D"/>
    <w:rsid w:val="00801EC4"/>
    <w:rsid w:val="00801ED7"/>
    <w:rsid w:val="00801EE6"/>
    <w:rsid w:val="00801F40"/>
    <w:rsid w:val="00801F5B"/>
    <w:rsid w:val="00801F7A"/>
    <w:rsid w:val="00801F93"/>
    <w:rsid w:val="00801FCE"/>
    <w:rsid w:val="00802108"/>
    <w:rsid w:val="00802127"/>
    <w:rsid w:val="00802149"/>
    <w:rsid w:val="00802158"/>
    <w:rsid w:val="008023BE"/>
    <w:rsid w:val="0080255F"/>
    <w:rsid w:val="0080261A"/>
    <w:rsid w:val="00802710"/>
    <w:rsid w:val="00802833"/>
    <w:rsid w:val="0080288D"/>
    <w:rsid w:val="008028D6"/>
    <w:rsid w:val="008029AC"/>
    <w:rsid w:val="00802C7E"/>
    <w:rsid w:val="00802CAC"/>
    <w:rsid w:val="00802CCE"/>
    <w:rsid w:val="00802DDD"/>
    <w:rsid w:val="00802E54"/>
    <w:rsid w:val="00802F01"/>
    <w:rsid w:val="00802F0D"/>
    <w:rsid w:val="0080304F"/>
    <w:rsid w:val="00803058"/>
    <w:rsid w:val="0080317E"/>
    <w:rsid w:val="00803214"/>
    <w:rsid w:val="008032A0"/>
    <w:rsid w:val="00803491"/>
    <w:rsid w:val="00803499"/>
    <w:rsid w:val="008034B3"/>
    <w:rsid w:val="008034CA"/>
    <w:rsid w:val="008035AA"/>
    <w:rsid w:val="0080366A"/>
    <w:rsid w:val="008036DE"/>
    <w:rsid w:val="00803711"/>
    <w:rsid w:val="0080372E"/>
    <w:rsid w:val="0080376B"/>
    <w:rsid w:val="0080382F"/>
    <w:rsid w:val="0080399D"/>
    <w:rsid w:val="008039E2"/>
    <w:rsid w:val="00803AD2"/>
    <w:rsid w:val="00803B4B"/>
    <w:rsid w:val="00803B8B"/>
    <w:rsid w:val="00803BD0"/>
    <w:rsid w:val="00803C0E"/>
    <w:rsid w:val="00803C66"/>
    <w:rsid w:val="00803CC8"/>
    <w:rsid w:val="00803D8B"/>
    <w:rsid w:val="00803FEF"/>
    <w:rsid w:val="00803FF0"/>
    <w:rsid w:val="00804124"/>
    <w:rsid w:val="00804217"/>
    <w:rsid w:val="00804263"/>
    <w:rsid w:val="0080428A"/>
    <w:rsid w:val="00804290"/>
    <w:rsid w:val="00804334"/>
    <w:rsid w:val="0080441A"/>
    <w:rsid w:val="00804429"/>
    <w:rsid w:val="00804581"/>
    <w:rsid w:val="008045C6"/>
    <w:rsid w:val="00804611"/>
    <w:rsid w:val="0080464E"/>
    <w:rsid w:val="00804651"/>
    <w:rsid w:val="0080465E"/>
    <w:rsid w:val="00804702"/>
    <w:rsid w:val="00804716"/>
    <w:rsid w:val="00804755"/>
    <w:rsid w:val="00804839"/>
    <w:rsid w:val="008048A5"/>
    <w:rsid w:val="0080490C"/>
    <w:rsid w:val="008049A0"/>
    <w:rsid w:val="00804A6A"/>
    <w:rsid w:val="00804AE8"/>
    <w:rsid w:val="00804B2C"/>
    <w:rsid w:val="00804E0B"/>
    <w:rsid w:val="00804F32"/>
    <w:rsid w:val="00804FFE"/>
    <w:rsid w:val="00805017"/>
    <w:rsid w:val="0080501F"/>
    <w:rsid w:val="00805152"/>
    <w:rsid w:val="0080519C"/>
    <w:rsid w:val="0080520D"/>
    <w:rsid w:val="0080523F"/>
    <w:rsid w:val="008052D0"/>
    <w:rsid w:val="00805376"/>
    <w:rsid w:val="008053CF"/>
    <w:rsid w:val="008053D1"/>
    <w:rsid w:val="00805433"/>
    <w:rsid w:val="0080544F"/>
    <w:rsid w:val="00805551"/>
    <w:rsid w:val="00805646"/>
    <w:rsid w:val="008056A1"/>
    <w:rsid w:val="00805872"/>
    <w:rsid w:val="0080588F"/>
    <w:rsid w:val="008058CD"/>
    <w:rsid w:val="0080590F"/>
    <w:rsid w:val="00805910"/>
    <w:rsid w:val="00805A70"/>
    <w:rsid w:val="00805A8E"/>
    <w:rsid w:val="00805BB4"/>
    <w:rsid w:val="00805BF9"/>
    <w:rsid w:val="00805D35"/>
    <w:rsid w:val="00805E85"/>
    <w:rsid w:val="00805EA3"/>
    <w:rsid w:val="00805F82"/>
    <w:rsid w:val="0080601C"/>
    <w:rsid w:val="00806151"/>
    <w:rsid w:val="0080615D"/>
    <w:rsid w:val="0080616A"/>
    <w:rsid w:val="0080627A"/>
    <w:rsid w:val="008063DE"/>
    <w:rsid w:val="00806415"/>
    <w:rsid w:val="0080653B"/>
    <w:rsid w:val="0080666B"/>
    <w:rsid w:val="008067D1"/>
    <w:rsid w:val="00806806"/>
    <w:rsid w:val="00806857"/>
    <w:rsid w:val="00806881"/>
    <w:rsid w:val="008068F2"/>
    <w:rsid w:val="0080690A"/>
    <w:rsid w:val="00806931"/>
    <w:rsid w:val="0080695C"/>
    <w:rsid w:val="0080696D"/>
    <w:rsid w:val="008069EB"/>
    <w:rsid w:val="00806A0F"/>
    <w:rsid w:val="00806AE3"/>
    <w:rsid w:val="00806B30"/>
    <w:rsid w:val="00806B63"/>
    <w:rsid w:val="00806B8A"/>
    <w:rsid w:val="00806B97"/>
    <w:rsid w:val="00806BBD"/>
    <w:rsid w:val="00806BC2"/>
    <w:rsid w:val="00806C23"/>
    <w:rsid w:val="00806CEE"/>
    <w:rsid w:val="00806F18"/>
    <w:rsid w:val="00806FBC"/>
    <w:rsid w:val="00806FF9"/>
    <w:rsid w:val="008070E2"/>
    <w:rsid w:val="00807120"/>
    <w:rsid w:val="00807302"/>
    <w:rsid w:val="008073E1"/>
    <w:rsid w:val="00807446"/>
    <w:rsid w:val="00807547"/>
    <w:rsid w:val="0080757F"/>
    <w:rsid w:val="008075F5"/>
    <w:rsid w:val="0080762B"/>
    <w:rsid w:val="008076CD"/>
    <w:rsid w:val="00807854"/>
    <w:rsid w:val="0080785F"/>
    <w:rsid w:val="008078C1"/>
    <w:rsid w:val="008079D8"/>
    <w:rsid w:val="008079E4"/>
    <w:rsid w:val="00807A09"/>
    <w:rsid w:val="00807A47"/>
    <w:rsid w:val="00807A5C"/>
    <w:rsid w:val="00807A78"/>
    <w:rsid w:val="00807BC2"/>
    <w:rsid w:val="00807CD5"/>
    <w:rsid w:val="00807CD9"/>
    <w:rsid w:val="00807D1F"/>
    <w:rsid w:val="00807D61"/>
    <w:rsid w:val="00807ED7"/>
    <w:rsid w:val="00807F40"/>
    <w:rsid w:val="00810014"/>
    <w:rsid w:val="00810081"/>
    <w:rsid w:val="008100F3"/>
    <w:rsid w:val="00810205"/>
    <w:rsid w:val="0081022F"/>
    <w:rsid w:val="0081023A"/>
    <w:rsid w:val="00810253"/>
    <w:rsid w:val="0081025F"/>
    <w:rsid w:val="00810374"/>
    <w:rsid w:val="008103D6"/>
    <w:rsid w:val="008104ED"/>
    <w:rsid w:val="00810522"/>
    <w:rsid w:val="00810531"/>
    <w:rsid w:val="00810600"/>
    <w:rsid w:val="00810625"/>
    <w:rsid w:val="0081063E"/>
    <w:rsid w:val="00810679"/>
    <w:rsid w:val="00810681"/>
    <w:rsid w:val="00810782"/>
    <w:rsid w:val="0081080E"/>
    <w:rsid w:val="0081090B"/>
    <w:rsid w:val="0081098D"/>
    <w:rsid w:val="008109C6"/>
    <w:rsid w:val="00810B93"/>
    <w:rsid w:val="00810BFA"/>
    <w:rsid w:val="00810C5B"/>
    <w:rsid w:val="00810C7E"/>
    <w:rsid w:val="00810CCC"/>
    <w:rsid w:val="00810D9C"/>
    <w:rsid w:val="00810E6F"/>
    <w:rsid w:val="00810EE4"/>
    <w:rsid w:val="00810FDC"/>
    <w:rsid w:val="008110E1"/>
    <w:rsid w:val="0081116B"/>
    <w:rsid w:val="00811236"/>
    <w:rsid w:val="0081134F"/>
    <w:rsid w:val="008113BC"/>
    <w:rsid w:val="008113E6"/>
    <w:rsid w:val="0081143D"/>
    <w:rsid w:val="00811506"/>
    <w:rsid w:val="00811510"/>
    <w:rsid w:val="008115CD"/>
    <w:rsid w:val="0081161D"/>
    <w:rsid w:val="00811778"/>
    <w:rsid w:val="0081180C"/>
    <w:rsid w:val="00811839"/>
    <w:rsid w:val="0081191B"/>
    <w:rsid w:val="00811943"/>
    <w:rsid w:val="008119CB"/>
    <w:rsid w:val="008119E5"/>
    <w:rsid w:val="00811AC3"/>
    <w:rsid w:val="00811B36"/>
    <w:rsid w:val="00811B6C"/>
    <w:rsid w:val="00811BA0"/>
    <w:rsid w:val="00811BD5"/>
    <w:rsid w:val="00811C2A"/>
    <w:rsid w:val="00811D00"/>
    <w:rsid w:val="00811D04"/>
    <w:rsid w:val="00811D05"/>
    <w:rsid w:val="00811D8E"/>
    <w:rsid w:val="00811DC2"/>
    <w:rsid w:val="00811DE3"/>
    <w:rsid w:val="00811EA1"/>
    <w:rsid w:val="00811F80"/>
    <w:rsid w:val="0081219C"/>
    <w:rsid w:val="00812208"/>
    <w:rsid w:val="00812245"/>
    <w:rsid w:val="0081227D"/>
    <w:rsid w:val="008122B7"/>
    <w:rsid w:val="0081243D"/>
    <w:rsid w:val="008124E8"/>
    <w:rsid w:val="00812552"/>
    <w:rsid w:val="00812596"/>
    <w:rsid w:val="008125CA"/>
    <w:rsid w:val="0081271C"/>
    <w:rsid w:val="0081280B"/>
    <w:rsid w:val="00812877"/>
    <w:rsid w:val="0081289F"/>
    <w:rsid w:val="00812B07"/>
    <w:rsid w:val="00812C43"/>
    <w:rsid w:val="00812D23"/>
    <w:rsid w:val="00812DDD"/>
    <w:rsid w:val="00812F32"/>
    <w:rsid w:val="0081307B"/>
    <w:rsid w:val="0081307D"/>
    <w:rsid w:val="008130C5"/>
    <w:rsid w:val="008130EA"/>
    <w:rsid w:val="008130EE"/>
    <w:rsid w:val="0081314F"/>
    <w:rsid w:val="008131E7"/>
    <w:rsid w:val="0081328B"/>
    <w:rsid w:val="00813340"/>
    <w:rsid w:val="0081338D"/>
    <w:rsid w:val="008133E6"/>
    <w:rsid w:val="00813506"/>
    <w:rsid w:val="00813512"/>
    <w:rsid w:val="008135A4"/>
    <w:rsid w:val="008135CA"/>
    <w:rsid w:val="00813658"/>
    <w:rsid w:val="00813686"/>
    <w:rsid w:val="00813833"/>
    <w:rsid w:val="00813848"/>
    <w:rsid w:val="00813854"/>
    <w:rsid w:val="00813933"/>
    <w:rsid w:val="008139CC"/>
    <w:rsid w:val="00813A23"/>
    <w:rsid w:val="00813BD2"/>
    <w:rsid w:val="00813DE2"/>
    <w:rsid w:val="00813FDC"/>
    <w:rsid w:val="00814030"/>
    <w:rsid w:val="008140D1"/>
    <w:rsid w:val="00814136"/>
    <w:rsid w:val="008141B5"/>
    <w:rsid w:val="00814201"/>
    <w:rsid w:val="00814235"/>
    <w:rsid w:val="0081423F"/>
    <w:rsid w:val="0081439F"/>
    <w:rsid w:val="008143C1"/>
    <w:rsid w:val="008143EB"/>
    <w:rsid w:val="008144BD"/>
    <w:rsid w:val="008145BE"/>
    <w:rsid w:val="0081460D"/>
    <w:rsid w:val="00814736"/>
    <w:rsid w:val="00814772"/>
    <w:rsid w:val="0081487B"/>
    <w:rsid w:val="00814880"/>
    <w:rsid w:val="008149D8"/>
    <w:rsid w:val="00814A2E"/>
    <w:rsid w:val="00814A38"/>
    <w:rsid w:val="00814B26"/>
    <w:rsid w:val="00814B5B"/>
    <w:rsid w:val="00814B69"/>
    <w:rsid w:val="00814C52"/>
    <w:rsid w:val="00814CB6"/>
    <w:rsid w:val="00814CC0"/>
    <w:rsid w:val="00814D1A"/>
    <w:rsid w:val="00814DFB"/>
    <w:rsid w:val="00814E40"/>
    <w:rsid w:val="00814E7F"/>
    <w:rsid w:val="00814E84"/>
    <w:rsid w:val="00815060"/>
    <w:rsid w:val="0081511C"/>
    <w:rsid w:val="008151C6"/>
    <w:rsid w:val="0081524B"/>
    <w:rsid w:val="008152C9"/>
    <w:rsid w:val="0081532A"/>
    <w:rsid w:val="00815351"/>
    <w:rsid w:val="00815463"/>
    <w:rsid w:val="008154E0"/>
    <w:rsid w:val="0081552C"/>
    <w:rsid w:val="0081556D"/>
    <w:rsid w:val="008155A3"/>
    <w:rsid w:val="008155E8"/>
    <w:rsid w:val="00815614"/>
    <w:rsid w:val="00815679"/>
    <w:rsid w:val="00815744"/>
    <w:rsid w:val="0081587E"/>
    <w:rsid w:val="0081589A"/>
    <w:rsid w:val="00815976"/>
    <w:rsid w:val="008159B8"/>
    <w:rsid w:val="008159C5"/>
    <w:rsid w:val="00815A00"/>
    <w:rsid w:val="00815A88"/>
    <w:rsid w:val="00815AA4"/>
    <w:rsid w:val="00815B0B"/>
    <w:rsid w:val="00815B2F"/>
    <w:rsid w:val="00815B62"/>
    <w:rsid w:val="00815CF6"/>
    <w:rsid w:val="00815D2D"/>
    <w:rsid w:val="00815E2C"/>
    <w:rsid w:val="00815F27"/>
    <w:rsid w:val="00815FDC"/>
    <w:rsid w:val="00816088"/>
    <w:rsid w:val="008160FD"/>
    <w:rsid w:val="008161C1"/>
    <w:rsid w:val="00816250"/>
    <w:rsid w:val="0081629F"/>
    <w:rsid w:val="00816369"/>
    <w:rsid w:val="008164B8"/>
    <w:rsid w:val="008164BF"/>
    <w:rsid w:val="00816518"/>
    <w:rsid w:val="0081656E"/>
    <w:rsid w:val="008165FF"/>
    <w:rsid w:val="008166C5"/>
    <w:rsid w:val="008166C8"/>
    <w:rsid w:val="008166D6"/>
    <w:rsid w:val="008167FC"/>
    <w:rsid w:val="0081680D"/>
    <w:rsid w:val="00816852"/>
    <w:rsid w:val="008168B5"/>
    <w:rsid w:val="008168EC"/>
    <w:rsid w:val="00816973"/>
    <w:rsid w:val="00816AA4"/>
    <w:rsid w:val="00816C07"/>
    <w:rsid w:val="00816C94"/>
    <w:rsid w:val="00816D2C"/>
    <w:rsid w:val="00816D67"/>
    <w:rsid w:val="00816DC4"/>
    <w:rsid w:val="00816DF7"/>
    <w:rsid w:val="00816F72"/>
    <w:rsid w:val="00817099"/>
    <w:rsid w:val="00817120"/>
    <w:rsid w:val="008171A4"/>
    <w:rsid w:val="00817210"/>
    <w:rsid w:val="00817235"/>
    <w:rsid w:val="008172DD"/>
    <w:rsid w:val="008172E9"/>
    <w:rsid w:val="008174EA"/>
    <w:rsid w:val="0081774C"/>
    <w:rsid w:val="008177DB"/>
    <w:rsid w:val="0081789E"/>
    <w:rsid w:val="0081790F"/>
    <w:rsid w:val="00817920"/>
    <w:rsid w:val="00817A19"/>
    <w:rsid w:val="00817A35"/>
    <w:rsid w:val="00817A40"/>
    <w:rsid w:val="00817AC9"/>
    <w:rsid w:val="00817B1A"/>
    <w:rsid w:val="00817BCF"/>
    <w:rsid w:val="00817C3F"/>
    <w:rsid w:val="00817FDD"/>
    <w:rsid w:val="00817FE6"/>
    <w:rsid w:val="00820062"/>
    <w:rsid w:val="0082008F"/>
    <w:rsid w:val="0082022B"/>
    <w:rsid w:val="0082027A"/>
    <w:rsid w:val="008202AC"/>
    <w:rsid w:val="008203AE"/>
    <w:rsid w:val="008203DC"/>
    <w:rsid w:val="008203E4"/>
    <w:rsid w:val="008203F4"/>
    <w:rsid w:val="008204D8"/>
    <w:rsid w:val="00820566"/>
    <w:rsid w:val="00820581"/>
    <w:rsid w:val="00820590"/>
    <w:rsid w:val="00820665"/>
    <w:rsid w:val="008206A5"/>
    <w:rsid w:val="008206CE"/>
    <w:rsid w:val="00820724"/>
    <w:rsid w:val="008207A7"/>
    <w:rsid w:val="00820871"/>
    <w:rsid w:val="0082090E"/>
    <w:rsid w:val="00820991"/>
    <w:rsid w:val="008209C0"/>
    <w:rsid w:val="00820AB6"/>
    <w:rsid w:val="00820B03"/>
    <w:rsid w:val="00820CCC"/>
    <w:rsid w:val="00820D54"/>
    <w:rsid w:val="00820DE1"/>
    <w:rsid w:val="00820E58"/>
    <w:rsid w:val="00820E99"/>
    <w:rsid w:val="00820F4A"/>
    <w:rsid w:val="00820FDF"/>
    <w:rsid w:val="0082100A"/>
    <w:rsid w:val="0082101B"/>
    <w:rsid w:val="0082104A"/>
    <w:rsid w:val="0082109E"/>
    <w:rsid w:val="0082111A"/>
    <w:rsid w:val="00821153"/>
    <w:rsid w:val="0082117A"/>
    <w:rsid w:val="00821263"/>
    <w:rsid w:val="0082127D"/>
    <w:rsid w:val="008212DC"/>
    <w:rsid w:val="00821303"/>
    <w:rsid w:val="00821326"/>
    <w:rsid w:val="00821370"/>
    <w:rsid w:val="008213AC"/>
    <w:rsid w:val="0082143C"/>
    <w:rsid w:val="008215C0"/>
    <w:rsid w:val="0082163C"/>
    <w:rsid w:val="0082175A"/>
    <w:rsid w:val="00821767"/>
    <w:rsid w:val="008218F4"/>
    <w:rsid w:val="008218FA"/>
    <w:rsid w:val="00821969"/>
    <w:rsid w:val="00821977"/>
    <w:rsid w:val="00821991"/>
    <w:rsid w:val="008219DE"/>
    <w:rsid w:val="008219FF"/>
    <w:rsid w:val="00821A79"/>
    <w:rsid w:val="00821A7A"/>
    <w:rsid w:val="00821B28"/>
    <w:rsid w:val="00821BB5"/>
    <w:rsid w:val="00821D2E"/>
    <w:rsid w:val="00821D57"/>
    <w:rsid w:val="00821DA8"/>
    <w:rsid w:val="00821DD9"/>
    <w:rsid w:val="00821DDA"/>
    <w:rsid w:val="00821DDD"/>
    <w:rsid w:val="00821E36"/>
    <w:rsid w:val="00821EA5"/>
    <w:rsid w:val="00822253"/>
    <w:rsid w:val="008222DE"/>
    <w:rsid w:val="008223C7"/>
    <w:rsid w:val="008223DF"/>
    <w:rsid w:val="0082255B"/>
    <w:rsid w:val="008226C9"/>
    <w:rsid w:val="0082277E"/>
    <w:rsid w:val="008227AD"/>
    <w:rsid w:val="008227BA"/>
    <w:rsid w:val="0082281B"/>
    <w:rsid w:val="0082283D"/>
    <w:rsid w:val="00822888"/>
    <w:rsid w:val="008228B5"/>
    <w:rsid w:val="008228D3"/>
    <w:rsid w:val="008228EB"/>
    <w:rsid w:val="00822918"/>
    <w:rsid w:val="00822B49"/>
    <w:rsid w:val="00822BA1"/>
    <w:rsid w:val="00822BFB"/>
    <w:rsid w:val="00822C1A"/>
    <w:rsid w:val="00822C89"/>
    <w:rsid w:val="00822CB0"/>
    <w:rsid w:val="00822CB7"/>
    <w:rsid w:val="00822EB8"/>
    <w:rsid w:val="00822EEF"/>
    <w:rsid w:val="00822F00"/>
    <w:rsid w:val="00822F4C"/>
    <w:rsid w:val="00822F56"/>
    <w:rsid w:val="00823002"/>
    <w:rsid w:val="0082313F"/>
    <w:rsid w:val="00823178"/>
    <w:rsid w:val="008232C0"/>
    <w:rsid w:val="00823317"/>
    <w:rsid w:val="0082333A"/>
    <w:rsid w:val="0082335C"/>
    <w:rsid w:val="00823468"/>
    <w:rsid w:val="00823563"/>
    <w:rsid w:val="008235AE"/>
    <w:rsid w:val="008236A7"/>
    <w:rsid w:val="008236B5"/>
    <w:rsid w:val="0082371B"/>
    <w:rsid w:val="008237A9"/>
    <w:rsid w:val="008237E0"/>
    <w:rsid w:val="00823828"/>
    <w:rsid w:val="00823865"/>
    <w:rsid w:val="008238A2"/>
    <w:rsid w:val="008238B5"/>
    <w:rsid w:val="00823925"/>
    <w:rsid w:val="0082396A"/>
    <w:rsid w:val="008239D4"/>
    <w:rsid w:val="008239D8"/>
    <w:rsid w:val="00823AB5"/>
    <w:rsid w:val="00823B27"/>
    <w:rsid w:val="00823B2D"/>
    <w:rsid w:val="00823B95"/>
    <w:rsid w:val="00823CF2"/>
    <w:rsid w:val="00823E66"/>
    <w:rsid w:val="00823F29"/>
    <w:rsid w:val="00823F4D"/>
    <w:rsid w:val="00823FAC"/>
    <w:rsid w:val="00824017"/>
    <w:rsid w:val="0082403F"/>
    <w:rsid w:val="00824112"/>
    <w:rsid w:val="008241A9"/>
    <w:rsid w:val="008242D2"/>
    <w:rsid w:val="0082430B"/>
    <w:rsid w:val="00824361"/>
    <w:rsid w:val="008244D6"/>
    <w:rsid w:val="008244D7"/>
    <w:rsid w:val="0082453A"/>
    <w:rsid w:val="00824556"/>
    <w:rsid w:val="0082460C"/>
    <w:rsid w:val="00824671"/>
    <w:rsid w:val="008246E2"/>
    <w:rsid w:val="0082480C"/>
    <w:rsid w:val="0082486F"/>
    <w:rsid w:val="00824A71"/>
    <w:rsid w:val="00824AEB"/>
    <w:rsid w:val="00824AF5"/>
    <w:rsid w:val="00824B24"/>
    <w:rsid w:val="00824B2C"/>
    <w:rsid w:val="00824B6D"/>
    <w:rsid w:val="00824BB3"/>
    <w:rsid w:val="00825067"/>
    <w:rsid w:val="0082508F"/>
    <w:rsid w:val="0082509D"/>
    <w:rsid w:val="008250AE"/>
    <w:rsid w:val="008251C3"/>
    <w:rsid w:val="00825206"/>
    <w:rsid w:val="00825291"/>
    <w:rsid w:val="00825354"/>
    <w:rsid w:val="008253E0"/>
    <w:rsid w:val="008253ED"/>
    <w:rsid w:val="008254F9"/>
    <w:rsid w:val="0082553D"/>
    <w:rsid w:val="00825570"/>
    <w:rsid w:val="00825596"/>
    <w:rsid w:val="008255A0"/>
    <w:rsid w:val="008255F1"/>
    <w:rsid w:val="0082567A"/>
    <w:rsid w:val="008256FD"/>
    <w:rsid w:val="00825763"/>
    <w:rsid w:val="008257FC"/>
    <w:rsid w:val="00825884"/>
    <w:rsid w:val="008259AB"/>
    <w:rsid w:val="00825A55"/>
    <w:rsid w:val="00825BEC"/>
    <w:rsid w:val="00825C22"/>
    <w:rsid w:val="00825C60"/>
    <w:rsid w:val="00825D00"/>
    <w:rsid w:val="00825D21"/>
    <w:rsid w:val="00825D42"/>
    <w:rsid w:val="0082601A"/>
    <w:rsid w:val="00826054"/>
    <w:rsid w:val="0082613F"/>
    <w:rsid w:val="008261E9"/>
    <w:rsid w:val="00826269"/>
    <w:rsid w:val="0082632C"/>
    <w:rsid w:val="00826338"/>
    <w:rsid w:val="0082634D"/>
    <w:rsid w:val="00826396"/>
    <w:rsid w:val="008263D7"/>
    <w:rsid w:val="0082643D"/>
    <w:rsid w:val="008264BC"/>
    <w:rsid w:val="008264BD"/>
    <w:rsid w:val="008265C1"/>
    <w:rsid w:val="00826748"/>
    <w:rsid w:val="00826780"/>
    <w:rsid w:val="00826996"/>
    <w:rsid w:val="00826999"/>
    <w:rsid w:val="008269F3"/>
    <w:rsid w:val="00826A4D"/>
    <w:rsid w:val="00826B01"/>
    <w:rsid w:val="00826BCA"/>
    <w:rsid w:val="00826BE7"/>
    <w:rsid w:val="00826C10"/>
    <w:rsid w:val="00826CAA"/>
    <w:rsid w:val="00826CBB"/>
    <w:rsid w:val="00826CE8"/>
    <w:rsid w:val="00826E1B"/>
    <w:rsid w:val="00826E6A"/>
    <w:rsid w:val="00826F25"/>
    <w:rsid w:val="00826F82"/>
    <w:rsid w:val="00826FB3"/>
    <w:rsid w:val="008270A5"/>
    <w:rsid w:val="00827158"/>
    <w:rsid w:val="008271DA"/>
    <w:rsid w:val="0082724A"/>
    <w:rsid w:val="008272BB"/>
    <w:rsid w:val="0082734A"/>
    <w:rsid w:val="00827360"/>
    <w:rsid w:val="00827396"/>
    <w:rsid w:val="008273B1"/>
    <w:rsid w:val="00827461"/>
    <w:rsid w:val="00827503"/>
    <w:rsid w:val="008275C6"/>
    <w:rsid w:val="008275CA"/>
    <w:rsid w:val="0082761F"/>
    <w:rsid w:val="00827651"/>
    <w:rsid w:val="00827686"/>
    <w:rsid w:val="00827733"/>
    <w:rsid w:val="00827754"/>
    <w:rsid w:val="008277B2"/>
    <w:rsid w:val="00827814"/>
    <w:rsid w:val="008279F5"/>
    <w:rsid w:val="00827A51"/>
    <w:rsid w:val="00827ADC"/>
    <w:rsid w:val="00827AE6"/>
    <w:rsid w:val="00827B67"/>
    <w:rsid w:val="00827B80"/>
    <w:rsid w:val="00827BA9"/>
    <w:rsid w:val="00827D15"/>
    <w:rsid w:val="00827D21"/>
    <w:rsid w:val="00827D8B"/>
    <w:rsid w:val="00827DF7"/>
    <w:rsid w:val="0083006D"/>
    <w:rsid w:val="00830127"/>
    <w:rsid w:val="00830151"/>
    <w:rsid w:val="0083018B"/>
    <w:rsid w:val="008301C2"/>
    <w:rsid w:val="00830281"/>
    <w:rsid w:val="008302CB"/>
    <w:rsid w:val="00830340"/>
    <w:rsid w:val="008303FB"/>
    <w:rsid w:val="0083062F"/>
    <w:rsid w:val="008306A2"/>
    <w:rsid w:val="00830723"/>
    <w:rsid w:val="00830759"/>
    <w:rsid w:val="008308F7"/>
    <w:rsid w:val="00830956"/>
    <w:rsid w:val="0083095F"/>
    <w:rsid w:val="00830A75"/>
    <w:rsid w:val="00830A9A"/>
    <w:rsid w:val="00830B94"/>
    <w:rsid w:val="00830C03"/>
    <w:rsid w:val="00830C20"/>
    <w:rsid w:val="00830C72"/>
    <w:rsid w:val="00830C83"/>
    <w:rsid w:val="00830CF5"/>
    <w:rsid w:val="00830D63"/>
    <w:rsid w:val="00830D9B"/>
    <w:rsid w:val="00830DE5"/>
    <w:rsid w:val="00830E12"/>
    <w:rsid w:val="00830EA7"/>
    <w:rsid w:val="00830EB1"/>
    <w:rsid w:val="00830F52"/>
    <w:rsid w:val="00830FE5"/>
    <w:rsid w:val="00830FFF"/>
    <w:rsid w:val="00831008"/>
    <w:rsid w:val="00831135"/>
    <w:rsid w:val="0083114B"/>
    <w:rsid w:val="008311B8"/>
    <w:rsid w:val="008311F9"/>
    <w:rsid w:val="00831271"/>
    <w:rsid w:val="0083147D"/>
    <w:rsid w:val="008315C9"/>
    <w:rsid w:val="008316E3"/>
    <w:rsid w:val="0083180F"/>
    <w:rsid w:val="00831A37"/>
    <w:rsid w:val="00831AF9"/>
    <w:rsid w:val="00831B75"/>
    <w:rsid w:val="00831BBE"/>
    <w:rsid w:val="00831BC4"/>
    <w:rsid w:val="00831C5C"/>
    <w:rsid w:val="00831D6F"/>
    <w:rsid w:val="00831DB0"/>
    <w:rsid w:val="00831E16"/>
    <w:rsid w:val="00831E23"/>
    <w:rsid w:val="00831E3C"/>
    <w:rsid w:val="00831F75"/>
    <w:rsid w:val="00831FD8"/>
    <w:rsid w:val="008322B6"/>
    <w:rsid w:val="008322F6"/>
    <w:rsid w:val="00832362"/>
    <w:rsid w:val="0083237D"/>
    <w:rsid w:val="00832437"/>
    <w:rsid w:val="008325FC"/>
    <w:rsid w:val="00832697"/>
    <w:rsid w:val="008326E4"/>
    <w:rsid w:val="0083274C"/>
    <w:rsid w:val="0083293E"/>
    <w:rsid w:val="00832943"/>
    <w:rsid w:val="008329A7"/>
    <w:rsid w:val="00832B50"/>
    <w:rsid w:val="00832BAD"/>
    <w:rsid w:val="00832BC9"/>
    <w:rsid w:val="00832C0E"/>
    <w:rsid w:val="00832C78"/>
    <w:rsid w:val="00832C94"/>
    <w:rsid w:val="00832D18"/>
    <w:rsid w:val="00832D69"/>
    <w:rsid w:val="00832E85"/>
    <w:rsid w:val="00832EB1"/>
    <w:rsid w:val="00832EC4"/>
    <w:rsid w:val="00832F4B"/>
    <w:rsid w:val="00832F54"/>
    <w:rsid w:val="00832F93"/>
    <w:rsid w:val="0083302E"/>
    <w:rsid w:val="00833057"/>
    <w:rsid w:val="0083317D"/>
    <w:rsid w:val="008331A1"/>
    <w:rsid w:val="008331D2"/>
    <w:rsid w:val="008332DA"/>
    <w:rsid w:val="00833320"/>
    <w:rsid w:val="008333C5"/>
    <w:rsid w:val="008333F0"/>
    <w:rsid w:val="00833423"/>
    <w:rsid w:val="00833450"/>
    <w:rsid w:val="00833454"/>
    <w:rsid w:val="00833467"/>
    <w:rsid w:val="0083348D"/>
    <w:rsid w:val="008334D7"/>
    <w:rsid w:val="008334DD"/>
    <w:rsid w:val="0083355F"/>
    <w:rsid w:val="0083359E"/>
    <w:rsid w:val="008335F3"/>
    <w:rsid w:val="00833732"/>
    <w:rsid w:val="00833742"/>
    <w:rsid w:val="0083377F"/>
    <w:rsid w:val="00833788"/>
    <w:rsid w:val="008338CA"/>
    <w:rsid w:val="008338EB"/>
    <w:rsid w:val="0083398E"/>
    <w:rsid w:val="00833A9D"/>
    <w:rsid w:val="00833B45"/>
    <w:rsid w:val="00833B77"/>
    <w:rsid w:val="00833B93"/>
    <w:rsid w:val="00833BD7"/>
    <w:rsid w:val="00833CF5"/>
    <w:rsid w:val="00833D2A"/>
    <w:rsid w:val="00833D56"/>
    <w:rsid w:val="00833D6C"/>
    <w:rsid w:val="00833E59"/>
    <w:rsid w:val="00833E5D"/>
    <w:rsid w:val="00833EF9"/>
    <w:rsid w:val="00833F18"/>
    <w:rsid w:val="00833FF9"/>
    <w:rsid w:val="00834010"/>
    <w:rsid w:val="0083406D"/>
    <w:rsid w:val="008340AA"/>
    <w:rsid w:val="008341F4"/>
    <w:rsid w:val="00834243"/>
    <w:rsid w:val="0083427C"/>
    <w:rsid w:val="0083429A"/>
    <w:rsid w:val="008342F8"/>
    <w:rsid w:val="00834354"/>
    <w:rsid w:val="0083437F"/>
    <w:rsid w:val="00834490"/>
    <w:rsid w:val="008344FD"/>
    <w:rsid w:val="00834509"/>
    <w:rsid w:val="00834541"/>
    <w:rsid w:val="008345F6"/>
    <w:rsid w:val="008347E7"/>
    <w:rsid w:val="00834863"/>
    <w:rsid w:val="0083487B"/>
    <w:rsid w:val="0083488B"/>
    <w:rsid w:val="008348D5"/>
    <w:rsid w:val="00834904"/>
    <w:rsid w:val="008349FB"/>
    <w:rsid w:val="00834A04"/>
    <w:rsid w:val="00834A9B"/>
    <w:rsid w:val="00834B0D"/>
    <w:rsid w:val="00834BA8"/>
    <w:rsid w:val="00834C9F"/>
    <w:rsid w:val="00834CCA"/>
    <w:rsid w:val="00834D42"/>
    <w:rsid w:val="00834D8B"/>
    <w:rsid w:val="00834E0A"/>
    <w:rsid w:val="008350AB"/>
    <w:rsid w:val="008350CB"/>
    <w:rsid w:val="008351DE"/>
    <w:rsid w:val="008352F5"/>
    <w:rsid w:val="00835325"/>
    <w:rsid w:val="00835340"/>
    <w:rsid w:val="00835349"/>
    <w:rsid w:val="0083537A"/>
    <w:rsid w:val="008353BD"/>
    <w:rsid w:val="00835441"/>
    <w:rsid w:val="00835537"/>
    <w:rsid w:val="0083554E"/>
    <w:rsid w:val="0083555A"/>
    <w:rsid w:val="0083569C"/>
    <w:rsid w:val="008356A0"/>
    <w:rsid w:val="008356D7"/>
    <w:rsid w:val="0083577D"/>
    <w:rsid w:val="008357A8"/>
    <w:rsid w:val="008357AA"/>
    <w:rsid w:val="00835836"/>
    <w:rsid w:val="00835912"/>
    <w:rsid w:val="00835A4A"/>
    <w:rsid w:val="00835A5A"/>
    <w:rsid w:val="00835AAE"/>
    <w:rsid w:val="00835AD3"/>
    <w:rsid w:val="00835B12"/>
    <w:rsid w:val="00835B14"/>
    <w:rsid w:val="00835B33"/>
    <w:rsid w:val="00835B9B"/>
    <w:rsid w:val="00835BD5"/>
    <w:rsid w:val="00835C68"/>
    <w:rsid w:val="00835C7C"/>
    <w:rsid w:val="00835CA6"/>
    <w:rsid w:val="00835CCF"/>
    <w:rsid w:val="00835D2A"/>
    <w:rsid w:val="00835DF1"/>
    <w:rsid w:val="00835E76"/>
    <w:rsid w:val="00835F17"/>
    <w:rsid w:val="00835FC9"/>
    <w:rsid w:val="00835FF2"/>
    <w:rsid w:val="0083606D"/>
    <w:rsid w:val="008360ED"/>
    <w:rsid w:val="008361B4"/>
    <w:rsid w:val="0083628F"/>
    <w:rsid w:val="008362EB"/>
    <w:rsid w:val="008362EC"/>
    <w:rsid w:val="00836300"/>
    <w:rsid w:val="00836366"/>
    <w:rsid w:val="008363B9"/>
    <w:rsid w:val="00836467"/>
    <w:rsid w:val="0083648B"/>
    <w:rsid w:val="008364C6"/>
    <w:rsid w:val="00836677"/>
    <w:rsid w:val="008367BB"/>
    <w:rsid w:val="008368BE"/>
    <w:rsid w:val="00836ABC"/>
    <w:rsid w:val="00836B40"/>
    <w:rsid w:val="00836BE7"/>
    <w:rsid w:val="00836CE0"/>
    <w:rsid w:val="00836D42"/>
    <w:rsid w:val="00836D5A"/>
    <w:rsid w:val="00836E7B"/>
    <w:rsid w:val="00836F79"/>
    <w:rsid w:val="00836FB1"/>
    <w:rsid w:val="00836FC8"/>
    <w:rsid w:val="00837018"/>
    <w:rsid w:val="00837026"/>
    <w:rsid w:val="0083704B"/>
    <w:rsid w:val="00837079"/>
    <w:rsid w:val="0083720E"/>
    <w:rsid w:val="008373DD"/>
    <w:rsid w:val="00837445"/>
    <w:rsid w:val="008374CE"/>
    <w:rsid w:val="00837603"/>
    <w:rsid w:val="0083764D"/>
    <w:rsid w:val="008376A2"/>
    <w:rsid w:val="008376AB"/>
    <w:rsid w:val="008376B5"/>
    <w:rsid w:val="008376DD"/>
    <w:rsid w:val="00837768"/>
    <w:rsid w:val="008377E9"/>
    <w:rsid w:val="0083789B"/>
    <w:rsid w:val="00837967"/>
    <w:rsid w:val="00837973"/>
    <w:rsid w:val="00837988"/>
    <w:rsid w:val="00837A22"/>
    <w:rsid w:val="00837A61"/>
    <w:rsid w:val="00837BB2"/>
    <w:rsid w:val="00837BE1"/>
    <w:rsid w:val="00837DB0"/>
    <w:rsid w:val="00837E41"/>
    <w:rsid w:val="00837E68"/>
    <w:rsid w:val="00837EA0"/>
    <w:rsid w:val="00837F38"/>
    <w:rsid w:val="00837F50"/>
    <w:rsid w:val="00837F8D"/>
    <w:rsid w:val="00840045"/>
    <w:rsid w:val="00840054"/>
    <w:rsid w:val="008400EB"/>
    <w:rsid w:val="0084013B"/>
    <w:rsid w:val="008401C1"/>
    <w:rsid w:val="008401E3"/>
    <w:rsid w:val="008401F1"/>
    <w:rsid w:val="0084030C"/>
    <w:rsid w:val="00840396"/>
    <w:rsid w:val="008404E6"/>
    <w:rsid w:val="00840508"/>
    <w:rsid w:val="0084054D"/>
    <w:rsid w:val="00840563"/>
    <w:rsid w:val="008405E8"/>
    <w:rsid w:val="00840646"/>
    <w:rsid w:val="00840780"/>
    <w:rsid w:val="008407FC"/>
    <w:rsid w:val="0084088D"/>
    <w:rsid w:val="008408AD"/>
    <w:rsid w:val="008408DD"/>
    <w:rsid w:val="008408EF"/>
    <w:rsid w:val="00840936"/>
    <w:rsid w:val="008409A2"/>
    <w:rsid w:val="008409BF"/>
    <w:rsid w:val="008409C0"/>
    <w:rsid w:val="00840A11"/>
    <w:rsid w:val="00840AAA"/>
    <w:rsid w:val="00840B7F"/>
    <w:rsid w:val="00840BA3"/>
    <w:rsid w:val="00840C6D"/>
    <w:rsid w:val="00840C80"/>
    <w:rsid w:val="00840C9D"/>
    <w:rsid w:val="00840E7F"/>
    <w:rsid w:val="00840E86"/>
    <w:rsid w:val="00840E88"/>
    <w:rsid w:val="00840E8B"/>
    <w:rsid w:val="00840ECC"/>
    <w:rsid w:val="00840F50"/>
    <w:rsid w:val="00841008"/>
    <w:rsid w:val="0084119A"/>
    <w:rsid w:val="0084120C"/>
    <w:rsid w:val="00841266"/>
    <w:rsid w:val="0084132E"/>
    <w:rsid w:val="00841392"/>
    <w:rsid w:val="00841395"/>
    <w:rsid w:val="008414C6"/>
    <w:rsid w:val="00841514"/>
    <w:rsid w:val="00841596"/>
    <w:rsid w:val="008415C7"/>
    <w:rsid w:val="008415D4"/>
    <w:rsid w:val="008415E5"/>
    <w:rsid w:val="008416C5"/>
    <w:rsid w:val="0084172E"/>
    <w:rsid w:val="00841873"/>
    <w:rsid w:val="00841998"/>
    <w:rsid w:val="008419BA"/>
    <w:rsid w:val="00841AEC"/>
    <w:rsid w:val="00841B17"/>
    <w:rsid w:val="00841C7C"/>
    <w:rsid w:val="00841D34"/>
    <w:rsid w:val="00841D7E"/>
    <w:rsid w:val="00841E49"/>
    <w:rsid w:val="00841E99"/>
    <w:rsid w:val="00841F1D"/>
    <w:rsid w:val="00841F32"/>
    <w:rsid w:val="00841FEA"/>
    <w:rsid w:val="00842015"/>
    <w:rsid w:val="0084205D"/>
    <w:rsid w:val="008420A0"/>
    <w:rsid w:val="008420D5"/>
    <w:rsid w:val="008421F4"/>
    <w:rsid w:val="00842251"/>
    <w:rsid w:val="0084245D"/>
    <w:rsid w:val="00842464"/>
    <w:rsid w:val="008424DA"/>
    <w:rsid w:val="008424FB"/>
    <w:rsid w:val="0084250D"/>
    <w:rsid w:val="00842512"/>
    <w:rsid w:val="00842698"/>
    <w:rsid w:val="008426B1"/>
    <w:rsid w:val="00842743"/>
    <w:rsid w:val="00842758"/>
    <w:rsid w:val="00842801"/>
    <w:rsid w:val="0084284F"/>
    <w:rsid w:val="00842854"/>
    <w:rsid w:val="008428CE"/>
    <w:rsid w:val="00842948"/>
    <w:rsid w:val="00842A41"/>
    <w:rsid w:val="00842AA5"/>
    <w:rsid w:val="00842ACC"/>
    <w:rsid w:val="00842B08"/>
    <w:rsid w:val="00842B71"/>
    <w:rsid w:val="00842B80"/>
    <w:rsid w:val="00842BFB"/>
    <w:rsid w:val="00842C62"/>
    <w:rsid w:val="00842D02"/>
    <w:rsid w:val="00842E08"/>
    <w:rsid w:val="00842EF7"/>
    <w:rsid w:val="00842F53"/>
    <w:rsid w:val="00842FD2"/>
    <w:rsid w:val="00843015"/>
    <w:rsid w:val="00843034"/>
    <w:rsid w:val="00843070"/>
    <w:rsid w:val="008431C6"/>
    <w:rsid w:val="00843224"/>
    <w:rsid w:val="0084331F"/>
    <w:rsid w:val="00843334"/>
    <w:rsid w:val="00843340"/>
    <w:rsid w:val="0084343A"/>
    <w:rsid w:val="008436A3"/>
    <w:rsid w:val="008437E3"/>
    <w:rsid w:val="0084383D"/>
    <w:rsid w:val="0084385B"/>
    <w:rsid w:val="008438A1"/>
    <w:rsid w:val="0084392C"/>
    <w:rsid w:val="008439EC"/>
    <w:rsid w:val="00843AE8"/>
    <w:rsid w:val="00843D08"/>
    <w:rsid w:val="00843D6E"/>
    <w:rsid w:val="00843E30"/>
    <w:rsid w:val="00843E86"/>
    <w:rsid w:val="00843FDD"/>
    <w:rsid w:val="0084403B"/>
    <w:rsid w:val="00844073"/>
    <w:rsid w:val="008440EB"/>
    <w:rsid w:val="008440FD"/>
    <w:rsid w:val="00844135"/>
    <w:rsid w:val="008441F4"/>
    <w:rsid w:val="008442C0"/>
    <w:rsid w:val="0084437C"/>
    <w:rsid w:val="0084439E"/>
    <w:rsid w:val="008443E6"/>
    <w:rsid w:val="00844431"/>
    <w:rsid w:val="00844459"/>
    <w:rsid w:val="008444AE"/>
    <w:rsid w:val="00844613"/>
    <w:rsid w:val="0084464A"/>
    <w:rsid w:val="008446BA"/>
    <w:rsid w:val="008446C2"/>
    <w:rsid w:val="0084470B"/>
    <w:rsid w:val="00844735"/>
    <w:rsid w:val="00844743"/>
    <w:rsid w:val="00844776"/>
    <w:rsid w:val="00844819"/>
    <w:rsid w:val="0084481D"/>
    <w:rsid w:val="008449BB"/>
    <w:rsid w:val="00844A00"/>
    <w:rsid w:val="00844B3C"/>
    <w:rsid w:val="00844E14"/>
    <w:rsid w:val="00844EFC"/>
    <w:rsid w:val="00844F9C"/>
    <w:rsid w:val="00845009"/>
    <w:rsid w:val="00845211"/>
    <w:rsid w:val="00845325"/>
    <w:rsid w:val="0084534E"/>
    <w:rsid w:val="0084536D"/>
    <w:rsid w:val="0084546A"/>
    <w:rsid w:val="008454A0"/>
    <w:rsid w:val="008454C8"/>
    <w:rsid w:val="00845521"/>
    <w:rsid w:val="0084563F"/>
    <w:rsid w:val="008456B2"/>
    <w:rsid w:val="008456D1"/>
    <w:rsid w:val="008456F1"/>
    <w:rsid w:val="00845755"/>
    <w:rsid w:val="008457FE"/>
    <w:rsid w:val="00845882"/>
    <w:rsid w:val="008459CB"/>
    <w:rsid w:val="008459DC"/>
    <w:rsid w:val="008459FD"/>
    <w:rsid w:val="00845B93"/>
    <w:rsid w:val="00845B96"/>
    <w:rsid w:val="00845BCD"/>
    <w:rsid w:val="00845C36"/>
    <w:rsid w:val="00845C83"/>
    <w:rsid w:val="00845C8A"/>
    <w:rsid w:val="00845CD3"/>
    <w:rsid w:val="00845E16"/>
    <w:rsid w:val="00845E19"/>
    <w:rsid w:val="00845E3A"/>
    <w:rsid w:val="00845EA1"/>
    <w:rsid w:val="00845EB5"/>
    <w:rsid w:val="00845F96"/>
    <w:rsid w:val="00845FC4"/>
    <w:rsid w:val="00846085"/>
    <w:rsid w:val="00846087"/>
    <w:rsid w:val="008461AC"/>
    <w:rsid w:val="008461B4"/>
    <w:rsid w:val="0084623B"/>
    <w:rsid w:val="00846245"/>
    <w:rsid w:val="00846250"/>
    <w:rsid w:val="008462DA"/>
    <w:rsid w:val="00846326"/>
    <w:rsid w:val="0084635E"/>
    <w:rsid w:val="00846490"/>
    <w:rsid w:val="008465C4"/>
    <w:rsid w:val="008465E9"/>
    <w:rsid w:val="00846625"/>
    <w:rsid w:val="00846635"/>
    <w:rsid w:val="0084663E"/>
    <w:rsid w:val="00846696"/>
    <w:rsid w:val="008466B8"/>
    <w:rsid w:val="00846732"/>
    <w:rsid w:val="00846750"/>
    <w:rsid w:val="008467A7"/>
    <w:rsid w:val="008468B1"/>
    <w:rsid w:val="008468DB"/>
    <w:rsid w:val="008468FB"/>
    <w:rsid w:val="008469E9"/>
    <w:rsid w:val="00846A83"/>
    <w:rsid w:val="00846AF0"/>
    <w:rsid w:val="00846C19"/>
    <w:rsid w:val="00846CEC"/>
    <w:rsid w:val="00846D70"/>
    <w:rsid w:val="00846D9D"/>
    <w:rsid w:val="00846DAF"/>
    <w:rsid w:val="00846DB0"/>
    <w:rsid w:val="00846DFA"/>
    <w:rsid w:val="00846EBC"/>
    <w:rsid w:val="0084700C"/>
    <w:rsid w:val="00847061"/>
    <w:rsid w:val="0084707B"/>
    <w:rsid w:val="0084708F"/>
    <w:rsid w:val="00847164"/>
    <w:rsid w:val="00847222"/>
    <w:rsid w:val="008472B4"/>
    <w:rsid w:val="008472FA"/>
    <w:rsid w:val="0084730E"/>
    <w:rsid w:val="008473A0"/>
    <w:rsid w:val="008473AA"/>
    <w:rsid w:val="008473C8"/>
    <w:rsid w:val="00847564"/>
    <w:rsid w:val="008475C4"/>
    <w:rsid w:val="008475DC"/>
    <w:rsid w:val="008476FD"/>
    <w:rsid w:val="0084772C"/>
    <w:rsid w:val="0084776C"/>
    <w:rsid w:val="00847777"/>
    <w:rsid w:val="00847783"/>
    <w:rsid w:val="00847842"/>
    <w:rsid w:val="008479BF"/>
    <w:rsid w:val="00847B74"/>
    <w:rsid w:val="00847B8C"/>
    <w:rsid w:val="00847C01"/>
    <w:rsid w:val="00847C13"/>
    <w:rsid w:val="00847C55"/>
    <w:rsid w:val="00847D34"/>
    <w:rsid w:val="00847D57"/>
    <w:rsid w:val="00847FE7"/>
    <w:rsid w:val="0085002B"/>
    <w:rsid w:val="0085011B"/>
    <w:rsid w:val="00850189"/>
    <w:rsid w:val="008501B2"/>
    <w:rsid w:val="008501DC"/>
    <w:rsid w:val="00850275"/>
    <w:rsid w:val="0085035D"/>
    <w:rsid w:val="008503F1"/>
    <w:rsid w:val="0085041B"/>
    <w:rsid w:val="0085041E"/>
    <w:rsid w:val="0085047E"/>
    <w:rsid w:val="00850522"/>
    <w:rsid w:val="0085055B"/>
    <w:rsid w:val="008505CB"/>
    <w:rsid w:val="008506F3"/>
    <w:rsid w:val="008507C3"/>
    <w:rsid w:val="00850846"/>
    <w:rsid w:val="008509E2"/>
    <w:rsid w:val="00850AB1"/>
    <w:rsid w:val="00850ADB"/>
    <w:rsid w:val="00850B26"/>
    <w:rsid w:val="00850BA3"/>
    <w:rsid w:val="00850C0E"/>
    <w:rsid w:val="00850C43"/>
    <w:rsid w:val="00850CD4"/>
    <w:rsid w:val="00850DEA"/>
    <w:rsid w:val="00850E01"/>
    <w:rsid w:val="00850E0C"/>
    <w:rsid w:val="00850E49"/>
    <w:rsid w:val="00850F13"/>
    <w:rsid w:val="00850F20"/>
    <w:rsid w:val="00851081"/>
    <w:rsid w:val="008511BA"/>
    <w:rsid w:val="008511EC"/>
    <w:rsid w:val="0085122E"/>
    <w:rsid w:val="00851241"/>
    <w:rsid w:val="008512FD"/>
    <w:rsid w:val="008513F0"/>
    <w:rsid w:val="0085141C"/>
    <w:rsid w:val="00851456"/>
    <w:rsid w:val="00851464"/>
    <w:rsid w:val="008514D7"/>
    <w:rsid w:val="00851539"/>
    <w:rsid w:val="00851568"/>
    <w:rsid w:val="00851574"/>
    <w:rsid w:val="00851631"/>
    <w:rsid w:val="008516A9"/>
    <w:rsid w:val="008516B7"/>
    <w:rsid w:val="0085172E"/>
    <w:rsid w:val="0085183C"/>
    <w:rsid w:val="008518CD"/>
    <w:rsid w:val="008519F4"/>
    <w:rsid w:val="00851A3F"/>
    <w:rsid w:val="00851ABC"/>
    <w:rsid w:val="00851BC8"/>
    <w:rsid w:val="00851CE5"/>
    <w:rsid w:val="00851CE9"/>
    <w:rsid w:val="00851D3E"/>
    <w:rsid w:val="00851DDC"/>
    <w:rsid w:val="00851E1B"/>
    <w:rsid w:val="00851E1D"/>
    <w:rsid w:val="00851E6E"/>
    <w:rsid w:val="00851FE0"/>
    <w:rsid w:val="00852054"/>
    <w:rsid w:val="0085207F"/>
    <w:rsid w:val="00852092"/>
    <w:rsid w:val="0085218E"/>
    <w:rsid w:val="008521EC"/>
    <w:rsid w:val="00852216"/>
    <w:rsid w:val="0085229B"/>
    <w:rsid w:val="00852379"/>
    <w:rsid w:val="008523EF"/>
    <w:rsid w:val="00852450"/>
    <w:rsid w:val="00852550"/>
    <w:rsid w:val="008525B4"/>
    <w:rsid w:val="008525E3"/>
    <w:rsid w:val="008525ED"/>
    <w:rsid w:val="0085263E"/>
    <w:rsid w:val="0085270F"/>
    <w:rsid w:val="00852760"/>
    <w:rsid w:val="008527C6"/>
    <w:rsid w:val="008528EB"/>
    <w:rsid w:val="00852B27"/>
    <w:rsid w:val="00852B5A"/>
    <w:rsid w:val="00852C2F"/>
    <w:rsid w:val="00852CF3"/>
    <w:rsid w:val="00852D1C"/>
    <w:rsid w:val="00852DA0"/>
    <w:rsid w:val="00852DD9"/>
    <w:rsid w:val="00852DE6"/>
    <w:rsid w:val="00852DEE"/>
    <w:rsid w:val="00852E12"/>
    <w:rsid w:val="00852E3A"/>
    <w:rsid w:val="00852EC3"/>
    <w:rsid w:val="00853009"/>
    <w:rsid w:val="00853014"/>
    <w:rsid w:val="00853127"/>
    <w:rsid w:val="00853143"/>
    <w:rsid w:val="00853184"/>
    <w:rsid w:val="008531BE"/>
    <w:rsid w:val="00853245"/>
    <w:rsid w:val="0085327F"/>
    <w:rsid w:val="008533F2"/>
    <w:rsid w:val="0085342C"/>
    <w:rsid w:val="00853452"/>
    <w:rsid w:val="00853533"/>
    <w:rsid w:val="0085353E"/>
    <w:rsid w:val="008535AD"/>
    <w:rsid w:val="008535F9"/>
    <w:rsid w:val="0085367D"/>
    <w:rsid w:val="00853760"/>
    <w:rsid w:val="008537CB"/>
    <w:rsid w:val="0085381A"/>
    <w:rsid w:val="0085388C"/>
    <w:rsid w:val="00853A2C"/>
    <w:rsid w:val="00853A3A"/>
    <w:rsid w:val="00853A64"/>
    <w:rsid w:val="00853A93"/>
    <w:rsid w:val="00853BB1"/>
    <w:rsid w:val="00853BBE"/>
    <w:rsid w:val="00853C09"/>
    <w:rsid w:val="00853C2E"/>
    <w:rsid w:val="00853CD7"/>
    <w:rsid w:val="00853D22"/>
    <w:rsid w:val="00853DAF"/>
    <w:rsid w:val="00853E4E"/>
    <w:rsid w:val="00853E62"/>
    <w:rsid w:val="00853EA8"/>
    <w:rsid w:val="00853EE9"/>
    <w:rsid w:val="00853EF7"/>
    <w:rsid w:val="00854042"/>
    <w:rsid w:val="00854079"/>
    <w:rsid w:val="008540D6"/>
    <w:rsid w:val="00854109"/>
    <w:rsid w:val="00854180"/>
    <w:rsid w:val="008541F9"/>
    <w:rsid w:val="008542E3"/>
    <w:rsid w:val="0085431B"/>
    <w:rsid w:val="0085441C"/>
    <w:rsid w:val="00854491"/>
    <w:rsid w:val="008544AA"/>
    <w:rsid w:val="00854537"/>
    <w:rsid w:val="008546FF"/>
    <w:rsid w:val="00854742"/>
    <w:rsid w:val="0085483A"/>
    <w:rsid w:val="00854A6A"/>
    <w:rsid w:val="00854B15"/>
    <w:rsid w:val="00854B1E"/>
    <w:rsid w:val="00854B57"/>
    <w:rsid w:val="00854BAC"/>
    <w:rsid w:val="00854BFE"/>
    <w:rsid w:val="00854C3F"/>
    <w:rsid w:val="00854CB0"/>
    <w:rsid w:val="00854D2D"/>
    <w:rsid w:val="00854E1B"/>
    <w:rsid w:val="00854E66"/>
    <w:rsid w:val="00854E90"/>
    <w:rsid w:val="00854F2C"/>
    <w:rsid w:val="00855011"/>
    <w:rsid w:val="008550B5"/>
    <w:rsid w:val="00855172"/>
    <w:rsid w:val="008551B5"/>
    <w:rsid w:val="00855215"/>
    <w:rsid w:val="00855269"/>
    <w:rsid w:val="008552B0"/>
    <w:rsid w:val="0085536C"/>
    <w:rsid w:val="0085542E"/>
    <w:rsid w:val="00855509"/>
    <w:rsid w:val="00855610"/>
    <w:rsid w:val="00855616"/>
    <w:rsid w:val="008556F4"/>
    <w:rsid w:val="00855719"/>
    <w:rsid w:val="0085571E"/>
    <w:rsid w:val="008557EE"/>
    <w:rsid w:val="00855857"/>
    <w:rsid w:val="00855880"/>
    <w:rsid w:val="00855904"/>
    <w:rsid w:val="008559F1"/>
    <w:rsid w:val="00855A4F"/>
    <w:rsid w:val="00855A5A"/>
    <w:rsid w:val="00855A7E"/>
    <w:rsid w:val="00855CE5"/>
    <w:rsid w:val="00855D6E"/>
    <w:rsid w:val="00855DA5"/>
    <w:rsid w:val="00855DEC"/>
    <w:rsid w:val="00855E8B"/>
    <w:rsid w:val="00855EC2"/>
    <w:rsid w:val="00855F34"/>
    <w:rsid w:val="0085602F"/>
    <w:rsid w:val="008560F5"/>
    <w:rsid w:val="008561C8"/>
    <w:rsid w:val="008562BC"/>
    <w:rsid w:val="00856338"/>
    <w:rsid w:val="00856363"/>
    <w:rsid w:val="008563D9"/>
    <w:rsid w:val="00856601"/>
    <w:rsid w:val="00856707"/>
    <w:rsid w:val="008567F4"/>
    <w:rsid w:val="00856845"/>
    <w:rsid w:val="00856898"/>
    <w:rsid w:val="00856924"/>
    <w:rsid w:val="00856983"/>
    <w:rsid w:val="008569AE"/>
    <w:rsid w:val="00856BC2"/>
    <w:rsid w:val="00856BF1"/>
    <w:rsid w:val="00856C04"/>
    <w:rsid w:val="00856CCF"/>
    <w:rsid w:val="00856D9E"/>
    <w:rsid w:val="00856DBC"/>
    <w:rsid w:val="00856E99"/>
    <w:rsid w:val="00856FA2"/>
    <w:rsid w:val="00856FA8"/>
    <w:rsid w:val="0085714F"/>
    <w:rsid w:val="008571F5"/>
    <w:rsid w:val="0085723D"/>
    <w:rsid w:val="00857246"/>
    <w:rsid w:val="008572FD"/>
    <w:rsid w:val="00857355"/>
    <w:rsid w:val="00857467"/>
    <w:rsid w:val="008574C1"/>
    <w:rsid w:val="00857668"/>
    <w:rsid w:val="0085769C"/>
    <w:rsid w:val="008576A8"/>
    <w:rsid w:val="008576F8"/>
    <w:rsid w:val="00857713"/>
    <w:rsid w:val="00857792"/>
    <w:rsid w:val="00857799"/>
    <w:rsid w:val="008577E2"/>
    <w:rsid w:val="008577FC"/>
    <w:rsid w:val="00857969"/>
    <w:rsid w:val="0085798B"/>
    <w:rsid w:val="00857A49"/>
    <w:rsid w:val="00857D28"/>
    <w:rsid w:val="00857DBD"/>
    <w:rsid w:val="00857F34"/>
    <w:rsid w:val="00857F75"/>
    <w:rsid w:val="00857FA0"/>
    <w:rsid w:val="00857FA5"/>
    <w:rsid w:val="00860120"/>
    <w:rsid w:val="0086012D"/>
    <w:rsid w:val="008602AB"/>
    <w:rsid w:val="00860319"/>
    <w:rsid w:val="008603CB"/>
    <w:rsid w:val="008603DA"/>
    <w:rsid w:val="00860476"/>
    <w:rsid w:val="00860495"/>
    <w:rsid w:val="008604BC"/>
    <w:rsid w:val="008604DD"/>
    <w:rsid w:val="0086056E"/>
    <w:rsid w:val="00860573"/>
    <w:rsid w:val="00860628"/>
    <w:rsid w:val="008606C8"/>
    <w:rsid w:val="008606CB"/>
    <w:rsid w:val="00860722"/>
    <w:rsid w:val="00860741"/>
    <w:rsid w:val="0086081D"/>
    <w:rsid w:val="00860834"/>
    <w:rsid w:val="0086092B"/>
    <w:rsid w:val="0086093D"/>
    <w:rsid w:val="00860950"/>
    <w:rsid w:val="008609B7"/>
    <w:rsid w:val="00860B49"/>
    <w:rsid w:val="00860B81"/>
    <w:rsid w:val="00860BB7"/>
    <w:rsid w:val="00860CAA"/>
    <w:rsid w:val="00860D34"/>
    <w:rsid w:val="00860D5E"/>
    <w:rsid w:val="00860F1F"/>
    <w:rsid w:val="00860F35"/>
    <w:rsid w:val="0086101B"/>
    <w:rsid w:val="00861107"/>
    <w:rsid w:val="00861112"/>
    <w:rsid w:val="008612D4"/>
    <w:rsid w:val="00861329"/>
    <w:rsid w:val="0086135F"/>
    <w:rsid w:val="008613F4"/>
    <w:rsid w:val="008613F8"/>
    <w:rsid w:val="00861536"/>
    <w:rsid w:val="00861586"/>
    <w:rsid w:val="008617BD"/>
    <w:rsid w:val="008617DD"/>
    <w:rsid w:val="0086194A"/>
    <w:rsid w:val="00861B01"/>
    <w:rsid w:val="00861B35"/>
    <w:rsid w:val="00861BEE"/>
    <w:rsid w:val="00861C02"/>
    <w:rsid w:val="00861C04"/>
    <w:rsid w:val="00861D27"/>
    <w:rsid w:val="00861DF9"/>
    <w:rsid w:val="00861E2F"/>
    <w:rsid w:val="00861F4F"/>
    <w:rsid w:val="00861F54"/>
    <w:rsid w:val="00861FD1"/>
    <w:rsid w:val="00861FFA"/>
    <w:rsid w:val="00862143"/>
    <w:rsid w:val="0086223C"/>
    <w:rsid w:val="008622E5"/>
    <w:rsid w:val="008622F4"/>
    <w:rsid w:val="008624CF"/>
    <w:rsid w:val="0086259C"/>
    <w:rsid w:val="0086268F"/>
    <w:rsid w:val="00862696"/>
    <w:rsid w:val="00862716"/>
    <w:rsid w:val="008627B2"/>
    <w:rsid w:val="00862880"/>
    <w:rsid w:val="00862A86"/>
    <w:rsid w:val="00862B7A"/>
    <w:rsid w:val="00862CE2"/>
    <w:rsid w:val="00862D21"/>
    <w:rsid w:val="00862DFF"/>
    <w:rsid w:val="00862E30"/>
    <w:rsid w:val="00862E56"/>
    <w:rsid w:val="00862FA2"/>
    <w:rsid w:val="00862FB2"/>
    <w:rsid w:val="008630F6"/>
    <w:rsid w:val="0086313A"/>
    <w:rsid w:val="00863213"/>
    <w:rsid w:val="00863265"/>
    <w:rsid w:val="008632E3"/>
    <w:rsid w:val="0086330C"/>
    <w:rsid w:val="00863328"/>
    <w:rsid w:val="00863379"/>
    <w:rsid w:val="0086342B"/>
    <w:rsid w:val="008634A4"/>
    <w:rsid w:val="00863557"/>
    <w:rsid w:val="008635CD"/>
    <w:rsid w:val="008635E8"/>
    <w:rsid w:val="00863653"/>
    <w:rsid w:val="0086368B"/>
    <w:rsid w:val="00863693"/>
    <w:rsid w:val="00863709"/>
    <w:rsid w:val="00863758"/>
    <w:rsid w:val="00863788"/>
    <w:rsid w:val="0086382F"/>
    <w:rsid w:val="00863931"/>
    <w:rsid w:val="00863939"/>
    <w:rsid w:val="008639EE"/>
    <w:rsid w:val="00863AAA"/>
    <w:rsid w:val="00863ABC"/>
    <w:rsid w:val="00863AEB"/>
    <w:rsid w:val="00863AFA"/>
    <w:rsid w:val="00863BEC"/>
    <w:rsid w:val="00863C1C"/>
    <w:rsid w:val="00863CA6"/>
    <w:rsid w:val="00863D62"/>
    <w:rsid w:val="00863D78"/>
    <w:rsid w:val="00863DB9"/>
    <w:rsid w:val="00863F41"/>
    <w:rsid w:val="0086415E"/>
    <w:rsid w:val="00864163"/>
    <w:rsid w:val="0086417F"/>
    <w:rsid w:val="008641B1"/>
    <w:rsid w:val="0086421B"/>
    <w:rsid w:val="00864268"/>
    <w:rsid w:val="0086426A"/>
    <w:rsid w:val="008642AD"/>
    <w:rsid w:val="008642FA"/>
    <w:rsid w:val="0086435E"/>
    <w:rsid w:val="00864380"/>
    <w:rsid w:val="008643BA"/>
    <w:rsid w:val="008643BD"/>
    <w:rsid w:val="008643D0"/>
    <w:rsid w:val="0086440F"/>
    <w:rsid w:val="008644D0"/>
    <w:rsid w:val="008644D3"/>
    <w:rsid w:val="00864548"/>
    <w:rsid w:val="008645AE"/>
    <w:rsid w:val="00864794"/>
    <w:rsid w:val="008647F0"/>
    <w:rsid w:val="008647F6"/>
    <w:rsid w:val="008648C4"/>
    <w:rsid w:val="0086492F"/>
    <w:rsid w:val="0086496A"/>
    <w:rsid w:val="0086496D"/>
    <w:rsid w:val="008649E4"/>
    <w:rsid w:val="00864A69"/>
    <w:rsid w:val="00864B9D"/>
    <w:rsid w:val="00864BD6"/>
    <w:rsid w:val="00864CDA"/>
    <w:rsid w:val="00864CEA"/>
    <w:rsid w:val="00864CF8"/>
    <w:rsid w:val="00864D5E"/>
    <w:rsid w:val="00864D9D"/>
    <w:rsid w:val="00864DDB"/>
    <w:rsid w:val="00864EDC"/>
    <w:rsid w:val="00865028"/>
    <w:rsid w:val="0086512C"/>
    <w:rsid w:val="008652D0"/>
    <w:rsid w:val="0086534E"/>
    <w:rsid w:val="00865418"/>
    <w:rsid w:val="0086541F"/>
    <w:rsid w:val="0086544B"/>
    <w:rsid w:val="008654A6"/>
    <w:rsid w:val="00865538"/>
    <w:rsid w:val="0086562F"/>
    <w:rsid w:val="00865663"/>
    <w:rsid w:val="008656FD"/>
    <w:rsid w:val="00865734"/>
    <w:rsid w:val="00865746"/>
    <w:rsid w:val="00865761"/>
    <w:rsid w:val="00865767"/>
    <w:rsid w:val="00865844"/>
    <w:rsid w:val="0086589B"/>
    <w:rsid w:val="008658E6"/>
    <w:rsid w:val="00865AE5"/>
    <w:rsid w:val="00865AE9"/>
    <w:rsid w:val="00865B27"/>
    <w:rsid w:val="00865BA7"/>
    <w:rsid w:val="00865C03"/>
    <w:rsid w:val="00865C7D"/>
    <w:rsid w:val="00865DB3"/>
    <w:rsid w:val="00865DE4"/>
    <w:rsid w:val="00865EB0"/>
    <w:rsid w:val="00865F44"/>
    <w:rsid w:val="00865F7A"/>
    <w:rsid w:val="00865FA5"/>
    <w:rsid w:val="0086607B"/>
    <w:rsid w:val="008660C9"/>
    <w:rsid w:val="008660E0"/>
    <w:rsid w:val="0086616F"/>
    <w:rsid w:val="0086620F"/>
    <w:rsid w:val="0086646E"/>
    <w:rsid w:val="008664BD"/>
    <w:rsid w:val="008664D1"/>
    <w:rsid w:val="008664F3"/>
    <w:rsid w:val="008664FC"/>
    <w:rsid w:val="0086658F"/>
    <w:rsid w:val="008665AE"/>
    <w:rsid w:val="008665D8"/>
    <w:rsid w:val="008666AC"/>
    <w:rsid w:val="008666C6"/>
    <w:rsid w:val="008666DD"/>
    <w:rsid w:val="00866777"/>
    <w:rsid w:val="008667F7"/>
    <w:rsid w:val="0086697E"/>
    <w:rsid w:val="00866B15"/>
    <w:rsid w:val="00866B1A"/>
    <w:rsid w:val="00866BC9"/>
    <w:rsid w:val="00866BCB"/>
    <w:rsid w:val="00866BEC"/>
    <w:rsid w:val="00866D21"/>
    <w:rsid w:val="00866D77"/>
    <w:rsid w:val="00866D91"/>
    <w:rsid w:val="00866EA3"/>
    <w:rsid w:val="00866EF2"/>
    <w:rsid w:val="00866F91"/>
    <w:rsid w:val="00866FA8"/>
    <w:rsid w:val="008670E6"/>
    <w:rsid w:val="00867115"/>
    <w:rsid w:val="0086719B"/>
    <w:rsid w:val="008671CB"/>
    <w:rsid w:val="008671F6"/>
    <w:rsid w:val="0086725A"/>
    <w:rsid w:val="008672CC"/>
    <w:rsid w:val="008672FA"/>
    <w:rsid w:val="00867427"/>
    <w:rsid w:val="008674DE"/>
    <w:rsid w:val="00867573"/>
    <w:rsid w:val="0086769B"/>
    <w:rsid w:val="00867702"/>
    <w:rsid w:val="008678B9"/>
    <w:rsid w:val="00867A0E"/>
    <w:rsid w:val="00867A93"/>
    <w:rsid w:val="00867B0D"/>
    <w:rsid w:val="00867B3A"/>
    <w:rsid w:val="00867B3E"/>
    <w:rsid w:val="00867D32"/>
    <w:rsid w:val="00867D92"/>
    <w:rsid w:val="00867DBB"/>
    <w:rsid w:val="00867DC6"/>
    <w:rsid w:val="00867E5C"/>
    <w:rsid w:val="00867E8E"/>
    <w:rsid w:val="00867EEC"/>
    <w:rsid w:val="00867EFB"/>
    <w:rsid w:val="00867F08"/>
    <w:rsid w:val="00867F4A"/>
    <w:rsid w:val="00867FCB"/>
    <w:rsid w:val="00870009"/>
    <w:rsid w:val="00870024"/>
    <w:rsid w:val="0087004E"/>
    <w:rsid w:val="008700A2"/>
    <w:rsid w:val="0087011D"/>
    <w:rsid w:val="0087016E"/>
    <w:rsid w:val="008701EF"/>
    <w:rsid w:val="0087034F"/>
    <w:rsid w:val="008703B2"/>
    <w:rsid w:val="008703E5"/>
    <w:rsid w:val="00870444"/>
    <w:rsid w:val="008704D0"/>
    <w:rsid w:val="00870543"/>
    <w:rsid w:val="0087054A"/>
    <w:rsid w:val="0087056D"/>
    <w:rsid w:val="0087070C"/>
    <w:rsid w:val="00870723"/>
    <w:rsid w:val="008707D6"/>
    <w:rsid w:val="0087089E"/>
    <w:rsid w:val="008709AC"/>
    <w:rsid w:val="008709B7"/>
    <w:rsid w:val="008709F0"/>
    <w:rsid w:val="008709FB"/>
    <w:rsid w:val="00870A0A"/>
    <w:rsid w:val="00870B10"/>
    <w:rsid w:val="00870B52"/>
    <w:rsid w:val="00870BD8"/>
    <w:rsid w:val="00870BE5"/>
    <w:rsid w:val="00870C5C"/>
    <w:rsid w:val="00870DC8"/>
    <w:rsid w:val="00870DEC"/>
    <w:rsid w:val="00870E5A"/>
    <w:rsid w:val="00871016"/>
    <w:rsid w:val="0087102D"/>
    <w:rsid w:val="008711D7"/>
    <w:rsid w:val="0087126E"/>
    <w:rsid w:val="00871329"/>
    <w:rsid w:val="0087159A"/>
    <w:rsid w:val="00871602"/>
    <w:rsid w:val="00871675"/>
    <w:rsid w:val="00871831"/>
    <w:rsid w:val="00871849"/>
    <w:rsid w:val="008719D7"/>
    <w:rsid w:val="008719D9"/>
    <w:rsid w:val="00871B6E"/>
    <w:rsid w:val="00871B7D"/>
    <w:rsid w:val="00871D25"/>
    <w:rsid w:val="00871E7E"/>
    <w:rsid w:val="00871E96"/>
    <w:rsid w:val="00871F20"/>
    <w:rsid w:val="0087201E"/>
    <w:rsid w:val="008721BD"/>
    <w:rsid w:val="008721C4"/>
    <w:rsid w:val="008721CA"/>
    <w:rsid w:val="0087220A"/>
    <w:rsid w:val="0087237D"/>
    <w:rsid w:val="008723AE"/>
    <w:rsid w:val="00872459"/>
    <w:rsid w:val="008724C1"/>
    <w:rsid w:val="0087255E"/>
    <w:rsid w:val="0087277C"/>
    <w:rsid w:val="0087278D"/>
    <w:rsid w:val="008727F7"/>
    <w:rsid w:val="0087284B"/>
    <w:rsid w:val="008728CB"/>
    <w:rsid w:val="008728D4"/>
    <w:rsid w:val="00872915"/>
    <w:rsid w:val="008729B4"/>
    <w:rsid w:val="00872A28"/>
    <w:rsid w:val="00872A2E"/>
    <w:rsid w:val="00872B5D"/>
    <w:rsid w:val="00872C95"/>
    <w:rsid w:val="00872D21"/>
    <w:rsid w:val="00872E58"/>
    <w:rsid w:val="00872ECB"/>
    <w:rsid w:val="008730A7"/>
    <w:rsid w:val="008730B5"/>
    <w:rsid w:val="008730EE"/>
    <w:rsid w:val="0087310E"/>
    <w:rsid w:val="00873127"/>
    <w:rsid w:val="00873157"/>
    <w:rsid w:val="008731C0"/>
    <w:rsid w:val="00873250"/>
    <w:rsid w:val="0087325D"/>
    <w:rsid w:val="0087327A"/>
    <w:rsid w:val="008732CB"/>
    <w:rsid w:val="00873404"/>
    <w:rsid w:val="00873435"/>
    <w:rsid w:val="0087349B"/>
    <w:rsid w:val="008735D5"/>
    <w:rsid w:val="008736AE"/>
    <w:rsid w:val="008736C9"/>
    <w:rsid w:val="008736D6"/>
    <w:rsid w:val="0087376F"/>
    <w:rsid w:val="008737A8"/>
    <w:rsid w:val="008737B5"/>
    <w:rsid w:val="00873804"/>
    <w:rsid w:val="00873850"/>
    <w:rsid w:val="0087386E"/>
    <w:rsid w:val="008738B0"/>
    <w:rsid w:val="008738E0"/>
    <w:rsid w:val="0087397E"/>
    <w:rsid w:val="00873A0D"/>
    <w:rsid w:val="00873A56"/>
    <w:rsid w:val="00873AE5"/>
    <w:rsid w:val="00873BFB"/>
    <w:rsid w:val="00873C47"/>
    <w:rsid w:val="00873C8A"/>
    <w:rsid w:val="00873CC0"/>
    <w:rsid w:val="00873E06"/>
    <w:rsid w:val="00873EE7"/>
    <w:rsid w:val="00873F36"/>
    <w:rsid w:val="0087408E"/>
    <w:rsid w:val="008740CB"/>
    <w:rsid w:val="008740D8"/>
    <w:rsid w:val="0087410A"/>
    <w:rsid w:val="00874176"/>
    <w:rsid w:val="008741B0"/>
    <w:rsid w:val="00874206"/>
    <w:rsid w:val="00874297"/>
    <w:rsid w:val="00874381"/>
    <w:rsid w:val="008743FC"/>
    <w:rsid w:val="00874410"/>
    <w:rsid w:val="00874561"/>
    <w:rsid w:val="008745C2"/>
    <w:rsid w:val="00874605"/>
    <w:rsid w:val="00874685"/>
    <w:rsid w:val="0087473E"/>
    <w:rsid w:val="00874776"/>
    <w:rsid w:val="00874874"/>
    <w:rsid w:val="008748F7"/>
    <w:rsid w:val="0087495E"/>
    <w:rsid w:val="00874B28"/>
    <w:rsid w:val="00874E17"/>
    <w:rsid w:val="00874E31"/>
    <w:rsid w:val="00874E6B"/>
    <w:rsid w:val="00874F0B"/>
    <w:rsid w:val="00874F34"/>
    <w:rsid w:val="00874F36"/>
    <w:rsid w:val="008750A0"/>
    <w:rsid w:val="00875405"/>
    <w:rsid w:val="00875408"/>
    <w:rsid w:val="008754B5"/>
    <w:rsid w:val="00875571"/>
    <w:rsid w:val="00875592"/>
    <w:rsid w:val="008755B1"/>
    <w:rsid w:val="008755BF"/>
    <w:rsid w:val="008755C8"/>
    <w:rsid w:val="008755D2"/>
    <w:rsid w:val="00875667"/>
    <w:rsid w:val="008756DE"/>
    <w:rsid w:val="00875701"/>
    <w:rsid w:val="008757BC"/>
    <w:rsid w:val="008758D1"/>
    <w:rsid w:val="00875999"/>
    <w:rsid w:val="008759D9"/>
    <w:rsid w:val="00875B96"/>
    <w:rsid w:val="00875C01"/>
    <w:rsid w:val="00875C02"/>
    <w:rsid w:val="00875C12"/>
    <w:rsid w:val="00875E50"/>
    <w:rsid w:val="00875E5B"/>
    <w:rsid w:val="00876066"/>
    <w:rsid w:val="00876087"/>
    <w:rsid w:val="00876099"/>
    <w:rsid w:val="0087609D"/>
    <w:rsid w:val="0087613E"/>
    <w:rsid w:val="008761ED"/>
    <w:rsid w:val="00876212"/>
    <w:rsid w:val="008762C6"/>
    <w:rsid w:val="008762FD"/>
    <w:rsid w:val="0087638C"/>
    <w:rsid w:val="00876445"/>
    <w:rsid w:val="00876499"/>
    <w:rsid w:val="008765B8"/>
    <w:rsid w:val="0087664E"/>
    <w:rsid w:val="00876668"/>
    <w:rsid w:val="008767F8"/>
    <w:rsid w:val="00876892"/>
    <w:rsid w:val="0087691B"/>
    <w:rsid w:val="008769A7"/>
    <w:rsid w:val="00876A7A"/>
    <w:rsid w:val="00876ACB"/>
    <w:rsid w:val="00876C3C"/>
    <w:rsid w:val="00876C58"/>
    <w:rsid w:val="00876C89"/>
    <w:rsid w:val="00876E33"/>
    <w:rsid w:val="00877012"/>
    <w:rsid w:val="00877026"/>
    <w:rsid w:val="00877045"/>
    <w:rsid w:val="0087704F"/>
    <w:rsid w:val="00877104"/>
    <w:rsid w:val="00877116"/>
    <w:rsid w:val="00877157"/>
    <w:rsid w:val="008771B5"/>
    <w:rsid w:val="008771B6"/>
    <w:rsid w:val="008771D3"/>
    <w:rsid w:val="0087721D"/>
    <w:rsid w:val="008773D9"/>
    <w:rsid w:val="008773F4"/>
    <w:rsid w:val="0087740E"/>
    <w:rsid w:val="00877442"/>
    <w:rsid w:val="00877499"/>
    <w:rsid w:val="00877556"/>
    <w:rsid w:val="00877582"/>
    <w:rsid w:val="008775CB"/>
    <w:rsid w:val="008775D4"/>
    <w:rsid w:val="00877647"/>
    <w:rsid w:val="0087765D"/>
    <w:rsid w:val="008776AF"/>
    <w:rsid w:val="0087773C"/>
    <w:rsid w:val="00877778"/>
    <w:rsid w:val="008777EE"/>
    <w:rsid w:val="00877841"/>
    <w:rsid w:val="008778EC"/>
    <w:rsid w:val="00877A1A"/>
    <w:rsid w:val="00877A7C"/>
    <w:rsid w:val="00877A85"/>
    <w:rsid w:val="00877B88"/>
    <w:rsid w:val="00877C8B"/>
    <w:rsid w:val="00877CEF"/>
    <w:rsid w:val="00877DC2"/>
    <w:rsid w:val="00877E33"/>
    <w:rsid w:val="00877E43"/>
    <w:rsid w:val="00877E4B"/>
    <w:rsid w:val="00880043"/>
    <w:rsid w:val="00880083"/>
    <w:rsid w:val="008800D3"/>
    <w:rsid w:val="008800F7"/>
    <w:rsid w:val="00880155"/>
    <w:rsid w:val="008801AE"/>
    <w:rsid w:val="008802CA"/>
    <w:rsid w:val="00880363"/>
    <w:rsid w:val="008803AC"/>
    <w:rsid w:val="00880479"/>
    <w:rsid w:val="008804C2"/>
    <w:rsid w:val="008804DD"/>
    <w:rsid w:val="008805E5"/>
    <w:rsid w:val="0088064D"/>
    <w:rsid w:val="008806C3"/>
    <w:rsid w:val="00880739"/>
    <w:rsid w:val="008807B2"/>
    <w:rsid w:val="0088085E"/>
    <w:rsid w:val="0088086E"/>
    <w:rsid w:val="0088089C"/>
    <w:rsid w:val="0088098F"/>
    <w:rsid w:val="008809E5"/>
    <w:rsid w:val="00880AB3"/>
    <w:rsid w:val="00880ABB"/>
    <w:rsid w:val="00880B56"/>
    <w:rsid w:val="00880CC3"/>
    <w:rsid w:val="00880D58"/>
    <w:rsid w:val="00880DC7"/>
    <w:rsid w:val="00880E80"/>
    <w:rsid w:val="00880EA2"/>
    <w:rsid w:val="00880F24"/>
    <w:rsid w:val="00880FA2"/>
    <w:rsid w:val="00880FD0"/>
    <w:rsid w:val="00880FEA"/>
    <w:rsid w:val="0088102B"/>
    <w:rsid w:val="008810E3"/>
    <w:rsid w:val="008812B2"/>
    <w:rsid w:val="0088136F"/>
    <w:rsid w:val="008813B6"/>
    <w:rsid w:val="0088147B"/>
    <w:rsid w:val="0088162B"/>
    <w:rsid w:val="0088168D"/>
    <w:rsid w:val="0088169A"/>
    <w:rsid w:val="008816D7"/>
    <w:rsid w:val="00881854"/>
    <w:rsid w:val="008818C6"/>
    <w:rsid w:val="008818DE"/>
    <w:rsid w:val="008818E3"/>
    <w:rsid w:val="0088195C"/>
    <w:rsid w:val="00881A3E"/>
    <w:rsid w:val="00881B06"/>
    <w:rsid w:val="00881B53"/>
    <w:rsid w:val="00881BC2"/>
    <w:rsid w:val="00881CA9"/>
    <w:rsid w:val="00881D7C"/>
    <w:rsid w:val="00881DD8"/>
    <w:rsid w:val="00881E20"/>
    <w:rsid w:val="00881E24"/>
    <w:rsid w:val="00881E4B"/>
    <w:rsid w:val="00881EEB"/>
    <w:rsid w:val="00881F68"/>
    <w:rsid w:val="00881FB0"/>
    <w:rsid w:val="00882079"/>
    <w:rsid w:val="008820FF"/>
    <w:rsid w:val="0088214D"/>
    <w:rsid w:val="0088224C"/>
    <w:rsid w:val="00882291"/>
    <w:rsid w:val="008822D5"/>
    <w:rsid w:val="00882300"/>
    <w:rsid w:val="00882355"/>
    <w:rsid w:val="00882368"/>
    <w:rsid w:val="00882462"/>
    <w:rsid w:val="0088246F"/>
    <w:rsid w:val="0088250D"/>
    <w:rsid w:val="00882792"/>
    <w:rsid w:val="008827FC"/>
    <w:rsid w:val="00882957"/>
    <w:rsid w:val="0088297E"/>
    <w:rsid w:val="008829CC"/>
    <w:rsid w:val="00882A1E"/>
    <w:rsid w:val="00882B6E"/>
    <w:rsid w:val="00882BAB"/>
    <w:rsid w:val="00882C77"/>
    <w:rsid w:val="00882C84"/>
    <w:rsid w:val="00882CC4"/>
    <w:rsid w:val="00882D52"/>
    <w:rsid w:val="00882EA2"/>
    <w:rsid w:val="00882EAF"/>
    <w:rsid w:val="00882EDA"/>
    <w:rsid w:val="00882F80"/>
    <w:rsid w:val="00882FF7"/>
    <w:rsid w:val="00883047"/>
    <w:rsid w:val="00883193"/>
    <w:rsid w:val="0088328E"/>
    <w:rsid w:val="008833F5"/>
    <w:rsid w:val="00883468"/>
    <w:rsid w:val="00883497"/>
    <w:rsid w:val="008836E9"/>
    <w:rsid w:val="00883772"/>
    <w:rsid w:val="00883796"/>
    <w:rsid w:val="00883857"/>
    <w:rsid w:val="008838F8"/>
    <w:rsid w:val="0088397C"/>
    <w:rsid w:val="00883A2E"/>
    <w:rsid w:val="00883A3F"/>
    <w:rsid w:val="00883AD4"/>
    <w:rsid w:val="00883BEA"/>
    <w:rsid w:val="00883D17"/>
    <w:rsid w:val="00883D5E"/>
    <w:rsid w:val="00883E12"/>
    <w:rsid w:val="00883F41"/>
    <w:rsid w:val="00883FD0"/>
    <w:rsid w:val="0088408A"/>
    <w:rsid w:val="0088413E"/>
    <w:rsid w:val="00884159"/>
    <w:rsid w:val="008841D1"/>
    <w:rsid w:val="0088424A"/>
    <w:rsid w:val="00884256"/>
    <w:rsid w:val="0088440E"/>
    <w:rsid w:val="00884419"/>
    <w:rsid w:val="00884496"/>
    <w:rsid w:val="008844AC"/>
    <w:rsid w:val="008844C6"/>
    <w:rsid w:val="00884521"/>
    <w:rsid w:val="0088456C"/>
    <w:rsid w:val="0088456D"/>
    <w:rsid w:val="008845E2"/>
    <w:rsid w:val="008845E6"/>
    <w:rsid w:val="008845F4"/>
    <w:rsid w:val="0088462E"/>
    <w:rsid w:val="00884645"/>
    <w:rsid w:val="00884718"/>
    <w:rsid w:val="008847B1"/>
    <w:rsid w:val="0088480B"/>
    <w:rsid w:val="00884864"/>
    <w:rsid w:val="00884874"/>
    <w:rsid w:val="00884909"/>
    <w:rsid w:val="00884976"/>
    <w:rsid w:val="00884A07"/>
    <w:rsid w:val="00884A0A"/>
    <w:rsid w:val="00884A18"/>
    <w:rsid w:val="00884A73"/>
    <w:rsid w:val="00884B7E"/>
    <w:rsid w:val="00884BD8"/>
    <w:rsid w:val="00884CCC"/>
    <w:rsid w:val="00884D2F"/>
    <w:rsid w:val="00884D5D"/>
    <w:rsid w:val="00884D7B"/>
    <w:rsid w:val="00884E88"/>
    <w:rsid w:val="00884ED0"/>
    <w:rsid w:val="00885151"/>
    <w:rsid w:val="00885172"/>
    <w:rsid w:val="008851B8"/>
    <w:rsid w:val="0088520F"/>
    <w:rsid w:val="00885401"/>
    <w:rsid w:val="00885420"/>
    <w:rsid w:val="008854A0"/>
    <w:rsid w:val="008854FA"/>
    <w:rsid w:val="00885592"/>
    <w:rsid w:val="0088560D"/>
    <w:rsid w:val="0088571E"/>
    <w:rsid w:val="00885775"/>
    <w:rsid w:val="00885953"/>
    <w:rsid w:val="0088596E"/>
    <w:rsid w:val="008859D1"/>
    <w:rsid w:val="00885C05"/>
    <w:rsid w:val="00885CE0"/>
    <w:rsid w:val="00885D7B"/>
    <w:rsid w:val="00885E8E"/>
    <w:rsid w:val="00885ED8"/>
    <w:rsid w:val="00885FA4"/>
    <w:rsid w:val="00885FBA"/>
    <w:rsid w:val="00885FDB"/>
    <w:rsid w:val="0088621E"/>
    <w:rsid w:val="00886302"/>
    <w:rsid w:val="0088630B"/>
    <w:rsid w:val="00886327"/>
    <w:rsid w:val="008863C2"/>
    <w:rsid w:val="0088641E"/>
    <w:rsid w:val="00886494"/>
    <w:rsid w:val="008864C6"/>
    <w:rsid w:val="008865EA"/>
    <w:rsid w:val="00886675"/>
    <w:rsid w:val="008866C3"/>
    <w:rsid w:val="00886731"/>
    <w:rsid w:val="00886735"/>
    <w:rsid w:val="0088674B"/>
    <w:rsid w:val="0088676B"/>
    <w:rsid w:val="00886866"/>
    <w:rsid w:val="00886874"/>
    <w:rsid w:val="008868A0"/>
    <w:rsid w:val="0088691C"/>
    <w:rsid w:val="00886959"/>
    <w:rsid w:val="008869B6"/>
    <w:rsid w:val="00886A01"/>
    <w:rsid w:val="00886A3F"/>
    <w:rsid w:val="00886A57"/>
    <w:rsid w:val="00886A5E"/>
    <w:rsid w:val="00886AC0"/>
    <w:rsid w:val="00886B4B"/>
    <w:rsid w:val="00886B66"/>
    <w:rsid w:val="00886B7F"/>
    <w:rsid w:val="00886C5F"/>
    <w:rsid w:val="00886CB4"/>
    <w:rsid w:val="00886D08"/>
    <w:rsid w:val="00886DEC"/>
    <w:rsid w:val="00886F51"/>
    <w:rsid w:val="00886FC0"/>
    <w:rsid w:val="0088703E"/>
    <w:rsid w:val="008871A3"/>
    <w:rsid w:val="00887397"/>
    <w:rsid w:val="008873DF"/>
    <w:rsid w:val="008873E0"/>
    <w:rsid w:val="00887484"/>
    <w:rsid w:val="008874A6"/>
    <w:rsid w:val="00887505"/>
    <w:rsid w:val="00887732"/>
    <w:rsid w:val="00887746"/>
    <w:rsid w:val="008877CB"/>
    <w:rsid w:val="008877DB"/>
    <w:rsid w:val="00887912"/>
    <w:rsid w:val="00887A07"/>
    <w:rsid w:val="00887A39"/>
    <w:rsid w:val="00887B20"/>
    <w:rsid w:val="00887B5F"/>
    <w:rsid w:val="00887B6B"/>
    <w:rsid w:val="00887BAB"/>
    <w:rsid w:val="00887BD0"/>
    <w:rsid w:val="00887C27"/>
    <w:rsid w:val="00887C3E"/>
    <w:rsid w:val="00887C5B"/>
    <w:rsid w:val="00887CC0"/>
    <w:rsid w:val="00887CCF"/>
    <w:rsid w:val="00887CFE"/>
    <w:rsid w:val="00887D77"/>
    <w:rsid w:val="00887D94"/>
    <w:rsid w:val="00887DD5"/>
    <w:rsid w:val="00887DE0"/>
    <w:rsid w:val="00887EE8"/>
    <w:rsid w:val="00887F2D"/>
    <w:rsid w:val="00887FE4"/>
    <w:rsid w:val="00887FEF"/>
    <w:rsid w:val="00890018"/>
    <w:rsid w:val="008900E5"/>
    <w:rsid w:val="0089010D"/>
    <w:rsid w:val="008901B9"/>
    <w:rsid w:val="008901D6"/>
    <w:rsid w:val="008904E7"/>
    <w:rsid w:val="00890511"/>
    <w:rsid w:val="008905BB"/>
    <w:rsid w:val="0089064C"/>
    <w:rsid w:val="008906F2"/>
    <w:rsid w:val="0089079D"/>
    <w:rsid w:val="008908DF"/>
    <w:rsid w:val="00890929"/>
    <w:rsid w:val="00890954"/>
    <w:rsid w:val="008909F0"/>
    <w:rsid w:val="00890A95"/>
    <w:rsid w:val="00890A98"/>
    <w:rsid w:val="00890B26"/>
    <w:rsid w:val="00890BE9"/>
    <w:rsid w:val="00890C10"/>
    <w:rsid w:val="00890C11"/>
    <w:rsid w:val="00890C8B"/>
    <w:rsid w:val="00890D80"/>
    <w:rsid w:val="00890DF7"/>
    <w:rsid w:val="00890E10"/>
    <w:rsid w:val="00890F47"/>
    <w:rsid w:val="00890FE2"/>
    <w:rsid w:val="00891038"/>
    <w:rsid w:val="00891052"/>
    <w:rsid w:val="00891079"/>
    <w:rsid w:val="008910BE"/>
    <w:rsid w:val="008911F7"/>
    <w:rsid w:val="008912C0"/>
    <w:rsid w:val="00891319"/>
    <w:rsid w:val="00891338"/>
    <w:rsid w:val="008913BF"/>
    <w:rsid w:val="008914BE"/>
    <w:rsid w:val="0089154B"/>
    <w:rsid w:val="00891629"/>
    <w:rsid w:val="0089167A"/>
    <w:rsid w:val="008916B6"/>
    <w:rsid w:val="008916F5"/>
    <w:rsid w:val="0089172C"/>
    <w:rsid w:val="00891758"/>
    <w:rsid w:val="0089179C"/>
    <w:rsid w:val="008917CC"/>
    <w:rsid w:val="0089185A"/>
    <w:rsid w:val="00891890"/>
    <w:rsid w:val="008919B2"/>
    <w:rsid w:val="008919D8"/>
    <w:rsid w:val="00891C9C"/>
    <w:rsid w:val="00891DDA"/>
    <w:rsid w:val="00891ED1"/>
    <w:rsid w:val="00891FF3"/>
    <w:rsid w:val="00892005"/>
    <w:rsid w:val="008920C3"/>
    <w:rsid w:val="00892107"/>
    <w:rsid w:val="008921C3"/>
    <w:rsid w:val="00892372"/>
    <w:rsid w:val="0089244F"/>
    <w:rsid w:val="008924FC"/>
    <w:rsid w:val="0089250C"/>
    <w:rsid w:val="0089250E"/>
    <w:rsid w:val="00892532"/>
    <w:rsid w:val="008925ED"/>
    <w:rsid w:val="0089262E"/>
    <w:rsid w:val="00892722"/>
    <w:rsid w:val="00892733"/>
    <w:rsid w:val="008927A5"/>
    <w:rsid w:val="00892A86"/>
    <w:rsid w:val="00892B5D"/>
    <w:rsid w:val="00892BF7"/>
    <w:rsid w:val="00892C37"/>
    <w:rsid w:val="00892C43"/>
    <w:rsid w:val="00892E28"/>
    <w:rsid w:val="00892E75"/>
    <w:rsid w:val="00892EF1"/>
    <w:rsid w:val="00892F7E"/>
    <w:rsid w:val="0089303D"/>
    <w:rsid w:val="0089305B"/>
    <w:rsid w:val="008930F4"/>
    <w:rsid w:val="00893109"/>
    <w:rsid w:val="00893280"/>
    <w:rsid w:val="0089338E"/>
    <w:rsid w:val="0089340F"/>
    <w:rsid w:val="008935E5"/>
    <w:rsid w:val="00893612"/>
    <w:rsid w:val="00893634"/>
    <w:rsid w:val="008936B6"/>
    <w:rsid w:val="00893746"/>
    <w:rsid w:val="0089378A"/>
    <w:rsid w:val="008937EB"/>
    <w:rsid w:val="00893BDA"/>
    <w:rsid w:val="00893D20"/>
    <w:rsid w:val="00893DD0"/>
    <w:rsid w:val="00893E5C"/>
    <w:rsid w:val="00893EB7"/>
    <w:rsid w:val="00893ED3"/>
    <w:rsid w:val="00893F11"/>
    <w:rsid w:val="00893F2F"/>
    <w:rsid w:val="00893F87"/>
    <w:rsid w:val="008940B7"/>
    <w:rsid w:val="008940CC"/>
    <w:rsid w:val="008940EE"/>
    <w:rsid w:val="008940F8"/>
    <w:rsid w:val="0089416F"/>
    <w:rsid w:val="008941A4"/>
    <w:rsid w:val="0089425E"/>
    <w:rsid w:val="008942A1"/>
    <w:rsid w:val="008943FB"/>
    <w:rsid w:val="00894491"/>
    <w:rsid w:val="008944D9"/>
    <w:rsid w:val="008944DF"/>
    <w:rsid w:val="008944E0"/>
    <w:rsid w:val="00894536"/>
    <w:rsid w:val="00894546"/>
    <w:rsid w:val="00894620"/>
    <w:rsid w:val="0089463B"/>
    <w:rsid w:val="008946B4"/>
    <w:rsid w:val="00894783"/>
    <w:rsid w:val="008948FE"/>
    <w:rsid w:val="00894985"/>
    <w:rsid w:val="008949E7"/>
    <w:rsid w:val="00894AF5"/>
    <w:rsid w:val="00894B55"/>
    <w:rsid w:val="00894B95"/>
    <w:rsid w:val="00894C73"/>
    <w:rsid w:val="00894CDC"/>
    <w:rsid w:val="00894DC2"/>
    <w:rsid w:val="00894E95"/>
    <w:rsid w:val="00894FE9"/>
    <w:rsid w:val="00895112"/>
    <w:rsid w:val="00895150"/>
    <w:rsid w:val="00895153"/>
    <w:rsid w:val="008951DF"/>
    <w:rsid w:val="00895279"/>
    <w:rsid w:val="008952C2"/>
    <w:rsid w:val="008952D4"/>
    <w:rsid w:val="0089541E"/>
    <w:rsid w:val="00895679"/>
    <w:rsid w:val="008956C4"/>
    <w:rsid w:val="008956E7"/>
    <w:rsid w:val="00895759"/>
    <w:rsid w:val="0089591B"/>
    <w:rsid w:val="00895921"/>
    <w:rsid w:val="00895956"/>
    <w:rsid w:val="00895A00"/>
    <w:rsid w:val="00895A0E"/>
    <w:rsid w:val="00895A37"/>
    <w:rsid w:val="00895A82"/>
    <w:rsid w:val="00895ABA"/>
    <w:rsid w:val="00895ABD"/>
    <w:rsid w:val="00895ADB"/>
    <w:rsid w:val="00895BAD"/>
    <w:rsid w:val="00895C22"/>
    <w:rsid w:val="00895C31"/>
    <w:rsid w:val="00895DD8"/>
    <w:rsid w:val="00895DE9"/>
    <w:rsid w:val="00895EF9"/>
    <w:rsid w:val="00895FCB"/>
    <w:rsid w:val="0089609D"/>
    <w:rsid w:val="008960D0"/>
    <w:rsid w:val="008961F9"/>
    <w:rsid w:val="00896209"/>
    <w:rsid w:val="00896333"/>
    <w:rsid w:val="00896342"/>
    <w:rsid w:val="0089634F"/>
    <w:rsid w:val="00896370"/>
    <w:rsid w:val="00896691"/>
    <w:rsid w:val="008966A0"/>
    <w:rsid w:val="008966D4"/>
    <w:rsid w:val="0089678F"/>
    <w:rsid w:val="008967B0"/>
    <w:rsid w:val="00896919"/>
    <w:rsid w:val="00896A1B"/>
    <w:rsid w:val="00896A28"/>
    <w:rsid w:val="00896A30"/>
    <w:rsid w:val="00896AE1"/>
    <w:rsid w:val="00896AF5"/>
    <w:rsid w:val="00896B14"/>
    <w:rsid w:val="00896B40"/>
    <w:rsid w:val="00896C0F"/>
    <w:rsid w:val="00896C90"/>
    <w:rsid w:val="00896D8D"/>
    <w:rsid w:val="00896E23"/>
    <w:rsid w:val="00896E4C"/>
    <w:rsid w:val="00896E85"/>
    <w:rsid w:val="00896E94"/>
    <w:rsid w:val="00896EF5"/>
    <w:rsid w:val="00896F6D"/>
    <w:rsid w:val="00896FEA"/>
    <w:rsid w:val="00897163"/>
    <w:rsid w:val="0089721A"/>
    <w:rsid w:val="00897340"/>
    <w:rsid w:val="0089746D"/>
    <w:rsid w:val="0089748F"/>
    <w:rsid w:val="00897539"/>
    <w:rsid w:val="00897626"/>
    <w:rsid w:val="0089767E"/>
    <w:rsid w:val="008976B1"/>
    <w:rsid w:val="00897758"/>
    <w:rsid w:val="00897790"/>
    <w:rsid w:val="00897858"/>
    <w:rsid w:val="0089785F"/>
    <w:rsid w:val="00897905"/>
    <w:rsid w:val="00897906"/>
    <w:rsid w:val="00897958"/>
    <w:rsid w:val="0089795D"/>
    <w:rsid w:val="00897A6F"/>
    <w:rsid w:val="00897ADA"/>
    <w:rsid w:val="00897AEA"/>
    <w:rsid w:val="00897AFF"/>
    <w:rsid w:val="00897BD2"/>
    <w:rsid w:val="00897BF5"/>
    <w:rsid w:val="00897C14"/>
    <w:rsid w:val="00897C6C"/>
    <w:rsid w:val="00897D57"/>
    <w:rsid w:val="00897E37"/>
    <w:rsid w:val="00897E90"/>
    <w:rsid w:val="00897E9F"/>
    <w:rsid w:val="00897EEE"/>
    <w:rsid w:val="00897F34"/>
    <w:rsid w:val="008A00E4"/>
    <w:rsid w:val="008A00F1"/>
    <w:rsid w:val="008A0174"/>
    <w:rsid w:val="008A0181"/>
    <w:rsid w:val="008A01A0"/>
    <w:rsid w:val="008A0374"/>
    <w:rsid w:val="008A037C"/>
    <w:rsid w:val="008A0415"/>
    <w:rsid w:val="008A042A"/>
    <w:rsid w:val="008A0561"/>
    <w:rsid w:val="008A0574"/>
    <w:rsid w:val="008A06E6"/>
    <w:rsid w:val="008A075F"/>
    <w:rsid w:val="008A08B3"/>
    <w:rsid w:val="008A095D"/>
    <w:rsid w:val="008A0A67"/>
    <w:rsid w:val="008A0A93"/>
    <w:rsid w:val="008A0AFA"/>
    <w:rsid w:val="008A0B28"/>
    <w:rsid w:val="008A0B37"/>
    <w:rsid w:val="008A0B63"/>
    <w:rsid w:val="008A0E2E"/>
    <w:rsid w:val="008A0EDD"/>
    <w:rsid w:val="008A1006"/>
    <w:rsid w:val="008A102E"/>
    <w:rsid w:val="008A1198"/>
    <w:rsid w:val="008A11C8"/>
    <w:rsid w:val="008A1204"/>
    <w:rsid w:val="008A125A"/>
    <w:rsid w:val="008A1293"/>
    <w:rsid w:val="008A1327"/>
    <w:rsid w:val="008A132F"/>
    <w:rsid w:val="008A144B"/>
    <w:rsid w:val="008A1468"/>
    <w:rsid w:val="008A14E3"/>
    <w:rsid w:val="008A1503"/>
    <w:rsid w:val="008A15DA"/>
    <w:rsid w:val="008A166F"/>
    <w:rsid w:val="008A16C7"/>
    <w:rsid w:val="008A16EA"/>
    <w:rsid w:val="008A175E"/>
    <w:rsid w:val="008A176F"/>
    <w:rsid w:val="008A17F3"/>
    <w:rsid w:val="008A1852"/>
    <w:rsid w:val="008A187A"/>
    <w:rsid w:val="008A187B"/>
    <w:rsid w:val="008A19E5"/>
    <w:rsid w:val="008A1A87"/>
    <w:rsid w:val="008A1A96"/>
    <w:rsid w:val="008A1ABE"/>
    <w:rsid w:val="008A1AEC"/>
    <w:rsid w:val="008A1B01"/>
    <w:rsid w:val="008A1C2C"/>
    <w:rsid w:val="008A1CDB"/>
    <w:rsid w:val="008A1D3A"/>
    <w:rsid w:val="008A1D48"/>
    <w:rsid w:val="008A1D8C"/>
    <w:rsid w:val="008A1E43"/>
    <w:rsid w:val="008A1EDF"/>
    <w:rsid w:val="008A1EE1"/>
    <w:rsid w:val="008A1EF9"/>
    <w:rsid w:val="008A1F36"/>
    <w:rsid w:val="008A1FDA"/>
    <w:rsid w:val="008A2037"/>
    <w:rsid w:val="008A20E3"/>
    <w:rsid w:val="008A216F"/>
    <w:rsid w:val="008A2194"/>
    <w:rsid w:val="008A21EB"/>
    <w:rsid w:val="008A2224"/>
    <w:rsid w:val="008A22D4"/>
    <w:rsid w:val="008A2334"/>
    <w:rsid w:val="008A23CF"/>
    <w:rsid w:val="008A2442"/>
    <w:rsid w:val="008A24F8"/>
    <w:rsid w:val="008A2748"/>
    <w:rsid w:val="008A278A"/>
    <w:rsid w:val="008A27C5"/>
    <w:rsid w:val="008A27D4"/>
    <w:rsid w:val="008A27EB"/>
    <w:rsid w:val="008A2909"/>
    <w:rsid w:val="008A2957"/>
    <w:rsid w:val="008A297E"/>
    <w:rsid w:val="008A29E0"/>
    <w:rsid w:val="008A2C0F"/>
    <w:rsid w:val="008A2C37"/>
    <w:rsid w:val="008A2C40"/>
    <w:rsid w:val="008A2C52"/>
    <w:rsid w:val="008A2C7C"/>
    <w:rsid w:val="008A2CD7"/>
    <w:rsid w:val="008A2D9D"/>
    <w:rsid w:val="008A2DF4"/>
    <w:rsid w:val="008A2EAA"/>
    <w:rsid w:val="008A2EDD"/>
    <w:rsid w:val="008A2EFE"/>
    <w:rsid w:val="008A2F1E"/>
    <w:rsid w:val="008A317C"/>
    <w:rsid w:val="008A3198"/>
    <w:rsid w:val="008A31F3"/>
    <w:rsid w:val="008A32A7"/>
    <w:rsid w:val="008A32AE"/>
    <w:rsid w:val="008A3305"/>
    <w:rsid w:val="008A3318"/>
    <w:rsid w:val="008A3475"/>
    <w:rsid w:val="008A357D"/>
    <w:rsid w:val="008A3659"/>
    <w:rsid w:val="008A36C1"/>
    <w:rsid w:val="008A3730"/>
    <w:rsid w:val="008A374E"/>
    <w:rsid w:val="008A3751"/>
    <w:rsid w:val="008A381C"/>
    <w:rsid w:val="008A3837"/>
    <w:rsid w:val="008A38D8"/>
    <w:rsid w:val="008A390C"/>
    <w:rsid w:val="008A396B"/>
    <w:rsid w:val="008A39CE"/>
    <w:rsid w:val="008A3A9F"/>
    <w:rsid w:val="008A3B3E"/>
    <w:rsid w:val="008A3BA5"/>
    <w:rsid w:val="008A3C33"/>
    <w:rsid w:val="008A3C3C"/>
    <w:rsid w:val="008A3CD8"/>
    <w:rsid w:val="008A3F85"/>
    <w:rsid w:val="008A4081"/>
    <w:rsid w:val="008A408F"/>
    <w:rsid w:val="008A40EC"/>
    <w:rsid w:val="008A41A2"/>
    <w:rsid w:val="008A424C"/>
    <w:rsid w:val="008A42CF"/>
    <w:rsid w:val="008A42FC"/>
    <w:rsid w:val="008A4327"/>
    <w:rsid w:val="008A4349"/>
    <w:rsid w:val="008A444E"/>
    <w:rsid w:val="008A44DC"/>
    <w:rsid w:val="008A4503"/>
    <w:rsid w:val="008A4527"/>
    <w:rsid w:val="008A45EA"/>
    <w:rsid w:val="008A45F0"/>
    <w:rsid w:val="008A4653"/>
    <w:rsid w:val="008A46A9"/>
    <w:rsid w:val="008A4731"/>
    <w:rsid w:val="008A47E4"/>
    <w:rsid w:val="008A4862"/>
    <w:rsid w:val="008A495E"/>
    <w:rsid w:val="008A4A5C"/>
    <w:rsid w:val="008A4AEE"/>
    <w:rsid w:val="008A4B7C"/>
    <w:rsid w:val="008A4BD0"/>
    <w:rsid w:val="008A4CA8"/>
    <w:rsid w:val="008A4D6D"/>
    <w:rsid w:val="008A4DCA"/>
    <w:rsid w:val="008A4E75"/>
    <w:rsid w:val="008A4E91"/>
    <w:rsid w:val="008A4F53"/>
    <w:rsid w:val="008A4F69"/>
    <w:rsid w:val="008A4FD8"/>
    <w:rsid w:val="008A5010"/>
    <w:rsid w:val="008A5011"/>
    <w:rsid w:val="008A506A"/>
    <w:rsid w:val="008A5106"/>
    <w:rsid w:val="008A5254"/>
    <w:rsid w:val="008A52F5"/>
    <w:rsid w:val="008A52F7"/>
    <w:rsid w:val="008A532A"/>
    <w:rsid w:val="008A537C"/>
    <w:rsid w:val="008A538F"/>
    <w:rsid w:val="008A53D2"/>
    <w:rsid w:val="008A54AD"/>
    <w:rsid w:val="008A5503"/>
    <w:rsid w:val="008A554D"/>
    <w:rsid w:val="008A555E"/>
    <w:rsid w:val="008A55E6"/>
    <w:rsid w:val="008A55F9"/>
    <w:rsid w:val="008A58BF"/>
    <w:rsid w:val="008A58D0"/>
    <w:rsid w:val="008A58E7"/>
    <w:rsid w:val="008A5A67"/>
    <w:rsid w:val="008A5A6C"/>
    <w:rsid w:val="008A5B63"/>
    <w:rsid w:val="008A5BBF"/>
    <w:rsid w:val="008A5C96"/>
    <w:rsid w:val="008A5D12"/>
    <w:rsid w:val="008A5D3C"/>
    <w:rsid w:val="008A5E01"/>
    <w:rsid w:val="008A5FD9"/>
    <w:rsid w:val="008A60C4"/>
    <w:rsid w:val="008A60D4"/>
    <w:rsid w:val="008A6117"/>
    <w:rsid w:val="008A6180"/>
    <w:rsid w:val="008A61C5"/>
    <w:rsid w:val="008A6269"/>
    <w:rsid w:val="008A63DD"/>
    <w:rsid w:val="008A6424"/>
    <w:rsid w:val="008A64C8"/>
    <w:rsid w:val="008A657D"/>
    <w:rsid w:val="008A65B2"/>
    <w:rsid w:val="008A672A"/>
    <w:rsid w:val="008A67E4"/>
    <w:rsid w:val="008A6815"/>
    <w:rsid w:val="008A6899"/>
    <w:rsid w:val="008A68B6"/>
    <w:rsid w:val="008A68E1"/>
    <w:rsid w:val="008A6907"/>
    <w:rsid w:val="008A697E"/>
    <w:rsid w:val="008A6A6C"/>
    <w:rsid w:val="008A6AA7"/>
    <w:rsid w:val="008A6AD0"/>
    <w:rsid w:val="008A6BFF"/>
    <w:rsid w:val="008A6C09"/>
    <w:rsid w:val="008A6C29"/>
    <w:rsid w:val="008A6C32"/>
    <w:rsid w:val="008A6E92"/>
    <w:rsid w:val="008A6E9E"/>
    <w:rsid w:val="008A7066"/>
    <w:rsid w:val="008A70F8"/>
    <w:rsid w:val="008A71DB"/>
    <w:rsid w:val="008A71EB"/>
    <w:rsid w:val="008A7252"/>
    <w:rsid w:val="008A72F1"/>
    <w:rsid w:val="008A74AE"/>
    <w:rsid w:val="008A761F"/>
    <w:rsid w:val="008A77A4"/>
    <w:rsid w:val="008A7828"/>
    <w:rsid w:val="008A7838"/>
    <w:rsid w:val="008A784B"/>
    <w:rsid w:val="008A78C8"/>
    <w:rsid w:val="008A78D0"/>
    <w:rsid w:val="008A794A"/>
    <w:rsid w:val="008A7ADC"/>
    <w:rsid w:val="008A7B8B"/>
    <w:rsid w:val="008A7C5A"/>
    <w:rsid w:val="008A7C95"/>
    <w:rsid w:val="008A7CA5"/>
    <w:rsid w:val="008A7CE1"/>
    <w:rsid w:val="008A7DCC"/>
    <w:rsid w:val="008A7EA9"/>
    <w:rsid w:val="008A7F83"/>
    <w:rsid w:val="008B00A7"/>
    <w:rsid w:val="008B0130"/>
    <w:rsid w:val="008B0149"/>
    <w:rsid w:val="008B019D"/>
    <w:rsid w:val="008B021B"/>
    <w:rsid w:val="008B022D"/>
    <w:rsid w:val="008B027B"/>
    <w:rsid w:val="008B03C1"/>
    <w:rsid w:val="008B03DD"/>
    <w:rsid w:val="008B046E"/>
    <w:rsid w:val="008B051E"/>
    <w:rsid w:val="008B0544"/>
    <w:rsid w:val="008B0662"/>
    <w:rsid w:val="008B068A"/>
    <w:rsid w:val="008B06A4"/>
    <w:rsid w:val="008B0722"/>
    <w:rsid w:val="008B073B"/>
    <w:rsid w:val="008B079C"/>
    <w:rsid w:val="008B08EF"/>
    <w:rsid w:val="008B08F1"/>
    <w:rsid w:val="008B0964"/>
    <w:rsid w:val="008B0980"/>
    <w:rsid w:val="008B09D1"/>
    <w:rsid w:val="008B0A25"/>
    <w:rsid w:val="008B0A28"/>
    <w:rsid w:val="008B0A8A"/>
    <w:rsid w:val="008B0B39"/>
    <w:rsid w:val="008B0BC2"/>
    <w:rsid w:val="008B0C1E"/>
    <w:rsid w:val="008B0C21"/>
    <w:rsid w:val="008B0CF5"/>
    <w:rsid w:val="008B0EBE"/>
    <w:rsid w:val="008B0F25"/>
    <w:rsid w:val="008B0F31"/>
    <w:rsid w:val="008B0F79"/>
    <w:rsid w:val="008B0FB8"/>
    <w:rsid w:val="008B109C"/>
    <w:rsid w:val="008B10A9"/>
    <w:rsid w:val="008B1115"/>
    <w:rsid w:val="008B1240"/>
    <w:rsid w:val="008B1279"/>
    <w:rsid w:val="008B1352"/>
    <w:rsid w:val="008B13C7"/>
    <w:rsid w:val="008B140A"/>
    <w:rsid w:val="008B145B"/>
    <w:rsid w:val="008B14ED"/>
    <w:rsid w:val="008B158F"/>
    <w:rsid w:val="008B15E3"/>
    <w:rsid w:val="008B168D"/>
    <w:rsid w:val="008B16CF"/>
    <w:rsid w:val="008B17B8"/>
    <w:rsid w:val="008B18D1"/>
    <w:rsid w:val="008B198C"/>
    <w:rsid w:val="008B19D0"/>
    <w:rsid w:val="008B1AA5"/>
    <w:rsid w:val="008B1ACC"/>
    <w:rsid w:val="008B1AF4"/>
    <w:rsid w:val="008B1BB6"/>
    <w:rsid w:val="008B1DC4"/>
    <w:rsid w:val="008B1E3D"/>
    <w:rsid w:val="008B1FA2"/>
    <w:rsid w:val="008B202A"/>
    <w:rsid w:val="008B2055"/>
    <w:rsid w:val="008B205C"/>
    <w:rsid w:val="008B20ED"/>
    <w:rsid w:val="008B2188"/>
    <w:rsid w:val="008B21B6"/>
    <w:rsid w:val="008B2240"/>
    <w:rsid w:val="008B22BD"/>
    <w:rsid w:val="008B2426"/>
    <w:rsid w:val="008B25E1"/>
    <w:rsid w:val="008B26CE"/>
    <w:rsid w:val="008B2718"/>
    <w:rsid w:val="008B2729"/>
    <w:rsid w:val="008B287D"/>
    <w:rsid w:val="008B2919"/>
    <w:rsid w:val="008B294F"/>
    <w:rsid w:val="008B2962"/>
    <w:rsid w:val="008B2AA9"/>
    <w:rsid w:val="008B2B3C"/>
    <w:rsid w:val="008B2B92"/>
    <w:rsid w:val="008B2C83"/>
    <w:rsid w:val="008B2CA3"/>
    <w:rsid w:val="008B2CB2"/>
    <w:rsid w:val="008B2CDF"/>
    <w:rsid w:val="008B2CEE"/>
    <w:rsid w:val="008B2DC4"/>
    <w:rsid w:val="008B2E61"/>
    <w:rsid w:val="008B3091"/>
    <w:rsid w:val="008B31C9"/>
    <w:rsid w:val="008B32F8"/>
    <w:rsid w:val="008B337E"/>
    <w:rsid w:val="008B33B1"/>
    <w:rsid w:val="008B3491"/>
    <w:rsid w:val="008B3567"/>
    <w:rsid w:val="008B3627"/>
    <w:rsid w:val="008B3675"/>
    <w:rsid w:val="008B3784"/>
    <w:rsid w:val="008B37B4"/>
    <w:rsid w:val="008B3813"/>
    <w:rsid w:val="008B3850"/>
    <w:rsid w:val="008B3866"/>
    <w:rsid w:val="008B3934"/>
    <w:rsid w:val="008B3A4B"/>
    <w:rsid w:val="008B3ABA"/>
    <w:rsid w:val="008B3B36"/>
    <w:rsid w:val="008B3C3A"/>
    <w:rsid w:val="008B3E3F"/>
    <w:rsid w:val="008B3F1C"/>
    <w:rsid w:val="008B3F21"/>
    <w:rsid w:val="008B3F69"/>
    <w:rsid w:val="008B3FCF"/>
    <w:rsid w:val="008B4024"/>
    <w:rsid w:val="008B40C6"/>
    <w:rsid w:val="008B40D5"/>
    <w:rsid w:val="008B40E0"/>
    <w:rsid w:val="008B417B"/>
    <w:rsid w:val="008B4186"/>
    <w:rsid w:val="008B41BE"/>
    <w:rsid w:val="008B4203"/>
    <w:rsid w:val="008B425C"/>
    <w:rsid w:val="008B427A"/>
    <w:rsid w:val="008B42AF"/>
    <w:rsid w:val="008B4370"/>
    <w:rsid w:val="008B4398"/>
    <w:rsid w:val="008B4415"/>
    <w:rsid w:val="008B444E"/>
    <w:rsid w:val="008B4572"/>
    <w:rsid w:val="008B45AB"/>
    <w:rsid w:val="008B45BB"/>
    <w:rsid w:val="008B45EA"/>
    <w:rsid w:val="008B467D"/>
    <w:rsid w:val="008B46B7"/>
    <w:rsid w:val="008B4708"/>
    <w:rsid w:val="008B47FA"/>
    <w:rsid w:val="008B4869"/>
    <w:rsid w:val="008B48A1"/>
    <w:rsid w:val="008B48C7"/>
    <w:rsid w:val="008B48E8"/>
    <w:rsid w:val="008B4A0C"/>
    <w:rsid w:val="008B4A77"/>
    <w:rsid w:val="008B4A83"/>
    <w:rsid w:val="008B4D87"/>
    <w:rsid w:val="008B4D8B"/>
    <w:rsid w:val="008B4E42"/>
    <w:rsid w:val="008B4E54"/>
    <w:rsid w:val="008B4E7D"/>
    <w:rsid w:val="008B4E93"/>
    <w:rsid w:val="008B4EED"/>
    <w:rsid w:val="008B4FA9"/>
    <w:rsid w:val="008B506D"/>
    <w:rsid w:val="008B5191"/>
    <w:rsid w:val="008B51A5"/>
    <w:rsid w:val="008B51DB"/>
    <w:rsid w:val="008B5203"/>
    <w:rsid w:val="008B5374"/>
    <w:rsid w:val="008B54C0"/>
    <w:rsid w:val="008B5521"/>
    <w:rsid w:val="008B559D"/>
    <w:rsid w:val="008B5605"/>
    <w:rsid w:val="008B56A7"/>
    <w:rsid w:val="008B5758"/>
    <w:rsid w:val="008B5759"/>
    <w:rsid w:val="008B579F"/>
    <w:rsid w:val="008B5823"/>
    <w:rsid w:val="008B5843"/>
    <w:rsid w:val="008B5918"/>
    <w:rsid w:val="008B598A"/>
    <w:rsid w:val="008B5A20"/>
    <w:rsid w:val="008B5A76"/>
    <w:rsid w:val="008B5A7E"/>
    <w:rsid w:val="008B5A9C"/>
    <w:rsid w:val="008B5B00"/>
    <w:rsid w:val="008B5B19"/>
    <w:rsid w:val="008B5B82"/>
    <w:rsid w:val="008B5CAB"/>
    <w:rsid w:val="008B5D00"/>
    <w:rsid w:val="008B5D0A"/>
    <w:rsid w:val="008B5D58"/>
    <w:rsid w:val="008B609C"/>
    <w:rsid w:val="008B6143"/>
    <w:rsid w:val="008B618E"/>
    <w:rsid w:val="008B6192"/>
    <w:rsid w:val="008B61B8"/>
    <w:rsid w:val="008B62D7"/>
    <w:rsid w:val="008B62FD"/>
    <w:rsid w:val="008B6316"/>
    <w:rsid w:val="008B6457"/>
    <w:rsid w:val="008B6470"/>
    <w:rsid w:val="008B6644"/>
    <w:rsid w:val="008B66E8"/>
    <w:rsid w:val="008B67E9"/>
    <w:rsid w:val="008B68B4"/>
    <w:rsid w:val="008B68C8"/>
    <w:rsid w:val="008B68D0"/>
    <w:rsid w:val="008B6A6D"/>
    <w:rsid w:val="008B6B0A"/>
    <w:rsid w:val="008B6CF4"/>
    <w:rsid w:val="008B6D09"/>
    <w:rsid w:val="008B6D8F"/>
    <w:rsid w:val="008B6EA8"/>
    <w:rsid w:val="008B6F32"/>
    <w:rsid w:val="008B6F7E"/>
    <w:rsid w:val="008B6FCD"/>
    <w:rsid w:val="008B7068"/>
    <w:rsid w:val="008B70F1"/>
    <w:rsid w:val="008B70F4"/>
    <w:rsid w:val="008B72B7"/>
    <w:rsid w:val="008B72CB"/>
    <w:rsid w:val="008B72F7"/>
    <w:rsid w:val="008B7333"/>
    <w:rsid w:val="008B741B"/>
    <w:rsid w:val="008B7456"/>
    <w:rsid w:val="008B74C4"/>
    <w:rsid w:val="008B74E0"/>
    <w:rsid w:val="008B7527"/>
    <w:rsid w:val="008B7597"/>
    <w:rsid w:val="008B759A"/>
    <w:rsid w:val="008B75E9"/>
    <w:rsid w:val="008B779D"/>
    <w:rsid w:val="008B77C4"/>
    <w:rsid w:val="008B7817"/>
    <w:rsid w:val="008B78D6"/>
    <w:rsid w:val="008B79B3"/>
    <w:rsid w:val="008B79F4"/>
    <w:rsid w:val="008B7A0D"/>
    <w:rsid w:val="008B7B04"/>
    <w:rsid w:val="008B7B16"/>
    <w:rsid w:val="008B7B7E"/>
    <w:rsid w:val="008B7B95"/>
    <w:rsid w:val="008B7D0C"/>
    <w:rsid w:val="008B7DF5"/>
    <w:rsid w:val="008B7EE0"/>
    <w:rsid w:val="008B7FA4"/>
    <w:rsid w:val="008C003E"/>
    <w:rsid w:val="008C0053"/>
    <w:rsid w:val="008C00F8"/>
    <w:rsid w:val="008C0277"/>
    <w:rsid w:val="008C02C3"/>
    <w:rsid w:val="008C0333"/>
    <w:rsid w:val="008C037B"/>
    <w:rsid w:val="008C03FD"/>
    <w:rsid w:val="008C0587"/>
    <w:rsid w:val="008C05DA"/>
    <w:rsid w:val="008C06B3"/>
    <w:rsid w:val="008C0920"/>
    <w:rsid w:val="008C09EA"/>
    <w:rsid w:val="008C0A77"/>
    <w:rsid w:val="008C0ACB"/>
    <w:rsid w:val="008C0B04"/>
    <w:rsid w:val="008C0B3E"/>
    <w:rsid w:val="008C0B4A"/>
    <w:rsid w:val="008C0BF7"/>
    <w:rsid w:val="008C0C4E"/>
    <w:rsid w:val="008C0CC8"/>
    <w:rsid w:val="008C0CD1"/>
    <w:rsid w:val="008C0D98"/>
    <w:rsid w:val="008C0E14"/>
    <w:rsid w:val="008C0FD1"/>
    <w:rsid w:val="008C108D"/>
    <w:rsid w:val="008C10F0"/>
    <w:rsid w:val="008C1149"/>
    <w:rsid w:val="008C1171"/>
    <w:rsid w:val="008C12E5"/>
    <w:rsid w:val="008C13C2"/>
    <w:rsid w:val="008C13C9"/>
    <w:rsid w:val="008C142F"/>
    <w:rsid w:val="008C14A1"/>
    <w:rsid w:val="008C1509"/>
    <w:rsid w:val="008C1557"/>
    <w:rsid w:val="008C1584"/>
    <w:rsid w:val="008C15E0"/>
    <w:rsid w:val="008C16EB"/>
    <w:rsid w:val="008C16FF"/>
    <w:rsid w:val="008C170A"/>
    <w:rsid w:val="008C170B"/>
    <w:rsid w:val="008C1734"/>
    <w:rsid w:val="008C177A"/>
    <w:rsid w:val="008C1780"/>
    <w:rsid w:val="008C17CD"/>
    <w:rsid w:val="008C17D1"/>
    <w:rsid w:val="008C1861"/>
    <w:rsid w:val="008C18C2"/>
    <w:rsid w:val="008C19D9"/>
    <w:rsid w:val="008C1A90"/>
    <w:rsid w:val="008C1AB9"/>
    <w:rsid w:val="008C1B4B"/>
    <w:rsid w:val="008C1BBC"/>
    <w:rsid w:val="008C1BC2"/>
    <w:rsid w:val="008C1C27"/>
    <w:rsid w:val="008C1D1B"/>
    <w:rsid w:val="008C1DEE"/>
    <w:rsid w:val="008C1EB5"/>
    <w:rsid w:val="008C1F82"/>
    <w:rsid w:val="008C2028"/>
    <w:rsid w:val="008C2129"/>
    <w:rsid w:val="008C215A"/>
    <w:rsid w:val="008C21C1"/>
    <w:rsid w:val="008C21F6"/>
    <w:rsid w:val="008C2234"/>
    <w:rsid w:val="008C22DB"/>
    <w:rsid w:val="008C2352"/>
    <w:rsid w:val="008C2362"/>
    <w:rsid w:val="008C23FB"/>
    <w:rsid w:val="008C247F"/>
    <w:rsid w:val="008C248A"/>
    <w:rsid w:val="008C2595"/>
    <w:rsid w:val="008C25E2"/>
    <w:rsid w:val="008C2645"/>
    <w:rsid w:val="008C2689"/>
    <w:rsid w:val="008C270D"/>
    <w:rsid w:val="008C270F"/>
    <w:rsid w:val="008C299E"/>
    <w:rsid w:val="008C2AE5"/>
    <w:rsid w:val="008C2B92"/>
    <w:rsid w:val="008C2B94"/>
    <w:rsid w:val="008C2B9F"/>
    <w:rsid w:val="008C2BDE"/>
    <w:rsid w:val="008C2BF1"/>
    <w:rsid w:val="008C2C61"/>
    <w:rsid w:val="008C2CBB"/>
    <w:rsid w:val="008C2CC2"/>
    <w:rsid w:val="008C2CDA"/>
    <w:rsid w:val="008C2D7A"/>
    <w:rsid w:val="008C2ECE"/>
    <w:rsid w:val="008C2FA3"/>
    <w:rsid w:val="008C2FF5"/>
    <w:rsid w:val="008C30DD"/>
    <w:rsid w:val="008C31F1"/>
    <w:rsid w:val="008C31FA"/>
    <w:rsid w:val="008C3362"/>
    <w:rsid w:val="008C33C5"/>
    <w:rsid w:val="008C343D"/>
    <w:rsid w:val="008C3473"/>
    <w:rsid w:val="008C3569"/>
    <w:rsid w:val="008C366B"/>
    <w:rsid w:val="008C3690"/>
    <w:rsid w:val="008C36A0"/>
    <w:rsid w:val="008C39C1"/>
    <w:rsid w:val="008C3A64"/>
    <w:rsid w:val="008C3AE8"/>
    <w:rsid w:val="008C3B47"/>
    <w:rsid w:val="008C3C87"/>
    <w:rsid w:val="008C3CF4"/>
    <w:rsid w:val="008C3E09"/>
    <w:rsid w:val="008C3E1C"/>
    <w:rsid w:val="008C3E9C"/>
    <w:rsid w:val="008C40A4"/>
    <w:rsid w:val="008C40E5"/>
    <w:rsid w:val="008C4188"/>
    <w:rsid w:val="008C4209"/>
    <w:rsid w:val="008C42EE"/>
    <w:rsid w:val="008C435A"/>
    <w:rsid w:val="008C4468"/>
    <w:rsid w:val="008C4537"/>
    <w:rsid w:val="008C4599"/>
    <w:rsid w:val="008C4696"/>
    <w:rsid w:val="008C46CA"/>
    <w:rsid w:val="008C4742"/>
    <w:rsid w:val="008C480A"/>
    <w:rsid w:val="008C4851"/>
    <w:rsid w:val="008C490B"/>
    <w:rsid w:val="008C490F"/>
    <w:rsid w:val="008C4948"/>
    <w:rsid w:val="008C4979"/>
    <w:rsid w:val="008C4AD3"/>
    <w:rsid w:val="008C4AF3"/>
    <w:rsid w:val="008C4B21"/>
    <w:rsid w:val="008C4B79"/>
    <w:rsid w:val="008C4BBF"/>
    <w:rsid w:val="008C4BC2"/>
    <w:rsid w:val="008C4C2F"/>
    <w:rsid w:val="008C4C65"/>
    <w:rsid w:val="008C4C7C"/>
    <w:rsid w:val="008C4CE3"/>
    <w:rsid w:val="008C4D28"/>
    <w:rsid w:val="008C4D43"/>
    <w:rsid w:val="008C4E57"/>
    <w:rsid w:val="008C4F0F"/>
    <w:rsid w:val="008C4F64"/>
    <w:rsid w:val="008C4F79"/>
    <w:rsid w:val="008C4FF2"/>
    <w:rsid w:val="008C5132"/>
    <w:rsid w:val="008C5174"/>
    <w:rsid w:val="008C5193"/>
    <w:rsid w:val="008C5258"/>
    <w:rsid w:val="008C52AA"/>
    <w:rsid w:val="008C537C"/>
    <w:rsid w:val="008C53E3"/>
    <w:rsid w:val="008C53E4"/>
    <w:rsid w:val="008C54F9"/>
    <w:rsid w:val="008C56A2"/>
    <w:rsid w:val="008C576E"/>
    <w:rsid w:val="008C5822"/>
    <w:rsid w:val="008C5894"/>
    <w:rsid w:val="008C5A8D"/>
    <w:rsid w:val="008C5AAA"/>
    <w:rsid w:val="008C5AB6"/>
    <w:rsid w:val="008C5AF1"/>
    <w:rsid w:val="008C5B13"/>
    <w:rsid w:val="008C5B8C"/>
    <w:rsid w:val="008C5CDB"/>
    <w:rsid w:val="008C5D70"/>
    <w:rsid w:val="008C5D90"/>
    <w:rsid w:val="008C5E19"/>
    <w:rsid w:val="008C5E88"/>
    <w:rsid w:val="008C5EF1"/>
    <w:rsid w:val="008C5F6C"/>
    <w:rsid w:val="008C5F7B"/>
    <w:rsid w:val="008C5FE3"/>
    <w:rsid w:val="008C6050"/>
    <w:rsid w:val="008C60CE"/>
    <w:rsid w:val="008C60DE"/>
    <w:rsid w:val="008C60E6"/>
    <w:rsid w:val="008C616A"/>
    <w:rsid w:val="008C616C"/>
    <w:rsid w:val="008C61A3"/>
    <w:rsid w:val="008C61F0"/>
    <w:rsid w:val="008C61F8"/>
    <w:rsid w:val="008C6225"/>
    <w:rsid w:val="008C6266"/>
    <w:rsid w:val="008C62A6"/>
    <w:rsid w:val="008C62D3"/>
    <w:rsid w:val="008C6303"/>
    <w:rsid w:val="008C6382"/>
    <w:rsid w:val="008C638A"/>
    <w:rsid w:val="008C63E1"/>
    <w:rsid w:val="008C667D"/>
    <w:rsid w:val="008C66B6"/>
    <w:rsid w:val="008C66F6"/>
    <w:rsid w:val="008C676D"/>
    <w:rsid w:val="008C6809"/>
    <w:rsid w:val="008C68F9"/>
    <w:rsid w:val="008C6929"/>
    <w:rsid w:val="008C69A1"/>
    <w:rsid w:val="008C6ADC"/>
    <w:rsid w:val="008C6B61"/>
    <w:rsid w:val="008C6BEB"/>
    <w:rsid w:val="008C6CA0"/>
    <w:rsid w:val="008C6CCC"/>
    <w:rsid w:val="008C6DD1"/>
    <w:rsid w:val="008C6E5D"/>
    <w:rsid w:val="008C6EFD"/>
    <w:rsid w:val="008C6FDF"/>
    <w:rsid w:val="008C7053"/>
    <w:rsid w:val="008C707E"/>
    <w:rsid w:val="008C7093"/>
    <w:rsid w:val="008C70A6"/>
    <w:rsid w:val="008C710E"/>
    <w:rsid w:val="008C7170"/>
    <w:rsid w:val="008C71A7"/>
    <w:rsid w:val="008C7218"/>
    <w:rsid w:val="008C7339"/>
    <w:rsid w:val="008C74D7"/>
    <w:rsid w:val="008C74FB"/>
    <w:rsid w:val="008C75ED"/>
    <w:rsid w:val="008C7749"/>
    <w:rsid w:val="008C77DF"/>
    <w:rsid w:val="008C78B9"/>
    <w:rsid w:val="008C793E"/>
    <w:rsid w:val="008C7971"/>
    <w:rsid w:val="008C7976"/>
    <w:rsid w:val="008C7996"/>
    <w:rsid w:val="008C79D5"/>
    <w:rsid w:val="008C7B77"/>
    <w:rsid w:val="008C7C99"/>
    <w:rsid w:val="008C7CF9"/>
    <w:rsid w:val="008C7D13"/>
    <w:rsid w:val="008C7E18"/>
    <w:rsid w:val="008C7E4F"/>
    <w:rsid w:val="008C7E86"/>
    <w:rsid w:val="008C7F71"/>
    <w:rsid w:val="008D0014"/>
    <w:rsid w:val="008D0091"/>
    <w:rsid w:val="008D015D"/>
    <w:rsid w:val="008D01D5"/>
    <w:rsid w:val="008D02D2"/>
    <w:rsid w:val="008D0310"/>
    <w:rsid w:val="008D03C9"/>
    <w:rsid w:val="008D0411"/>
    <w:rsid w:val="008D041A"/>
    <w:rsid w:val="008D0425"/>
    <w:rsid w:val="008D0430"/>
    <w:rsid w:val="008D0456"/>
    <w:rsid w:val="008D0518"/>
    <w:rsid w:val="008D05E2"/>
    <w:rsid w:val="008D07B2"/>
    <w:rsid w:val="008D080E"/>
    <w:rsid w:val="008D0832"/>
    <w:rsid w:val="008D08BB"/>
    <w:rsid w:val="008D094F"/>
    <w:rsid w:val="008D09B0"/>
    <w:rsid w:val="008D0A0C"/>
    <w:rsid w:val="008D0A88"/>
    <w:rsid w:val="008D0AEC"/>
    <w:rsid w:val="008D0AFD"/>
    <w:rsid w:val="008D0B7F"/>
    <w:rsid w:val="008D0C61"/>
    <w:rsid w:val="008D0CE7"/>
    <w:rsid w:val="008D0D24"/>
    <w:rsid w:val="008D0D33"/>
    <w:rsid w:val="008D0D39"/>
    <w:rsid w:val="008D0DBB"/>
    <w:rsid w:val="008D0E1A"/>
    <w:rsid w:val="008D0EF6"/>
    <w:rsid w:val="008D1000"/>
    <w:rsid w:val="008D1048"/>
    <w:rsid w:val="008D1125"/>
    <w:rsid w:val="008D1177"/>
    <w:rsid w:val="008D11A9"/>
    <w:rsid w:val="008D12DC"/>
    <w:rsid w:val="008D1303"/>
    <w:rsid w:val="008D1331"/>
    <w:rsid w:val="008D13B2"/>
    <w:rsid w:val="008D142B"/>
    <w:rsid w:val="008D143A"/>
    <w:rsid w:val="008D1452"/>
    <w:rsid w:val="008D14FE"/>
    <w:rsid w:val="008D1578"/>
    <w:rsid w:val="008D15EC"/>
    <w:rsid w:val="008D1617"/>
    <w:rsid w:val="008D16CE"/>
    <w:rsid w:val="008D16F1"/>
    <w:rsid w:val="008D16F2"/>
    <w:rsid w:val="008D1798"/>
    <w:rsid w:val="008D1863"/>
    <w:rsid w:val="008D1934"/>
    <w:rsid w:val="008D1964"/>
    <w:rsid w:val="008D1A33"/>
    <w:rsid w:val="008D1B1D"/>
    <w:rsid w:val="008D1B49"/>
    <w:rsid w:val="008D1B71"/>
    <w:rsid w:val="008D1BF4"/>
    <w:rsid w:val="008D1CCB"/>
    <w:rsid w:val="008D1D1C"/>
    <w:rsid w:val="008D1E53"/>
    <w:rsid w:val="008D1EAF"/>
    <w:rsid w:val="008D1EEF"/>
    <w:rsid w:val="008D1F05"/>
    <w:rsid w:val="008D1F53"/>
    <w:rsid w:val="008D2159"/>
    <w:rsid w:val="008D2162"/>
    <w:rsid w:val="008D2230"/>
    <w:rsid w:val="008D227C"/>
    <w:rsid w:val="008D22C5"/>
    <w:rsid w:val="008D2319"/>
    <w:rsid w:val="008D2345"/>
    <w:rsid w:val="008D2351"/>
    <w:rsid w:val="008D23B8"/>
    <w:rsid w:val="008D2422"/>
    <w:rsid w:val="008D24F1"/>
    <w:rsid w:val="008D265B"/>
    <w:rsid w:val="008D26A9"/>
    <w:rsid w:val="008D275C"/>
    <w:rsid w:val="008D2A82"/>
    <w:rsid w:val="008D2B5A"/>
    <w:rsid w:val="008D2B6E"/>
    <w:rsid w:val="008D2B80"/>
    <w:rsid w:val="008D2BE3"/>
    <w:rsid w:val="008D2C92"/>
    <w:rsid w:val="008D2CE6"/>
    <w:rsid w:val="008D2D5D"/>
    <w:rsid w:val="008D2D8F"/>
    <w:rsid w:val="008D2E5B"/>
    <w:rsid w:val="008D2E5F"/>
    <w:rsid w:val="008D2EB2"/>
    <w:rsid w:val="008D2F90"/>
    <w:rsid w:val="008D2FD2"/>
    <w:rsid w:val="008D3066"/>
    <w:rsid w:val="008D30E3"/>
    <w:rsid w:val="008D3153"/>
    <w:rsid w:val="008D3194"/>
    <w:rsid w:val="008D31D4"/>
    <w:rsid w:val="008D324D"/>
    <w:rsid w:val="008D329C"/>
    <w:rsid w:val="008D339F"/>
    <w:rsid w:val="008D3472"/>
    <w:rsid w:val="008D34F6"/>
    <w:rsid w:val="008D3629"/>
    <w:rsid w:val="008D36BB"/>
    <w:rsid w:val="008D36BD"/>
    <w:rsid w:val="008D36D2"/>
    <w:rsid w:val="008D36E1"/>
    <w:rsid w:val="008D36F9"/>
    <w:rsid w:val="008D371B"/>
    <w:rsid w:val="008D37AF"/>
    <w:rsid w:val="008D37E7"/>
    <w:rsid w:val="008D37E9"/>
    <w:rsid w:val="008D3958"/>
    <w:rsid w:val="008D3AC4"/>
    <w:rsid w:val="008D3B97"/>
    <w:rsid w:val="008D3BB8"/>
    <w:rsid w:val="008D3C25"/>
    <w:rsid w:val="008D3D36"/>
    <w:rsid w:val="008D3DFD"/>
    <w:rsid w:val="008D3E35"/>
    <w:rsid w:val="008D3E45"/>
    <w:rsid w:val="008D3E58"/>
    <w:rsid w:val="008D3E8F"/>
    <w:rsid w:val="008D3F18"/>
    <w:rsid w:val="008D3FEF"/>
    <w:rsid w:val="008D4012"/>
    <w:rsid w:val="008D4163"/>
    <w:rsid w:val="008D4191"/>
    <w:rsid w:val="008D4208"/>
    <w:rsid w:val="008D42BE"/>
    <w:rsid w:val="008D4374"/>
    <w:rsid w:val="008D43F1"/>
    <w:rsid w:val="008D4427"/>
    <w:rsid w:val="008D44D6"/>
    <w:rsid w:val="008D455F"/>
    <w:rsid w:val="008D4573"/>
    <w:rsid w:val="008D4602"/>
    <w:rsid w:val="008D468F"/>
    <w:rsid w:val="008D4792"/>
    <w:rsid w:val="008D4810"/>
    <w:rsid w:val="008D4851"/>
    <w:rsid w:val="008D4910"/>
    <w:rsid w:val="008D492A"/>
    <w:rsid w:val="008D493D"/>
    <w:rsid w:val="008D49AB"/>
    <w:rsid w:val="008D4A3F"/>
    <w:rsid w:val="008D4A6E"/>
    <w:rsid w:val="008D4AB9"/>
    <w:rsid w:val="008D4B69"/>
    <w:rsid w:val="008D4D0E"/>
    <w:rsid w:val="008D4D7F"/>
    <w:rsid w:val="008D4D89"/>
    <w:rsid w:val="008D4D8A"/>
    <w:rsid w:val="008D4DBC"/>
    <w:rsid w:val="008D4F18"/>
    <w:rsid w:val="008D4F5D"/>
    <w:rsid w:val="008D4FA9"/>
    <w:rsid w:val="008D500E"/>
    <w:rsid w:val="008D51A3"/>
    <w:rsid w:val="008D520C"/>
    <w:rsid w:val="008D522A"/>
    <w:rsid w:val="008D5305"/>
    <w:rsid w:val="008D538D"/>
    <w:rsid w:val="008D53D1"/>
    <w:rsid w:val="008D53DA"/>
    <w:rsid w:val="008D53EB"/>
    <w:rsid w:val="008D53EF"/>
    <w:rsid w:val="008D546D"/>
    <w:rsid w:val="008D5600"/>
    <w:rsid w:val="008D5603"/>
    <w:rsid w:val="008D56EA"/>
    <w:rsid w:val="008D5704"/>
    <w:rsid w:val="008D5796"/>
    <w:rsid w:val="008D581C"/>
    <w:rsid w:val="008D5844"/>
    <w:rsid w:val="008D58BA"/>
    <w:rsid w:val="008D58C6"/>
    <w:rsid w:val="008D58EE"/>
    <w:rsid w:val="008D5953"/>
    <w:rsid w:val="008D59CE"/>
    <w:rsid w:val="008D59DA"/>
    <w:rsid w:val="008D5A71"/>
    <w:rsid w:val="008D5AFB"/>
    <w:rsid w:val="008D5BCC"/>
    <w:rsid w:val="008D5C66"/>
    <w:rsid w:val="008D5C8B"/>
    <w:rsid w:val="008D5D9E"/>
    <w:rsid w:val="008D5DBF"/>
    <w:rsid w:val="008D5DCF"/>
    <w:rsid w:val="008D5DD0"/>
    <w:rsid w:val="008D5DFF"/>
    <w:rsid w:val="008D5EF4"/>
    <w:rsid w:val="008D61C0"/>
    <w:rsid w:val="008D6224"/>
    <w:rsid w:val="008D638C"/>
    <w:rsid w:val="008D6453"/>
    <w:rsid w:val="008D650C"/>
    <w:rsid w:val="008D6662"/>
    <w:rsid w:val="008D66A9"/>
    <w:rsid w:val="008D687C"/>
    <w:rsid w:val="008D687F"/>
    <w:rsid w:val="008D6B13"/>
    <w:rsid w:val="008D6C70"/>
    <w:rsid w:val="008D6D21"/>
    <w:rsid w:val="008D6DFD"/>
    <w:rsid w:val="008D6E6A"/>
    <w:rsid w:val="008D6F16"/>
    <w:rsid w:val="008D7184"/>
    <w:rsid w:val="008D7312"/>
    <w:rsid w:val="008D734C"/>
    <w:rsid w:val="008D73A2"/>
    <w:rsid w:val="008D7609"/>
    <w:rsid w:val="008D7642"/>
    <w:rsid w:val="008D77D0"/>
    <w:rsid w:val="008D781C"/>
    <w:rsid w:val="008D79F0"/>
    <w:rsid w:val="008D7A04"/>
    <w:rsid w:val="008D7A3E"/>
    <w:rsid w:val="008D7ADA"/>
    <w:rsid w:val="008D7ADD"/>
    <w:rsid w:val="008D7B4C"/>
    <w:rsid w:val="008D7B6F"/>
    <w:rsid w:val="008D7B9B"/>
    <w:rsid w:val="008D7C1D"/>
    <w:rsid w:val="008D7C5E"/>
    <w:rsid w:val="008D7D48"/>
    <w:rsid w:val="008D7D6A"/>
    <w:rsid w:val="008D7EC6"/>
    <w:rsid w:val="008D7F1D"/>
    <w:rsid w:val="008D7F47"/>
    <w:rsid w:val="008D7F90"/>
    <w:rsid w:val="008D7FC3"/>
    <w:rsid w:val="008E0026"/>
    <w:rsid w:val="008E009B"/>
    <w:rsid w:val="008E00C1"/>
    <w:rsid w:val="008E0161"/>
    <w:rsid w:val="008E024B"/>
    <w:rsid w:val="008E024D"/>
    <w:rsid w:val="008E0318"/>
    <w:rsid w:val="008E033F"/>
    <w:rsid w:val="008E06FB"/>
    <w:rsid w:val="008E072B"/>
    <w:rsid w:val="008E087E"/>
    <w:rsid w:val="008E08B6"/>
    <w:rsid w:val="008E08DE"/>
    <w:rsid w:val="008E09AC"/>
    <w:rsid w:val="008E09C3"/>
    <w:rsid w:val="008E0C68"/>
    <w:rsid w:val="008E0D70"/>
    <w:rsid w:val="008E0DA5"/>
    <w:rsid w:val="008E0DDC"/>
    <w:rsid w:val="008E0DE1"/>
    <w:rsid w:val="008E0DE7"/>
    <w:rsid w:val="008E0E4B"/>
    <w:rsid w:val="008E0E4E"/>
    <w:rsid w:val="008E0EE8"/>
    <w:rsid w:val="008E0F09"/>
    <w:rsid w:val="008E0F1A"/>
    <w:rsid w:val="008E10B6"/>
    <w:rsid w:val="008E10BB"/>
    <w:rsid w:val="008E118B"/>
    <w:rsid w:val="008E11A2"/>
    <w:rsid w:val="008E1314"/>
    <w:rsid w:val="008E1454"/>
    <w:rsid w:val="008E14BD"/>
    <w:rsid w:val="008E156A"/>
    <w:rsid w:val="008E1600"/>
    <w:rsid w:val="008E170E"/>
    <w:rsid w:val="008E1733"/>
    <w:rsid w:val="008E1806"/>
    <w:rsid w:val="008E18C2"/>
    <w:rsid w:val="008E1A2E"/>
    <w:rsid w:val="008E1AF0"/>
    <w:rsid w:val="008E1B1E"/>
    <w:rsid w:val="008E1C63"/>
    <w:rsid w:val="008E1C70"/>
    <w:rsid w:val="008E1D8B"/>
    <w:rsid w:val="008E1FC6"/>
    <w:rsid w:val="008E2018"/>
    <w:rsid w:val="008E2086"/>
    <w:rsid w:val="008E214B"/>
    <w:rsid w:val="008E2183"/>
    <w:rsid w:val="008E227D"/>
    <w:rsid w:val="008E22FF"/>
    <w:rsid w:val="008E23A2"/>
    <w:rsid w:val="008E23F8"/>
    <w:rsid w:val="008E2516"/>
    <w:rsid w:val="008E2518"/>
    <w:rsid w:val="008E2584"/>
    <w:rsid w:val="008E259D"/>
    <w:rsid w:val="008E25A7"/>
    <w:rsid w:val="008E25E2"/>
    <w:rsid w:val="008E2645"/>
    <w:rsid w:val="008E26E6"/>
    <w:rsid w:val="008E2787"/>
    <w:rsid w:val="008E290A"/>
    <w:rsid w:val="008E29D7"/>
    <w:rsid w:val="008E29F4"/>
    <w:rsid w:val="008E2A50"/>
    <w:rsid w:val="008E2B03"/>
    <w:rsid w:val="008E2B47"/>
    <w:rsid w:val="008E2EF2"/>
    <w:rsid w:val="008E2FE1"/>
    <w:rsid w:val="008E30B7"/>
    <w:rsid w:val="008E310C"/>
    <w:rsid w:val="008E322B"/>
    <w:rsid w:val="008E3375"/>
    <w:rsid w:val="008E3629"/>
    <w:rsid w:val="008E3636"/>
    <w:rsid w:val="008E3816"/>
    <w:rsid w:val="008E3900"/>
    <w:rsid w:val="008E395E"/>
    <w:rsid w:val="008E3983"/>
    <w:rsid w:val="008E3AB7"/>
    <w:rsid w:val="008E3B79"/>
    <w:rsid w:val="008E3B7F"/>
    <w:rsid w:val="008E3B9B"/>
    <w:rsid w:val="008E3BEC"/>
    <w:rsid w:val="008E3C68"/>
    <w:rsid w:val="008E3C72"/>
    <w:rsid w:val="008E3C7E"/>
    <w:rsid w:val="008E3CA7"/>
    <w:rsid w:val="008E3D2F"/>
    <w:rsid w:val="008E3DC5"/>
    <w:rsid w:val="008E3DE3"/>
    <w:rsid w:val="008E3E8C"/>
    <w:rsid w:val="008E3F76"/>
    <w:rsid w:val="008E40D5"/>
    <w:rsid w:val="008E411B"/>
    <w:rsid w:val="008E416A"/>
    <w:rsid w:val="008E4203"/>
    <w:rsid w:val="008E420D"/>
    <w:rsid w:val="008E4228"/>
    <w:rsid w:val="008E4265"/>
    <w:rsid w:val="008E42C6"/>
    <w:rsid w:val="008E438D"/>
    <w:rsid w:val="008E4510"/>
    <w:rsid w:val="008E454C"/>
    <w:rsid w:val="008E45A3"/>
    <w:rsid w:val="008E45CD"/>
    <w:rsid w:val="008E4638"/>
    <w:rsid w:val="008E4684"/>
    <w:rsid w:val="008E46C6"/>
    <w:rsid w:val="008E46FF"/>
    <w:rsid w:val="008E4713"/>
    <w:rsid w:val="008E47FA"/>
    <w:rsid w:val="008E4990"/>
    <w:rsid w:val="008E4A83"/>
    <w:rsid w:val="008E4ACC"/>
    <w:rsid w:val="008E4AE9"/>
    <w:rsid w:val="008E4B10"/>
    <w:rsid w:val="008E4B2D"/>
    <w:rsid w:val="008E4B77"/>
    <w:rsid w:val="008E4B93"/>
    <w:rsid w:val="008E4C70"/>
    <w:rsid w:val="008E4C75"/>
    <w:rsid w:val="008E4CB6"/>
    <w:rsid w:val="008E4CBB"/>
    <w:rsid w:val="008E4D22"/>
    <w:rsid w:val="008E4D25"/>
    <w:rsid w:val="008E4D7E"/>
    <w:rsid w:val="008E4DC8"/>
    <w:rsid w:val="008E4ECB"/>
    <w:rsid w:val="008E4FC7"/>
    <w:rsid w:val="008E4FCC"/>
    <w:rsid w:val="008E4FEA"/>
    <w:rsid w:val="008E5067"/>
    <w:rsid w:val="008E50D6"/>
    <w:rsid w:val="008E51ED"/>
    <w:rsid w:val="008E5283"/>
    <w:rsid w:val="008E5302"/>
    <w:rsid w:val="008E5354"/>
    <w:rsid w:val="008E5447"/>
    <w:rsid w:val="008E546E"/>
    <w:rsid w:val="008E555E"/>
    <w:rsid w:val="008E55D3"/>
    <w:rsid w:val="008E55E4"/>
    <w:rsid w:val="008E575A"/>
    <w:rsid w:val="008E5849"/>
    <w:rsid w:val="008E58F3"/>
    <w:rsid w:val="008E59D0"/>
    <w:rsid w:val="008E5A41"/>
    <w:rsid w:val="008E5C6E"/>
    <w:rsid w:val="008E5C7E"/>
    <w:rsid w:val="008E5CE0"/>
    <w:rsid w:val="008E5CE6"/>
    <w:rsid w:val="008E5CEC"/>
    <w:rsid w:val="008E5E1E"/>
    <w:rsid w:val="008E5EC9"/>
    <w:rsid w:val="008E5FD2"/>
    <w:rsid w:val="008E6081"/>
    <w:rsid w:val="008E60B9"/>
    <w:rsid w:val="008E60BB"/>
    <w:rsid w:val="008E60ED"/>
    <w:rsid w:val="008E610B"/>
    <w:rsid w:val="008E6131"/>
    <w:rsid w:val="008E6292"/>
    <w:rsid w:val="008E635B"/>
    <w:rsid w:val="008E6381"/>
    <w:rsid w:val="008E6512"/>
    <w:rsid w:val="008E6551"/>
    <w:rsid w:val="008E6626"/>
    <w:rsid w:val="008E672F"/>
    <w:rsid w:val="008E67A4"/>
    <w:rsid w:val="008E67D2"/>
    <w:rsid w:val="008E68A8"/>
    <w:rsid w:val="008E6996"/>
    <w:rsid w:val="008E6A5D"/>
    <w:rsid w:val="008E6AB9"/>
    <w:rsid w:val="008E6AD7"/>
    <w:rsid w:val="008E6B14"/>
    <w:rsid w:val="008E6BC4"/>
    <w:rsid w:val="008E6C7B"/>
    <w:rsid w:val="008E6D26"/>
    <w:rsid w:val="008E6DBD"/>
    <w:rsid w:val="008E6EA1"/>
    <w:rsid w:val="008E70D8"/>
    <w:rsid w:val="008E71E1"/>
    <w:rsid w:val="008E722A"/>
    <w:rsid w:val="008E728A"/>
    <w:rsid w:val="008E72D6"/>
    <w:rsid w:val="008E7327"/>
    <w:rsid w:val="008E733D"/>
    <w:rsid w:val="008E73AC"/>
    <w:rsid w:val="008E7488"/>
    <w:rsid w:val="008E7585"/>
    <w:rsid w:val="008E75D3"/>
    <w:rsid w:val="008E7616"/>
    <w:rsid w:val="008E76A1"/>
    <w:rsid w:val="008E76AD"/>
    <w:rsid w:val="008E772A"/>
    <w:rsid w:val="008E78A4"/>
    <w:rsid w:val="008E7968"/>
    <w:rsid w:val="008E7A17"/>
    <w:rsid w:val="008E7B0E"/>
    <w:rsid w:val="008E7B72"/>
    <w:rsid w:val="008E7BC7"/>
    <w:rsid w:val="008E7BF9"/>
    <w:rsid w:val="008E7D63"/>
    <w:rsid w:val="008E7F07"/>
    <w:rsid w:val="008E7F91"/>
    <w:rsid w:val="008E7FDE"/>
    <w:rsid w:val="008E7FE1"/>
    <w:rsid w:val="008F0021"/>
    <w:rsid w:val="008F0035"/>
    <w:rsid w:val="008F0062"/>
    <w:rsid w:val="008F00C5"/>
    <w:rsid w:val="008F00F1"/>
    <w:rsid w:val="008F0153"/>
    <w:rsid w:val="008F036B"/>
    <w:rsid w:val="008F037F"/>
    <w:rsid w:val="008F038B"/>
    <w:rsid w:val="008F03C0"/>
    <w:rsid w:val="008F052A"/>
    <w:rsid w:val="008F0554"/>
    <w:rsid w:val="008F0617"/>
    <w:rsid w:val="008F0657"/>
    <w:rsid w:val="008F06F2"/>
    <w:rsid w:val="008F0705"/>
    <w:rsid w:val="008F0725"/>
    <w:rsid w:val="008F076D"/>
    <w:rsid w:val="008F0885"/>
    <w:rsid w:val="008F0928"/>
    <w:rsid w:val="008F09E2"/>
    <w:rsid w:val="008F0AD4"/>
    <w:rsid w:val="008F0B10"/>
    <w:rsid w:val="008F0BD2"/>
    <w:rsid w:val="008F0DDE"/>
    <w:rsid w:val="008F0EAB"/>
    <w:rsid w:val="008F0F32"/>
    <w:rsid w:val="008F0F34"/>
    <w:rsid w:val="008F0FC5"/>
    <w:rsid w:val="008F1062"/>
    <w:rsid w:val="008F11BD"/>
    <w:rsid w:val="008F11E8"/>
    <w:rsid w:val="008F1204"/>
    <w:rsid w:val="008F140A"/>
    <w:rsid w:val="008F14DC"/>
    <w:rsid w:val="008F1517"/>
    <w:rsid w:val="008F152C"/>
    <w:rsid w:val="008F1614"/>
    <w:rsid w:val="008F166F"/>
    <w:rsid w:val="008F16F8"/>
    <w:rsid w:val="008F170B"/>
    <w:rsid w:val="008F173D"/>
    <w:rsid w:val="008F1758"/>
    <w:rsid w:val="008F1760"/>
    <w:rsid w:val="008F1794"/>
    <w:rsid w:val="008F180E"/>
    <w:rsid w:val="008F1832"/>
    <w:rsid w:val="008F1896"/>
    <w:rsid w:val="008F1942"/>
    <w:rsid w:val="008F1953"/>
    <w:rsid w:val="008F196A"/>
    <w:rsid w:val="008F1A39"/>
    <w:rsid w:val="008F1B92"/>
    <w:rsid w:val="008F1D24"/>
    <w:rsid w:val="008F1D9A"/>
    <w:rsid w:val="008F1F27"/>
    <w:rsid w:val="008F2045"/>
    <w:rsid w:val="008F2069"/>
    <w:rsid w:val="008F206B"/>
    <w:rsid w:val="008F20CC"/>
    <w:rsid w:val="008F225C"/>
    <w:rsid w:val="008F2348"/>
    <w:rsid w:val="008F23EB"/>
    <w:rsid w:val="008F23F8"/>
    <w:rsid w:val="008F245F"/>
    <w:rsid w:val="008F24A8"/>
    <w:rsid w:val="008F24DD"/>
    <w:rsid w:val="008F2527"/>
    <w:rsid w:val="008F2668"/>
    <w:rsid w:val="008F2728"/>
    <w:rsid w:val="008F2743"/>
    <w:rsid w:val="008F2860"/>
    <w:rsid w:val="008F2872"/>
    <w:rsid w:val="008F28B3"/>
    <w:rsid w:val="008F2965"/>
    <w:rsid w:val="008F2987"/>
    <w:rsid w:val="008F298F"/>
    <w:rsid w:val="008F2B42"/>
    <w:rsid w:val="008F2C36"/>
    <w:rsid w:val="008F2CCA"/>
    <w:rsid w:val="008F2CEF"/>
    <w:rsid w:val="008F2E85"/>
    <w:rsid w:val="008F2E8F"/>
    <w:rsid w:val="008F2EDC"/>
    <w:rsid w:val="008F2F3A"/>
    <w:rsid w:val="008F2F8B"/>
    <w:rsid w:val="008F31C9"/>
    <w:rsid w:val="008F31CF"/>
    <w:rsid w:val="008F31D6"/>
    <w:rsid w:val="008F3241"/>
    <w:rsid w:val="008F32BE"/>
    <w:rsid w:val="008F32D7"/>
    <w:rsid w:val="008F330B"/>
    <w:rsid w:val="008F3463"/>
    <w:rsid w:val="008F3623"/>
    <w:rsid w:val="008F36CF"/>
    <w:rsid w:val="008F36DC"/>
    <w:rsid w:val="008F3785"/>
    <w:rsid w:val="008F3816"/>
    <w:rsid w:val="008F3847"/>
    <w:rsid w:val="008F38BE"/>
    <w:rsid w:val="008F3A30"/>
    <w:rsid w:val="008F3AF6"/>
    <w:rsid w:val="008F3B26"/>
    <w:rsid w:val="008F3BB5"/>
    <w:rsid w:val="008F3BF5"/>
    <w:rsid w:val="008F3C84"/>
    <w:rsid w:val="008F3D34"/>
    <w:rsid w:val="008F3D5A"/>
    <w:rsid w:val="008F3D86"/>
    <w:rsid w:val="008F3E3D"/>
    <w:rsid w:val="008F3F1B"/>
    <w:rsid w:val="008F3F54"/>
    <w:rsid w:val="008F3FF8"/>
    <w:rsid w:val="008F4159"/>
    <w:rsid w:val="008F418A"/>
    <w:rsid w:val="008F4211"/>
    <w:rsid w:val="008F43CA"/>
    <w:rsid w:val="008F443A"/>
    <w:rsid w:val="008F4449"/>
    <w:rsid w:val="008F4459"/>
    <w:rsid w:val="008F44AF"/>
    <w:rsid w:val="008F454C"/>
    <w:rsid w:val="008F4667"/>
    <w:rsid w:val="008F46AE"/>
    <w:rsid w:val="008F46CE"/>
    <w:rsid w:val="008F4712"/>
    <w:rsid w:val="008F471B"/>
    <w:rsid w:val="008F49A6"/>
    <w:rsid w:val="008F4ADE"/>
    <w:rsid w:val="008F4B9E"/>
    <w:rsid w:val="008F4BF5"/>
    <w:rsid w:val="008F4C16"/>
    <w:rsid w:val="008F4CA6"/>
    <w:rsid w:val="008F4D48"/>
    <w:rsid w:val="008F4D6F"/>
    <w:rsid w:val="008F4EE6"/>
    <w:rsid w:val="008F504F"/>
    <w:rsid w:val="008F506F"/>
    <w:rsid w:val="008F50FD"/>
    <w:rsid w:val="008F5225"/>
    <w:rsid w:val="008F5298"/>
    <w:rsid w:val="008F52CF"/>
    <w:rsid w:val="008F530B"/>
    <w:rsid w:val="008F536C"/>
    <w:rsid w:val="008F53C7"/>
    <w:rsid w:val="008F54C7"/>
    <w:rsid w:val="008F553B"/>
    <w:rsid w:val="008F563F"/>
    <w:rsid w:val="008F56AC"/>
    <w:rsid w:val="008F56E3"/>
    <w:rsid w:val="008F5862"/>
    <w:rsid w:val="008F58A9"/>
    <w:rsid w:val="008F58F1"/>
    <w:rsid w:val="008F594B"/>
    <w:rsid w:val="008F596F"/>
    <w:rsid w:val="008F5A7D"/>
    <w:rsid w:val="008F5AA9"/>
    <w:rsid w:val="008F5C3B"/>
    <w:rsid w:val="008F5CAC"/>
    <w:rsid w:val="008F5CC3"/>
    <w:rsid w:val="008F5DFC"/>
    <w:rsid w:val="008F5F4F"/>
    <w:rsid w:val="008F5F8B"/>
    <w:rsid w:val="008F5FBD"/>
    <w:rsid w:val="008F60A2"/>
    <w:rsid w:val="008F6115"/>
    <w:rsid w:val="008F615C"/>
    <w:rsid w:val="008F616A"/>
    <w:rsid w:val="008F616B"/>
    <w:rsid w:val="008F619E"/>
    <w:rsid w:val="008F6203"/>
    <w:rsid w:val="008F621A"/>
    <w:rsid w:val="008F6262"/>
    <w:rsid w:val="008F63F4"/>
    <w:rsid w:val="008F6561"/>
    <w:rsid w:val="008F657D"/>
    <w:rsid w:val="008F660C"/>
    <w:rsid w:val="008F6668"/>
    <w:rsid w:val="008F67D6"/>
    <w:rsid w:val="008F68CA"/>
    <w:rsid w:val="008F6906"/>
    <w:rsid w:val="008F6957"/>
    <w:rsid w:val="008F69A4"/>
    <w:rsid w:val="008F6BB6"/>
    <w:rsid w:val="008F6DE4"/>
    <w:rsid w:val="008F6ECA"/>
    <w:rsid w:val="008F6F59"/>
    <w:rsid w:val="008F7000"/>
    <w:rsid w:val="008F7103"/>
    <w:rsid w:val="008F7115"/>
    <w:rsid w:val="008F72B3"/>
    <w:rsid w:val="008F72BC"/>
    <w:rsid w:val="008F749A"/>
    <w:rsid w:val="008F7523"/>
    <w:rsid w:val="008F7559"/>
    <w:rsid w:val="008F75C0"/>
    <w:rsid w:val="008F7707"/>
    <w:rsid w:val="008F77B5"/>
    <w:rsid w:val="008F78B3"/>
    <w:rsid w:val="008F797A"/>
    <w:rsid w:val="008F79B9"/>
    <w:rsid w:val="008F79F5"/>
    <w:rsid w:val="008F7AC4"/>
    <w:rsid w:val="008F7B6B"/>
    <w:rsid w:val="008F7B78"/>
    <w:rsid w:val="008F7C6F"/>
    <w:rsid w:val="008F7C8D"/>
    <w:rsid w:val="008F7D84"/>
    <w:rsid w:val="008F7DB6"/>
    <w:rsid w:val="008F7DB8"/>
    <w:rsid w:val="008F7E54"/>
    <w:rsid w:val="008F7EA6"/>
    <w:rsid w:val="008F7EBA"/>
    <w:rsid w:val="008F7F0E"/>
    <w:rsid w:val="00900064"/>
    <w:rsid w:val="009000B8"/>
    <w:rsid w:val="00900259"/>
    <w:rsid w:val="0090028E"/>
    <w:rsid w:val="0090032B"/>
    <w:rsid w:val="009004F0"/>
    <w:rsid w:val="00900832"/>
    <w:rsid w:val="009008AA"/>
    <w:rsid w:val="009008B3"/>
    <w:rsid w:val="00900937"/>
    <w:rsid w:val="00900978"/>
    <w:rsid w:val="009009C3"/>
    <w:rsid w:val="00900AB7"/>
    <w:rsid w:val="00900BF3"/>
    <w:rsid w:val="00900CEC"/>
    <w:rsid w:val="00900CFC"/>
    <w:rsid w:val="00900D4E"/>
    <w:rsid w:val="00900DB5"/>
    <w:rsid w:val="00900DD5"/>
    <w:rsid w:val="00900F45"/>
    <w:rsid w:val="00900F6F"/>
    <w:rsid w:val="00900FF8"/>
    <w:rsid w:val="009010F4"/>
    <w:rsid w:val="0090116E"/>
    <w:rsid w:val="009011CA"/>
    <w:rsid w:val="00901266"/>
    <w:rsid w:val="00901333"/>
    <w:rsid w:val="009013B7"/>
    <w:rsid w:val="0090153A"/>
    <w:rsid w:val="009015F0"/>
    <w:rsid w:val="00901682"/>
    <w:rsid w:val="009016CE"/>
    <w:rsid w:val="009016E3"/>
    <w:rsid w:val="0090173C"/>
    <w:rsid w:val="00901854"/>
    <w:rsid w:val="00901B30"/>
    <w:rsid w:val="00901BA7"/>
    <w:rsid w:val="00901CBA"/>
    <w:rsid w:val="00901CE2"/>
    <w:rsid w:val="00901D23"/>
    <w:rsid w:val="00901D91"/>
    <w:rsid w:val="00901DE0"/>
    <w:rsid w:val="00901E89"/>
    <w:rsid w:val="00901EC8"/>
    <w:rsid w:val="00901F5C"/>
    <w:rsid w:val="00901FD1"/>
    <w:rsid w:val="00901FFC"/>
    <w:rsid w:val="0090200E"/>
    <w:rsid w:val="00902123"/>
    <w:rsid w:val="00902137"/>
    <w:rsid w:val="009022C2"/>
    <w:rsid w:val="009024AD"/>
    <w:rsid w:val="00902502"/>
    <w:rsid w:val="00902535"/>
    <w:rsid w:val="0090255D"/>
    <w:rsid w:val="009025AB"/>
    <w:rsid w:val="00902640"/>
    <w:rsid w:val="00902789"/>
    <w:rsid w:val="009027B1"/>
    <w:rsid w:val="00902867"/>
    <w:rsid w:val="00902891"/>
    <w:rsid w:val="00902949"/>
    <w:rsid w:val="00902957"/>
    <w:rsid w:val="00902980"/>
    <w:rsid w:val="00902998"/>
    <w:rsid w:val="009029C6"/>
    <w:rsid w:val="00902A80"/>
    <w:rsid w:val="00902B2B"/>
    <w:rsid w:val="00902B35"/>
    <w:rsid w:val="00902B45"/>
    <w:rsid w:val="00902B6C"/>
    <w:rsid w:val="00902BDF"/>
    <w:rsid w:val="00902C4F"/>
    <w:rsid w:val="00902CA6"/>
    <w:rsid w:val="00902CB9"/>
    <w:rsid w:val="00902D14"/>
    <w:rsid w:val="00902D37"/>
    <w:rsid w:val="00902E59"/>
    <w:rsid w:val="00902E76"/>
    <w:rsid w:val="00902EE0"/>
    <w:rsid w:val="00902F67"/>
    <w:rsid w:val="00902F75"/>
    <w:rsid w:val="00902F92"/>
    <w:rsid w:val="00903001"/>
    <w:rsid w:val="009030E0"/>
    <w:rsid w:val="009031CD"/>
    <w:rsid w:val="009032F9"/>
    <w:rsid w:val="0090336B"/>
    <w:rsid w:val="009033F3"/>
    <w:rsid w:val="00903476"/>
    <w:rsid w:val="0090355D"/>
    <w:rsid w:val="00903595"/>
    <w:rsid w:val="009035F6"/>
    <w:rsid w:val="0090365D"/>
    <w:rsid w:val="0090366F"/>
    <w:rsid w:val="009036FD"/>
    <w:rsid w:val="00903754"/>
    <w:rsid w:val="00903788"/>
    <w:rsid w:val="00903839"/>
    <w:rsid w:val="009038BA"/>
    <w:rsid w:val="00903945"/>
    <w:rsid w:val="00903A9D"/>
    <w:rsid w:val="00903BF4"/>
    <w:rsid w:val="00903C32"/>
    <w:rsid w:val="00903C4C"/>
    <w:rsid w:val="00903C5B"/>
    <w:rsid w:val="00903C7C"/>
    <w:rsid w:val="00903C82"/>
    <w:rsid w:val="00903C9C"/>
    <w:rsid w:val="00903CD5"/>
    <w:rsid w:val="00903D78"/>
    <w:rsid w:val="00903DAD"/>
    <w:rsid w:val="00903E4F"/>
    <w:rsid w:val="00903F04"/>
    <w:rsid w:val="00904145"/>
    <w:rsid w:val="00904152"/>
    <w:rsid w:val="00904166"/>
    <w:rsid w:val="00904188"/>
    <w:rsid w:val="00904226"/>
    <w:rsid w:val="009042AA"/>
    <w:rsid w:val="009042E9"/>
    <w:rsid w:val="00904318"/>
    <w:rsid w:val="00904324"/>
    <w:rsid w:val="009043EC"/>
    <w:rsid w:val="00904427"/>
    <w:rsid w:val="0090468E"/>
    <w:rsid w:val="00904874"/>
    <w:rsid w:val="009048F1"/>
    <w:rsid w:val="0090490E"/>
    <w:rsid w:val="00904975"/>
    <w:rsid w:val="009049C3"/>
    <w:rsid w:val="00904AB1"/>
    <w:rsid w:val="00904BA3"/>
    <w:rsid w:val="00904BB7"/>
    <w:rsid w:val="00904BF6"/>
    <w:rsid w:val="00904D02"/>
    <w:rsid w:val="00904E3F"/>
    <w:rsid w:val="00904E45"/>
    <w:rsid w:val="00904E6F"/>
    <w:rsid w:val="00904E7B"/>
    <w:rsid w:val="00904EB4"/>
    <w:rsid w:val="00904EFB"/>
    <w:rsid w:val="00904F39"/>
    <w:rsid w:val="00905011"/>
    <w:rsid w:val="0090503D"/>
    <w:rsid w:val="009050F6"/>
    <w:rsid w:val="0090511C"/>
    <w:rsid w:val="00905133"/>
    <w:rsid w:val="0090517F"/>
    <w:rsid w:val="009052AD"/>
    <w:rsid w:val="009053A1"/>
    <w:rsid w:val="009053B7"/>
    <w:rsid w:val="00905457"/>
    <w:rsid w:val="00905578"/>
    <w:rsid w:val="009055BE"/>
    <w:rsid w:val="00905650"/>
    <w:rsid w:val="0090567B"/>
    <w:rsid w:val="0090579D"/>
    <w:rsid w:val="009057E9"/>
    <w:rsid w:val="00905820"/>
    <w:rsid w:val="0090592F"/>
    <w:rsid w:val="00905AC3"/>
    <w:rsid w:val="00905B24"/>
    <w:rsid w:val="00905B2C"/>
    <w:rsid w:val="00905B70"/>
    <w:rsid w:val="00905C0E"/>
    <w:rsid w:val="00905CC6"/>
    <w:rsid w:val="00905D84"/>
    <w:rsid w:val="00905DD9"/>
    <w:rsid w:val="00905FFA"/>
    <w:rsid w:val="0090605D"/>
    <w:rsid w:val="00906099"/>
    <w:rsid w:val="009060E7"/>
    <w:rsid w:val="0090629C"/>
    <w:rsid w:val="00906377"/>
    <w:rsid w:val="009063FE"/>
    <w:rsid w:val="00906625"/>
    <w:rsid w:val="009066B0"/>
    <w:rsid w:val="009066EA"/>
    <w:rsid w:val="00906704"/>
    <w:rsid w:val="009067F3"/>
    <w:rsid w:val="00906826"/>
    <w:rsid w:val="0090682D"/>
    <w:rsid w:val="00906836"/>
    <w:rsid w:val="009068BF"/>
    <w:rsid w:val="00906A99"/>
    <w:rsid w:val="00906AC5"/>
    <w:rsid w:val="00906BD0"/>
    <w:rsid w:val="00906BDC"/>
    <w:rsid w:val="00906C47"/>
    <w:rsid w:val="00906C9D"/>
    <w:rsid w:val="00906DB5"/>
    <w:rsid w:val="00906F55"/>
    <w:rsid w:val="00906F6D"/>
    <w:rsid w:val="00906F83"/>
    <w:rsid w:val="00907061"/>
    <w:rsid w:val="0090718B"/>
    <w:rsid w:val="00907256"/>
    <w:rsid w:val="00907336"/>
    <w:rsid w:val="009073BA"/>
    <w:rsid w:val="009074FF"/>
    <w:rsid w:val="0090758B"/>
    <w:rsid w:val="009075A5"/>
    <w:rsid w:val="009076E3"/>
    <w:rsid w:val="009077EA"/>
    <w:rsid w:val="00907807"/>
    <w:rsid w:val="0090787C"/>
    <w:rsid w:val="0090787E"/>
    <w:rsid w:val="009079B9"/>
    <w:rsid w:val="009079C5"/>
    <w:rsid w:val="00907A93"/>
    <w:rsid w:val="00907ABD"/>
    <w:rsid w:val="00907AD5"/>
    <w:rsid w:val="00907B0E"/>
    <w:rsid w:val="00907B11"/>
    <w:rsid w:val="00907CD5"/>
    <w:rsid w:val="00907F49"/>
    <w:rsid w:val="00907FAB"/>
    <w:rsid w:val="009100A6"/>
    <w:rsid w:val="0091020E"/>
    <w:rsid w:val="00910211"/>
    <w:rsid w:val="0091022A"/>
    <w:rsid w:val="009102E7"/>
    <w:rsid w:val="009102F7"/>
    <w:rsid w:val="00910500"/>
    <w:rsid w:val="00910501"/>
    <w:rsid w:val="00910506"/>
    <w:rsid w:val="0091051A"/>
    <w:rsid w:val="0091057E"/>
    <w:rsid w:val="009105B5"/>
    <w:rsid w:val="00910779"/>
    <w:rsid w:val="009107BB"/>
    <w:rsid w:val="00910817"/>
    <w:rsid w:val="00910835"/>
    <w:rsid w:val="00910850"/>
    <w:rsid w:val="00910920"/>
    <w:rsid w:val="00910936"/>
    <w:rsid w:val="00910979"/>
    <w:rsid w:val="00910C50"/>
    <w:rsid w:val="00910C91"/>
    <w:rsid w:val="00910CB8"/>
    <w:rsid w:val="00910CCC"/>
    <w:rsid w:val="00910D32"/>
    <w:rsid w:val="00910D3E"/>
    <w:rsid w:val="00910D5F"/>
    <w:rsid w:val="00910D94"/>
    <w:rsid w:val="00910ECB"/>
    <w:rsid w:val="00910FD4"/>
    <w:rsid w:val="00911000"/>
    <w:rsid w:val="00911021"/>
    <w:rsid w:val="009111B5"/>
    <w:rsid w:val="00911251"/>
    <w:rsid w:val="0091125D"/>
    <w:rsid w:val="009112F5"/>
    <w:rsid w:val="0091143D"/>
    <w:rsid w:val="009114C9"/>
    <w:rsid w:val="0091151A"/>
    <w:rsid w:val="00911690"/>
    <w:rsid w:val="009116BA"/>
    <w:rsid w:val="009116D3"/>
    <w:rsid w:val="009117D7"/>
    <w:rsid w:val="00911816"/>
    <w:rsid w:val="0091189F"/>
    <w:rsid w:val="00911C3F"/>
    <w:rsid w:val="00911C8E"/>
    <w:rsid w:val="00911CCC"/>
    <w:rsid w:val="00911D1A"/>
    <w:rsid w:val="00911E2B"/>
    <w:rsid w:val="00911EE6"/>
    <w:rsid w:val="00911F16"/>
    <w:rsid w:val="00912056"/>
    <w:rsid w:val="0091208E"/>
    <w:rsid w:val="00912114"/>
    <w:rsid w:val="009121B0"/>
    <w:rsid w:val="009121B3"/>
    <w:rsid w:val="009122C3"/>
    <w:rsid w:val="009123DC"/>
    <w:rsid w:val="009123FC"/>
    <w:rsid w:val="0091248F"/>
    <w:rsid w:val="00912558"/>
    <w:rsid w:val="00912584"/>
    <w:rsid w:val="0091261E"/>
    <w:rsid w:val="00912680"/>
    <w:rsid w:val="009126A4"/>
    <w:rsid w:val="00912716"/>
    <w:rsid w:val="00912724"/>
    <w:rsid w:val="0091275A"/>
    <w:rsid w:val="00912794"/>
    <w:rsid w:val="0091279A"/>
    <w:rsid w:val="0091279B"/>
    <w:rsid w:val="009127DE"/>
    <w:rsid w:val="009129CB"/>
    <w:rsid w:val="00912A37"/>
    <w:rsid w:val="00912ABB"/>
    <w:rsid w:val="00912BAF"/>
    <w:rsid w:val="00912BED"/>
    <w:rsid w:val="00912C41"/>
    <w:rsid w:val="00912C45"/>
    <w:rsid w:val="00912F0E"/>
    <w:rsid w:val="00912F44"/>
    <w:rsid w:val="00913054"/>
    <w:rsid w:val="009130FC"/>
    <w:rsid w:val="0091318A"/>
    <w:rsid w:val="009131C7"/>
    <w:rsid w:val="009132E3"/>
    <w:rsid w:val="0091343E"/>
    <w:rsid w:val="00913760"/>
    <w:rsid w:val="00913770"/>
    <w:rsid w:val="00913852"/>
    <w:rsid w:val="009138AB"/>
    <w:rsid w:val="0091394D"/>
    <w:rsid w:val="00913B54"/>
    <w:rsid w:val="00913C33"/>
    <w:rsid w:val="00913D40"/>
    <w:rsid w:val="00913D67"/>
    <w:rsid w:val="00913D6A"/>
    <w:rsid w:val="00913E30"/>
    <w:rsid w:val="00913EB7"/>
    <w:rsid w:val="00913F7A"/>
    <w:rsid w:val="00913F8B"/>
    <w:rsid w:val="00913F8F"/>
    <w:rsid w:val="00913FF9"/>
    <w:rsid w:val="0091407B"/>
    <w:rsid w:val="0091411D"/>
    <w:rsid w:val="0091412E"/>
    <w:rsid w:val="0091429D"/>
    <w:rsid w:val="009142B8"/>
    <w:rsid w:val="009143B1"/>
    <w:rsid w:val="009143C4"/>
    <w:rsid w:val="009144EA"/>
    <w:rsid w:val="009145E2"/>
    <w:rsid w:val="0091464B"/>
    <w:rsid w:val="00914760"/>
    <w:rsid w:val="009149C1"/>
    <w:rsid w:val="009149E3"/>
    <w:rsid w:val="00914A8B"/>
    <w:rsid w:val="00914B44"/>
    <w:rsid w:val="00914B59"/>
    <w:rsid w:val="00914BA8"/>
    <w:rsid w:val="00914BD8"/>
    <w:rsid w:val="00914C2A"/>
    <w:rsid w:val="00914C46"/>
    <w:rsid w:val="00914C50"/>
    <w:rsid w:val="00914C8D"/>
    <w:rsid w:val="00914CF9"/>
    <w:rsid w:val="00914D05"/>
    <w:rsid w:val="00914D0E"/>
    <w:rsid w:val="00914D7A"/>
    <w:rsid w:val="00914DBB"/>
    <w:rsid w:val="00914E93"/>
    <w:rsid w:val="00914F66"/>
    <w:rsid w:val="00914FD8"/>
    <w:rsid w:val="0091501F"/>
    <w:rsid w:val="009150B7"/>
    <w:rsid w:val="009151C6"/>
    <w:rsid w:val="0091522B"/>
    <w:rsid w:val="00915298"/>
    <w:rsid w:val="00915337"/>
    <w:rsid w:val="00915638"/>
    <w:rsid w:val="0091565C"/>
    <w:rsid w:val="009156F7"/>
    <w:rsid w:val="00915741"/>
    <w:rsid w:val="009157DD"/>
    <w:rsid w:val="00915823"/>
    <w:rsid w:val="00915874"/>
    <w:rsid w:val="009158F8"/>
    <w:rsid w:val="009158FB"/>
    <w:rsid w:val="00915908"/>
    <w:rsid w:val="009159AD"/>
    <w:rsid w:val="009159AE"/>
    <w:rsid w:val="009159B4"/>
    <w:rsid w:val="009159CA"/>
    <w:rsid w:val="00915A26"/>
    <w:rsid w:val="00915A54"/>
    <w:rsid w:val="00915AA9"/>
    <w:rsid w:val="00915B7A"/>
    <w:rsid w:val="00915B95"/>
    <w:rsid w:val="00915C07"/>
    <w:rsid w:val="00915CB6"/>
    <w:rsid w:val="00915D65"/>
    <w:rsid w:val="00915E65"/>
    <w:rsid w:val="00915EE3"/>
    <w:rsid w:val="0091616D"/>
    <w:rsid w:val="00916208"/>
    <w:rsid w:val="0091641E"/>
    <w:rsid w:val="0091651C"/>
    <w:rsid w:val="00916590"/>
    <w:rsid w:val="00916630"/>
    <w:rsid w:val="00916768"/>
    <w:rsid w:val="009167A7"/>
    <w:rsid w:val="009167C7"/>
    <w:rsid w:val="009167FC"/>
    <w:rsid w:val="00916806"/>
    <w:rsid w:val="0091682C"/>
    <w:rsid w:val="00916867"/>
    <w:rsid w:val="00916881"/>
    <w:rsid w:val="00916897"/>
    <w:rsid w:val="00916910"/>
    <w:rsid w:val="00916924"/>
    <w:rsid w:val="0091692B"/>
    <w:rsid w:val="00916987"/>
    <w:rsid w:val="00916A3E"/>
    <w:rsid w:val="00916B22"/>
    <w:rsid w:val="00916BF6"/>
    <w:rsid w:val="00916C1D"/>
    <w:rsid w:val="00916DD8"/>
    <w:rsid w:val="00916E80"/>
    <w:rsid w:val="00916EBE"/>
    <w:rsid w:val="00916EC7"/>
    <w:rsid w:val="00916EE4"/>
    <w:rsid w:val="00916F05"/>
    <w:rsid w:val="00916F2D"/>
    <w:rsid w:val="00916F7B"/>
    <w:rsid w:val="00917011"/>
    <w:rsid w:val="00917012"/>
    <w:rsid w:val="0091706C"/>
    <w:rsid w:val="009171F7"/>
    <w:rsid w:val="0091723F"/>
    <w:rsid w:val="0091727F"/>
    <w:rsid w:val="009172D8"/>
    <w:rsid w:val="00917339"/>
    <w:rsid w:val="00917342"/>
    <w:rsid w:val="009174FF"/>
    <w:rsid w:val="0091753B"/>
    <w:rsid w:val="00917544"/>
    <w:rsid w:val="0091754E"/>
    <w:rsid w:val="009175BB"/>
    <w:rsid w:val="009175E7"/>
    <w:rsid w:val="00917628"/>
    <w:rsid w:val="0091762D"/>
    <w:rsid w:val="009176D0"/>
    <w:rsid w:val="009176E1"/>
    <w:rsid w:val="0091775A"/>
    <w:rsid w:val="0091778F"/>
    <w:rsid w:val="009177E1"/>
    <w:rsid w:val="00917866"/>
    <w:rsid w:val="009178FA"/>
    <w:rsid w:val="0091799E"/>
    <w:rsid w:val="00917A86"/>
    <w:rsid w:val="00917C3C"/>
    <w:rsid w:val="00917C47"/>
    <w:rsid w:val="00917DFC"/>
    <w:rsid w:val="00917E04"/>
    <w:rsid w:val="00917E28"/>
    <w:rsid w:val="00917E6F"/>
    <w:rsid w:val="00917E98"/>
    <w:rsid w:val="00917F9D"/>
    <w:rsid w:val="0092001B"/>
    <w:rsid w:val="009200B1"/>
    <w:rsid w:val="0092016C"/>
    <w:rsid w:val="009202AF"/>
    <w:rsid w:val="0092035C"/>
    <w:rsid w:val="009203A7"/>
    <w:rsid w:val="009203BE"/>
    <w:rsid w:val="00920423"/>
    <w:rsid w:val="00920486"/>
    <w:rsid w:val="009207C2"/>
    <w:rsid w:val="00920862"/>
    <w:rsid w:val="0092091F"/>
    <w:rsid w:val="0092092E"/>
    <w:rsid w:val="00920934"/>
    <w:rsid w:val="0092095F"/>
    <w:rsid w:val="0092097B"/>
    <w:rsid w:val="00920981"/>
    <w:rsid w:val="00920A6C"/>
    <w:rsid w:val="00920A8F"/>
    <w:rsid w:val="00920AA1"/>
    <w:rsid w:val="00920C01"/>
    <w:rsid w:val="00920C3B"/>
    <w:rsid w:val="00920C49"/>
    <w:rsid w:val="00920EBA"/>
    <w:rsid w:val="00920ED2"/>
    <w:rsid w:val="00920EEB"/>
    <w:rsid w:val="00920EF1"/>
    <w:rsid w:val="00920F43"/>
    <w:rsid w:val="00920FDD"/>
    <w:rsid w:val="00921112"/>
    <w:rsid w:val="0092113B"/>
    <w:rsid w:val="009212DB"/>
    <w:rsid w:val="00921349"/>
    <w:rsid w:val="0092153E"/>
    <w:rsid w:val="00921591"/>
    <w:rsid w:val="009215A2"/>
    <w:rsid w:val="00921697"/>
    <w:rsid w:val="009216C6"/>
    <w:rsid w:val="0092176C"/>
    <w:rsid w:val="009219D3"/>
    <w:rsid w:val="00921A31"/>
    <w:rsid w:val="00921AEF"/>
    <w:rsid w:val="00921B16"/>
    <w:rsid w:val="00921B82"/>
    <w:rsid w:val="00921C97"/>
    <w:rsid w:val="00921CE2"/>
    <w:rsid w:val="00921E0E"/>
    <w:rsid w:val="00921E14"/>
    <w:rsid w:val="00921F20"/>
    <w:rsid w:val="00921FA4"/>
    <w:rsid w:val="0092200D"/>
    <w:rsid w:val="00922028"/>
    <w:rsid w:val="00922079"/>
    <w:rsid w:val="009220A7"/>
    <w:rsid w:val="0092219C"/>
    <w:rsid w:val="00922252"/>
    <w:rsid w:val="00922317"/>
    <w:rsid w:val="00922377"/>
    <w:rsid w:val="009223A2"/>
    <w:rsid w:val="009223BD"/>
    <w:rsid w:val="0092248C"/>
    <w:rsid w:val="009224EA"/>
    <w:rsid w:val="0092250D"/>
    <w:rsid w:val="0092253A"/>
    <w:rsid w:val="00922631"/>
    <w:rsid w:val="009226B5"/>
    <w:rsid w:val="009227D7"/>
    <w:rsid w:val="009228AF"/>
    <w:rsid w:val="009228FA"/>
    <w:rsid w:val="00922914"/>
    <w:rsid w:val="009229BB"/>
    <w:rsid w:val="00922A31"/>
    <w:rsid w:val="00922BF5"/>
    <w:rsid w:val="00922D71"/>
    <w:rsid w:val="00922D7E"/>
    <w:rsid w:val="00922DEC"/>
    <w:rsid w:val="00922E80"/>
    <w:rsid w:val="00922EC4"/>
    <w:rsid w:val="00922EF8"/>
    <w:rsid w:val="00922FF2"/>
    <w:rsid w:val="00923011"/>
    <w:rsid w:val="009230AF"/>
    <w:rsid w:val="009230E9"/>
    <w:rsid w:val="009231A8"/>
    <w:rsid w:val="00923213"/>
    <w:rsid w:val="009232C7"/>
    <w:rsid w:val="00923340"/>
    <w:rsid w:val="009233B6"/>
    <w:rsid w:val="009233DD"/>
    <w:rsid w:val="009233FA"/>
    <w:rsid w:val="00923752"/>
    <w:rsid w:val="009237C5"/>
    <w:rsid w:val="009237F1"/>
    <w:rsid w:val="00923913"/>
    <w:rsid w:val="00923A30"/>
    <w:rsid w:val="00923A96"/>
    <w:rsid w:val="00923B6D"/>
    <w:rsid w:val="00923C07"/>
    <w:rsid w:val="00923C34"/>
    <w:rsid w:val="00923D0D"/>
    <w:rsid w:val="00923D50"/>
    <w:rsid w:val="00923F18"/>
    <w:rsid w:val="00923FD5"/>
    <w:rsid w:val="009240A8"/>
    <w:rsid w:val="009240C6"/>
    <w:rsid w:val="009241D3"/>
    <w:rsid w:val="009241D7"/>
    <w:rsid w:val="00924313"/>
    <w:rsid w:val="00924441"/>
    <w:rsid w:val="009244A9"/>
    <w:rsid w:val="0092455C"/>
    <w:rsid w:val="00924597"/>
    <w:rsid w:val="009245A2"/>
    <w:rsid w:val="009245CA"/>
    <w:rsid w:val="009245DE"/>
    <w:rsid w:val="00924628"/>
    <w:rsid w:val="0092467C"/>
    <w:rsid w:val="009246BB"/>
    <w:rsid w:val="00924761"/>
    <w:rsid w:val="0092483E"/>
    <w:rsid w:val="00924858"/>
    <w:rsid w:val="009248EE"/>
    <w:rsid w:val="00924A0D"/>
    <w:rsid w:val="00924A98"/>
    <w:rsid w:val="00924AB1"/>
    <w:rsid w:val="00924B0C"/>
    <w:rsid w:val="00924B3B"/>
    <w:rsid w:val="00924BDF"/>
    <w:rsid w:val="00924C0A"/>
    <w:rsid w:val="00924C35"/>
    <w:rsid w:val="00924C3C"/>
    <w:rsid w:val="00924C6F"/>
    <w:rsid w:val="00924D42"/>
    <w:rsid w:val="00924F20"/>
    <w:rsid w:val="00924FF0"/>
    <w:rsid w:val="009250A8"/>
    <w:rsid w:val="0092511C"/>
    <w:rsid w:val="0092517B"/>
    <w:rsid w:val="009251F0"/>
    <w:rsid w:val="0092527A"/>
    <w:rsid w:val="009252A8"/>
    <w:rsid w:val="009252EC"/>
    <w:rsid w:val="009254B5"/>
    <w:rsid w:val="009254EC"/>
    <w:rsid w:val="00925500"/>
    <w:rsid w:val="0092556F"/>
    <w:rsid w:val="0092588D"/>
    <w:rsid w:val="009258B1"/>
    <w:rsid w:val="009258D0"/>
    <w:rsid w:val="00925917"/>
    <w:rsid w:val="00925AA5"/>
    <w:rsid w:val="00925AD3"/>
    <w:rsid w:val="00925B3B"/>
    <w:rsid w:val="00925C41"/>
    <w:rsid w:val="00925C8F"/>
    <w:rsid w:val="00925D91"/>
    <w:rsid w:val="00925D97"/>
    <w:rsid w:val="00925DF9"/>
    <w:rsid w:val="00925E0C"/>
    <w:rsid w:val="00925E3E"/>
    <w:rsid w:val="00925E56"/>
    <w:rsid w:val="00925E5F"/>
    <w:rsid w:val="00925E74"/>
    <w:rsid w:val="00925EC5"/>
    <w:rsid w:val="00925EF5"/>
    <w:rsid w:val="00925FAF"/>
    <w:rsid w:val="00925FF4"/>
    <w:rsid w:val="009260D5"/>
    <w:rsid w:val="00926194"/>
    <w:rsid w:val="0092630A"/>
    <w:rsid w:val="00926365"/>
    <w:rsid w:val="0092642A"/>
    <w:rsid w:val="009264E3"/>
    <w:rsid w:val="00926616"/>
    <w:rsid w:val="00926757"/>
    <w:rsid w:val="0092691D"/>
    <w:rsid w:val="0092693B"/>
    <w:rsid w:val="00926960"/>
    <w:rsid w:val="00926A5E"/>
    <w:rsid w:val="00926B17"/>
    <w:rsid w:val="00926BD3"/>
    <w:rsid w:val="00926D06"/>
    <w:rsid w:val="00926DAF"/>
    <w:rsid w:val="00926E16"/>
    <w:rsid w:val="00926E26"/>
    <w:rsid w:val="00926E58"/>
    <w:rsid w:val="00926E67"/>
    <w:rsid w:val="00926EC2"/>
    <w:rsid w:val="00926EE8"/>
    <w:rsid w:val="00926EEC"/>
    <w:rsid w:val="00926F6B"/>
    <w:rsid w:val="00926F9D"/>
    <w:rsid w:val="00926FDB"/>
    <w:rsid w:val="009270D0"/>
    <w:rsid w:val="009270EB"/>
    <w:rsid w:val="0092719B"/>
    <w:rsid w:val="009271DB"/>
    <w:rsid w:val="00927221"/>
    <w:rsid w:val="00927256"/>
    <w:rsid w:val="00927471"/>
    <w:rsid w:val="009274CC"/>
    <w:rsid w:val="0092750A"/>
    <w:rsid w:val="00927588"/>
    <w:rsid w:val="00927683"/>
    <w:rsid w:val="0092778D"/>
    <w:rsid w:val="00927A52"/>
    <w:rsid w:val="00927D50"/>
    <w:rsid w:val="00927DB2"/>
    <w:rsid w:val="00927E7F"/>
    <w:rsid w:val="00927F39"/>
    <w:rsid w:val="00927F45"/>
    <w:rsid w:val="00927FF0"/>
    <w:rsid w:val="00927FF1"/>
    <w:rsid w:val="00930014"/>
    <w:rsid w:val="009300A6"/>
    <w:rsid w:val="00930173"/>
    <w:rsid w:val="009301A9"/>
    <w:rsid w:val="00930269"/>
    <w:rsid w:val="00930286"/>
    <w:rsid w:val="009302B0"/>
    <w:rsid w:val="00930356"/>
    <w:rsid w:val="009304BB"/>
    <w:rsid w:val="009304D3"/>
    <w:rsid w:val="0093050B"/>
    <w:rsid w:val="00930649"/>
    <w:rsid w:val="0093066F"/>
    <w:rsid w:val="009306D7"/>
    <w:rsid w:val="009306EC"/>
    <w:rsid w:val="00930743"/>
    <w:rsid w:val="009307C1"/>
    <w:rsid w:val="009307CC"/>
    <w:rsid w:val="009308A0"/>
    <w:rsid w:val="009309EC"/>
    <w:rsid w:val="00930A63"/>
    <w:rsid w:val="00930AD1"/>
    <w:rsid w:val="00930C8E"/>
    <w:rsid w:val="00930CA1"/>
    <w:rsid w:val="00930CCB"/>
    <w:rsid w:val="00930CDA"/>
    <w:rsid w:val="00930D63"/>
    <w:rsid w:val="00930DE9"/>
    <w:rsid w:val="00930E07"/>
    <w:rsid w:val="00930E76"/>
    <w:rsid w:val="00930FBA"/>
    <w:rsid w:val="009310A3"/>
    <w:rsid w:val="009310AC"/>
    <w:rsid w:val="00931176"/>
    <w:rsid w:val="009311EE"/>
    <w:rsid w:val="009313A7"/>
    <w:rsid w:val="009313DC"/>
    <w:rsid w:val="00931561"/>
    <w:rsid w:val="009315E1"/>
    <w:rsid w:val="00931632"/>
    <w:rsid w:val="0093163C"/>
    <w:rsid w:val="0093163E"/>
    <w:rsid w:val="009316ED"/>
    <w:rsid w:val="0093177F"/>
    <w:rsid w:val="0093179A"/>
    <w:rsid w:val="009317A6"/>
    <w:rsid w:val="009317A9"/>
    <w:rsid w:val="0093182D"/>
    <w:rsid w:val="00931954"/>
    <w:rsid w:val="00931980"/>
    <w:rsid w:val="009319B6"/>
    <w:rsid w:val="009319D3"/>
    <w:rsid w:val="00931AD8"/>
    <w:rsid w:val="00931B0D"/>
    <w:rsid w:val="00931BE8"/>
    <w:rsid w:val="00931F64"/>
    <w:rsid w:val="00932115"/>
    <w:rsid w:val="009321D5"/>
    <w:rsid w:val="00932259"/>
    <w:rsid w:val="0093228D"/>
    <w:rsid w:val="009323C2"/>
    <w:rsid w:val="009324B8"/>
    <w:rsid w:val="00932570"/>
    <w:rsid w:val="00932576"/>
    <w:rsid w:val="009325FF"/>
    <w:rsid w:val="009326ED"/>
    <w:rsid w:val="0093270B"/>
    <w:rsid w:val="0093271E"/>
    <w:rsid w:val="009327A5"/>
    <w:rsid w:val="00932815"/>
    <w:rsid w:val="0093285C"/>
    <w:rsid w:val="009328A8"/>
    <w:rsid w:val="00932964"/>
    <w:rsid w:val="009329C6"/>
    <w:rsid w:val="00932A05"/>
    <w:rsid w:val="00932A6B"/>
    <w:rsid w:val="00932A90"/>
    <w:rsid w:val="00932B18"/>
    <w:rsid w:val="00932C58"/>
    <w:rsid w:val="00932D86"/>
    <w:rsid w:val="00932E2A"/>
    <w:rsid w:val="00932E54"/>
    <w:rsid w:val="00932E77"/>
    <w:rsid w:val="00932EA6"/>
    <w:rsid w:val="00932EB3"/>
    <w:rsid w:val="00932F3D"/>
    <w:rsid w:val="00932FB2"/>
    <w:rsid w:val="00933035"/>
    <w:rsid w:val="009330F7"/>
    <w:rsid w:val="00933152"/>
    <w:rsid w:val="0093322D"/>
    <w:rsid w:val="009332E5"/>
    <w:rsid w:val="00933304"/>
    <w:rsid w:val="00933393"/>
    <w:rsid w:val="00933463"/>
    <w:rsid w:val="009336F2"/>
    <w:rsid w:val="0093370A"/>
    <w:rsid w:val="009337AB"/>
    <w:rsid w:val="0093392A"/>
    <w:rsid w:val="00933943"/>
    <w:rsid w:val="00933A31"/>
    <w:rsid w:val="00933A51"/>
    <w:rsid w:val="00933A5E"/>
    <w:rsid w:val="00933A82"/>
    <w:rsid w:val="00933ABD"/>
    <w:rsid w:val="00933AC3"/>
    <w:rsid w:val="00933C83"/>
    <w:rsid w:val="00933D0F"/>
    <w:rsid w:val="00933D3D"/>
    <w:rsid w:val="00933DE5"/>
    <w:rsid w:val="00933F3A"/>
    <w:rsid w:val="00933F59"/>
    <w:rsid w:val="00933F67"/>
    <w:rsid w:val="00933FB6"/>
    <w:rsid w:val="00933FBA"/>
    <w:rsid w:val="009340B5"/>
    <w:rsid w:val="00934175"/>
    <w:rsid w:val="009341A4"/>
    <w:rsid w:val="009341CD"/>
    <w:rsid w:val="00934284"/>
    <w:rsid w:val="00934395"/>
    <w:rsid w:val="009343BD"/>
    <w:rsid w:val="00934468"/>
    <w:rsid w:val="0093466E"/>
    <w:rsid w:val="0093468E"/>
    <w:rsid w:val="009346BC"/>
    <w:rsid w:val="0093473E"/>
    <w:rsid w:val="009347B4"/>
    <w:rsid w:val="00934936"/>
    <w:rsid w:val="009349FD"/>
    <w:rsid w:val="00934A2D"/>
    <w:rsid w:val="00934AC1"/>
    <w:rsid w:val="00934B44"/>
    <w:rsid w:val="00934C7C"/>
    <w:rsid w:val="00934C8A"/>
    <w:rsid w:val="00934D45"/>
    <w:rsid w:val="00934D6B"/>
    <w:rsid w:val="00934D6E"/>
    <w:rsid w:val="00934E18"/>
    <w:rsid w:val="00934E2E"/>
    <w:rsid w:val="00934EFA"/>
    <w:rsid w:val="009350AE"/>
    <w:rsid w:val="0093512E"/>
    <w:rsid w:val="009351C8"/>
    <w:rsid w:val="009352C1"/>
    <w:rsid w:val="009352D0"/>
    <w:rsid w:val="009352E2"/>
    <w:rsid w:val="0093540D"/>
    <w:rsid w:val="00935422"/>
    <w:rsid w:val="00935460"/>
    <w:rsid w:val="0093546F"/>
    <w:rsid w:val="00935599"/>
    <w:rsid w:val="00935603"/>
    <w:rsid w:val="00935605"/>
    <w:rsid w:val="0093564B"/>
    <w:rsid w:val="0093564E"/>
    <w:rsid w:val="00935658"/>
    <w:rsid w:val="0093570C"/>
    <w:rsid w:val="0093575E"/>
    <w:rsid w:val="009357A6"/>
    <w:rsid w:val="009357E1"/>
    <w:rsid w:val="009357F3"/>
    <w:rsid w:val="00935886"/>
    <w:rsid w:val="009359C8"/>
    <w:rsid w:val="009359FD"/>
    <w:rsid w:val="00935A3A"/>
    <w:rsid w:val="00935BAE"/>
    <w:rsid w:val="00935BCE"/>
    <w:rsid w:val="00935BEA"/>
    <w:rsid w:val="00935E61"/>
    <w:rsid w:val="00935F7D"/>
    <w:rsid w:val="00935FD9"/>
    <w:rsid w:val="00936031"/>
    <w:rsid w:val="00936060"/>
    <w:rsid w:val="00936076"/>
    <w:rsid w:val="00936090"/>
    <w:rsid w:val="00936226"/>
    <w:rsid w:val="009363D4"/>
    <w:rsid w:val="009363E4"/>
    <w:rsid w:val="009364C1"/>
    <w:rsid w:val="009364F6"/>
    <w:rsid w:val="009365D5"/>
    <w:rsid w:val="009365E8"/>
    <w:rsid w:val="0093663E"/>
    <w:rsid w:val="00936665"/>
    <w:rsid w:val="0093683F"/>
    <w:rsid w:val="0093685C"/>
    <w:rsid w:val="009368C2"/>
    <w:rsid w:val="00936966"/>
    <w:rsid w:val="009369C6"/>
    <w:rsid w:val="009369EE"/>
    <w:rsid w:val="00936BCA"/>
    <w:rsid w:val="00936C68"/>
    <w:rsid w:val="00936EAB"/>
    <w:rsid w:val="00936ED5"/>
    <w:rsid w:val="00936F4C"/>
    <w:rsid w:val="00936F95"/>
    <w:rsid w:val="00937005"/>
    <w:rsid w:val="00937072"/>
    <w:rsid w:val="0093713F"/>
    <w:rsid w:val="009373A0"/>
    <w:rsid w:val="00937467"/>
    <w:rsid w:val="009374D6"/>
    <w:rsid w:val="0093759E"/>
    <w:rsid w:val="00937684"/>
    <w:rsid w:val="0093771E"/>
    <w:rsid w:val="009377A4"/>
    <w:rsid w:val="0093783A"/>
    <w:rsid w:val="0093793F"/>
    <w:rsid w:val="00937947"/>
    <w:rsid w:val="00937983"/>
    <w:rsid w:val="00937B05"/>
    <w:rsid w:val="00937C2E"/>
    <w:rsid w:val="00937DD2"/>
    <w:rsid w:val="00937E8D"/>
    <w:rsid w:val="00937F44"/>
    <w:rsid w:val="00937F6A"/>
    <w:rsid w:val="00937FA2"/>
    <w:rsid w:val="00940090"/>
    <w:rsid w:val="009400CE"/>
    <w:rsid w:val="00940176"/>
    <w:rsid w:val="0094019D"/>
    <w:rsid w:val="009401BA"/>
    <w:rsid w:val="0094020C"/>
    <w:rsid w:val="00940359"/>
    <w:rsid w:val="0094037E"/>
    <w:rsid w:val="009403A9"/>
    <w:rsid w:val="009404DD"/>
    <w:rsid w:val="009404F6"/>
    <w:rsid w:val="00940552"/>
    <w:rsid w:val="009406CE"/>
    <w:rsid w:val="0094073F"/>
    <w:rsid w:val="009407F2"/>
    <w:rsid w:val="009408AA"/>
    <w:rsid w:val="009408CD"/>
    <w:rsid w:val="009408F3"/>
    <w:rsid w:val="00940AED"/>
    <w:rsid w:val="00940AF2"/>
    <w:rsid w:val="00940B5C"/>
    <w:rsid w:val="00940B65"/>
    <w:rsid w:val="00940BD8"/>
    <w:rsid w:val="00940C74"/>
    <w:rsid w:val="00940C87"/>
    <w:rsid w:val="00940D37"/>
    <w:rsid w:val="00940E1F"/>
    <w:rsid w:val="00940E29"/>
    <w:rsid w:val="00940E42"/>
    <w:rsid w:val="00940E5D"/>
    <w:rsid w:val="00940F07"/>
    <w:rsid w:val="00940F0C"/>
    <w:rsid w:val="00940FAF"/>
    <w:rsid w:val="009410B8"/>
    <w:rsid w:val="009410C6"/>
    <w:rsid w:val="009410E5"/>
    <w:rsid w:val="0094111F"/>
    <w:rsid w:val="009411C0"/>
    <w:rsid w:val="0094127C"/>
    <w:rsid w:val="009412A2"/>
    <w:rsid w:val="00941306"/>
    <w:rsid w:val="00941346"/>
    <w:rsid w:val="00941430"/>
    <w:rsid w:val="00941464"/>
    <w:rsid w:val="009414EC"/>
    <w:rsid w:val="009414F7"/>
    <w:rsid w:val="00941548"/>
    <w:rsid w:val="009415A8"/>
    <w:rsid w:val="00941609"/>
    <w:rsid w:val="009416F4"/>
    <w:rsid w:val="0094170D"/>
    <w:rsid w:val="00941868"/>
    <w:rsid w:val="0094195B"/>
    <w:rsid w:val="00941A57"/>
    <w:rsid w:val="00941A5C"/>
    <w:rsid w:val="00941AED"/>
    <w:rsid w:val="00941E70"/>
    <w:rsid w:val="00942080"/>
    <w:rsid w:val="0094209A"/>
    <w:rsid w:val="009420BC"/>
    <w:rsid w:val="0094216C"/>
    <w:rsid w:val="00942284"/>
    <w:rsid w:val="009423C0"/>
    <w:rsid w:val="009423D6"/>
    <w:rsid w:val="0094240D"/>
    <w:rsid w:val="00942412"/>
    <w:rsid w:val="0094246A"/>
    <w:rsid w:val="0094247B"/>
    <w:rsid w:val="00942515"/>
    <w:rsid w:val="0094256D"/>
    <w:rsid w:val="0094258C"/>
    <w:rsid w:val="009425C6"/>
    <w:rsid w:val="0094268A"/>
    <w:rsid w:val="009426FD"/>
    <w:rsid w:val="00942707"/>
    <w:rsid w:val="0094270A"/>
    <w:rsid w:val="00942728"/>
    <w:rsid w:val="009427C0"/>
    <w:rsid w:val="009427D4"/>
    <w:rsid w:val="0094280A"/>
    <w:rsid w:val="009428EA"/>
    <w:rsid w:val="0094298C"/>
    <w:rsid w:val="009429AB"/>
    <w:rsid w:val="009429DE"/>
    <w:rsid w:val="00942A4D"/>
    <w:rsid w:val="00942AC8"/>
    <w:rsid w:val="00942B59"/>
    <w:rsid w:val="00942C11"/>
    <w:rsid w:val="00942C65"/>
    <w:rsid w:val="00942C96"/>
    <w:rsid w:val="00942DDD"/>
    <w:rsid w:val="00942DE6"/>
    <w:rsid w:val="00942DFD"/>
    <w:rsid w:val="00942E2D"/>
    <w:rsid w:val="00942F25"/>
    <w:rsid w:val="00942FE5"/>
    <w:rsid w:val="00942FFC"/>
    <w:rsid w:val="00943144"/>
    <w:rsid w:val="00943165"/>
    <w:rsid w:val="009431C6"/>
    <w:rsid w:val="009431CF"/>
    <w:rsid w:val="009431D4"/>
    <w:rsid w:val="009431EB"/>
    <w:rsid w:val="009431EF"/>
    <w:rsid w:val="00943237"/>
    <w:rsid w:val="00943240"/>
    <w:rsid w:val="00943272"/>
    <w:rsid w:val="009432C7"/>
    <w:rsid w:val="00943391"/>
    <w:rsid w:val="009433A3"/>
    <w:rsid w:val="009433EA"/>
    <w:rsid w:val="0094342E"/>
    <w:rsid w:val="0094344C"/>
    <w:rsid w:val="009434C5"/>
    <w:rsid w:val="0094351F"/>
    <w:rsid w:val="009435FE"/>
    <w:rsid w:val="00943616"/>
    <w:rsid w:val="00943629"/>
    <w:rsid w:val="00943660"/>
    <w:rsid w:val="00943727"/>
    <w:rsid w:val="00943782"/>
    <w:rsid w:val="00943811"/>
    <w:rsid w:val="00943833"/>
    <w:rsid w:val="009438C8"/>
    <w:rsid w:val="009438CE"/>
    <w:rsid w:val="00943A76"/>
    <w:rsid w:val="00943A92"/>
    <w:rsid w:val="00943B58"/>
    <w:rsid w:val="00943CF1"/>
    <w:rsid w:val="00943D29"/>
    <w:rsid w:val="00943D5C"/>
    <w:rsid w:val="00943E28"/>
    <w:rsid w:val="00943E72"/>
    <w:rsid w:val="00943F0B"/>
    <w:rsid w:val="00944142"/>
    <w:rsid w:val="009441DE"/>
    <w:rsid w:val="009441FF"/>
    <w:rsid w:val="00944206"/>
    <w:rsid w:val="009443C2"/>
    <w:rsid w:val="00944429"/>
    <w:rsid w:val="0094445F"/>
    <w:rsid w:val="00944594"/>
    <w:rsid w:val="009445E8"/>
    <w:rsid w:val="0094461F"/>
    <w:rsid w:val="009446B6"/>
    <w:rsid w:val="00944818"/>
    <w:rsid w:val="00944845"/>
    <w:rsid w:val="00944887"/>
    <w:rsid w:val="00944938"/>
    <w:rsid w:val="0094496A"/>
    <w:rsid w:val="00944AA4"/>
    <w:rsid w:val="00944B85"/>
    <w:rsid w:val="00944B94"/>
    <w:rsid w:val="00944B9D"/>
    <w:rsid w:val="00944C3F"/>
    <w:rsid w:val="00944C47"/>
    <w:rsid w:val="00944E70"/>
    <w:rsid w:val="00944ED8"/>
    <w:rsid w:val="00944EE4"/>
    <w:rsid w:val="0094503D"/>
    <w:rsid w:val="0094507D"/>
    <w:rsid w:val="009450B2"/>
    <w:rsid w:val="00945178"/>
    <w:rsid w:val="00945195"/>
    <w:rsid w:val="0094519C"/>
    <w:rsid w:val="0094522B"/>
    <w:rsid w:val="00945290"/>
    <w:rsid w:val="009452F2"/>
    <w:rsid w:val="0094533E"/>
    <w:rsid w:val="00945359"/>
    <w:rsid w:val="00945395"/>
    <w:rsid w:val="009454CC"/>
    <w:rsid w:val="00945640"/>
    <w:rsid w:val="009457DC"/>
    <w:rsid w:val="009458CE"/>
    <w:rsid w:val="00945A59"/>
    <w:rsid w:val="00945A5C"/>
    <w:rsid w:val="00945A65"/>
    <w:rsid w:val="00945A9D"/>
    <w:rsid w:val="00945AF1"/>
    <w:rsid w:val="00945B79"/>
    <w:rsid w:val="00945BD9"/>
    <w:rsid w:val="00945C9B"/>
    <w:rsid w:val="00945D0B"/>
    <w:rsid w:val="00945F68"/>
    <w:rsid w:val="00945FBA"/>
    <w:rsid w:val="00945FE1"/>
    <w:rsid w:val="00946033"/>
    <w:rsid w:val="0094608E"/>
    <w:rsid w:val="009460AB"/>
    <w:rsid w:val="00946106"/>
    <w:rsid w:val="009461C2"/>
    <w:rsid w:val="00946228"/>
    <w:rsid w:val="0094635D"/>
    <w:rsid w:val="00946397"/>
    <w:rsid w:val="0094640D"/>
    <w:rsid w:val="009464C1"/>
    <w:rsid w:val="009464FB"/>
    <w:rsid w:val="009465DD"/>
    <w:rsid w:val="0094667A"/>
    <w:rsid w:val="009469B5"/>
    <w:rsid w:val="00946A74"/>
    <w:rsid w:val="00946B2D"/>
    <w:rsid w:val="00946BB9"/>
    <w:rsid w:val="00946C05"/>
    <w:rsid w:val="00946D5D"/>
    <w:rsid w:val="00946DA5"/>
    <w:rsid w:val="00946E86"/>
    <w:rsid w:val="00946EE0"/>
    <w:rsid w:val="00946EF2"/>
    <w:rsid w:val="00946F7B"/>
    <w:rsid w:val="00946FC5"/>
    <w:rsid w:val="00947010"/>
    <w:rsid w:val="009470D1"/>
    <w:rsid w:val="00947144"/>
    <w:rsid w:val="0094714A"/>
    <w:rsid w:val="009472DB"/>
    <w:rsid w:val="009472DE"/>
    <w:rsid w:val="009473AF"/>
    <w:rsid w:val="009473E5"/>
    <w:rsid w:val="0094743B"/>
    <w:rsid w:val="00947478"/>
    <w:rsid w:val="00947522"/>
    <w:rsid w:val="0094760E"/>
    <w:rsid w:val="009476E7"/>
    <w:rsid w:val="009477C0"/>
    <w:rsid w:val="00947836"/>
    <w:rsid w:val="0094784A"/>
    <w:rsid w:val="0094794A"/>
    <w:rsid w:val="00947A64"/>
    <w:rsid w:val="00947B0F"/>
    <w:rsid w:val="00947B7C"/>
    <w:rsid w:val="00947CA0"/>
    <w:rsid w:val="00947D93"/>
    <w:rsid w:val="00947EBA"/>
    <w:rsid w:val="00947F8E"/>
    <w:rsid w:val="00950224"/>
    <w:rsid w:val="009502C3"/>
    <w:rsid w:val="009502FF"/>
    <w:rsid w:val="00950496"/>
    <w:rsid w:val="009504B8"/>
    <w:rsid w:val="009504D4"/>
    <w:rsid w:val="00950517"/>
    <w:rsid w:val="009505D2"/>
    <w:rsid w:val="009505FC"/>
    <w:rsid w:val="0095063A"/>
    <w:rsid w:val="0095064D"/>
    <w:rsid w:val="009506C2"/>
    <w:rsid w:val="00950818"/>
    <w:rsid w:val="00950864"/>
    <w:rsid w:val="00950B7D"/>
    <w:rsid w:val="00950C0B"/>
    <w:rsid w:val="00950C76"/>
    <w:rsid w:val="00950C91"/>
    <w:rsid w:val="00950C94"/>
    <w:rsid w:val="00950D63"/>
    <w:rsid w:val="00950EE0"/>
    <w:rsid w:val="00950EE2"/>
    <w:rsid w:val="0095106B"/>
    <w:rsid w:val="00951172"/>
    <w:rsid w:val="0095132B"/>
    <w:rsid w:val="009513FA"/>
    <w:rsid w:val="009514FB"/>
    <w:rsid w:val="009515CF"/>
    <w:rsid w:val="009515ED"/>
    <w:rsid w:val="009515F5"/>
    <w:rsid w:val="009517C2"/>
    <w:rsid w:val="009518CD"/>
    <w:rsid w:val="009518E1"/>
    <w:rsid w:val="009519CB"/>
    <w:rsid w:val="00951B1C"/>
    <w:rsid w:val="00951B5A"/>
    <w:rsid w:val="00951B98"/>
    <w:rsid w:val="00951C28"/>
    <w:rsid w:val="00951CC4"/>
    <w:rsid w:val="00951DEC"/>
    <w:rsid w:val="00951E19"/>
    <w:rsid w:val="00951FC5"/>
    <w:rsid w:val="0095204A"/>
    <w:rsid w:val="0095204B"/>
    <w:rsid w:val="00952074"/>
    <w:rsid w:val="00952090"/>
    <w:rsid w:val="00952245"/>
    <w:rsid w:val="0095225A"/>
    <w:rsid w:val="009522AD"/>
    <w:rsid w:val="0095259D"/>
    <w:rsid w:val="00952741"/>
    <w:rsid w:val="0095274D"/>
    <w:rsid w:val="00952790"/>
    <w:rsid w:val="009527CC"/>
    <w:rsid w:val="00952B18"/>
    <w:rsid w:val="00952C42"/>
    <w:rsid w:val="00952C45"/>
    <w:rsid w:val="00952D05"/>
    <w:rsid w:val="00952E80"/>
    <w:rsid w:val="00952E8F"/>
    <w:rsid w:val="00952F39"/>
    <w:rsid w:val="00952F59"/>
    <w:rsid w:val="00952F83"/>
    <w:rsid w:val="00952F9D"/>
    <w:rsid w:val="00952FF6"/>
    <w:rsid w:val="0095303C"/>
    <w:rsid w:val="00953164"/>
    <w:rsid w:val="009531F2"/>
    <w:rsid w:val="00953393"/>
    <w:rsid w:val="009533A0"/>
    <w:rsid w:val="009533C5"/>
    <w:rsid w:val="009533CE"/>
    <w:rsid w:val="00953409"/>
    <w:rsid w:val="009534E0"/>
    <w:rsid w:val="009534F2"/>
    <w:rsid w:val="00953588"/>
    <w:rsid w:val="00953637"/>
    <w:rsid w:val="009536B9"/>
    <w:rsid w:val="00953763"/>
    <w:rsid w:val="00953777"/>
    <w:rsid w:val="0095379E"/>
    <w:rsid w:val="009537DA"/>
    <w:rsid w:val="00953882"/>
    <w:rsid w:val="00953AA1"/>
    <w:rsid w:val="00953C19"/>
    <w:rsid w:val="00953C47"/>
    <w:rsid w:val="00953D29"/>
    <w:rsid w:val="00953D47"/>
    <w:rsid w:val="00953D64"/>
    <w:rsid w:val="00953DFF"/>
    <w:rsid w:val="00953E60"/>
    <w:rsid w:val="00953E62"/>
    <w:rsid w:val="00953E66"/>
    <w:rsid w:val="00953EA9"/>
    <w:rsid w:val="00953EB1"/>
    <w:rsid w:val="00953F7A"/>
    <w:rsid w:val="00953FB2"/>
    <w:rsid w:val="009540B0"/>
    <w:rsid w:val="009540B1"/>
    <w:rsid w:val="009540F3"/>
    <w:rsid w:val="00954243"/>
    <w:rsid w:val="0095427C"/>
    <w:rsid w:val="009542A0"/>
    <w:rsid w:val="009543C4"/>
    <w:rsid w:val="009543F8"/>
    <w:rsid w:val="0095445B"/>
    <w:rsid w:val="0095445E"/>
    <w:rsid w:val="00954473"/>
    <w:rsid w:val="00954488"/>
    <w:rsid w:val="00954590"/>
    <w:rsid w:val="009545E8"/>
    <w:rsid w:val="00954662"/>
    <w:rsid w:val="00954694"/>
    <w:rsid w:val="0095469E"/>
    <w:rsid w:val="009546D2"/>
    <w:rsid w:val="00954755"/>
    <w:rsid w:val="009547F8"/>
    <w:rsid w:val="00954816"/>
    <w:rsid w:val="009548DA"/>
    <w:rsid w:val="00954919"/>
    <w:rsid w:val="0095491A"/>
    <w:rsid w:val="0095497C"/>
    <w:rsid w:val="00954A9D"/>
    <w:rsid w:val="00954AA0"/>
    <w:rsid w:val="00954B5A"/>
    <w:rsid w:val="00954C2A"/>
    <w:rsid w:val="00954C5E"/>
    <w:rsid w:val="00954CCF"/>
    <w:rsid w:val="00954D81"/>
    <w:rsid w:val="00954DAA"/>
    <w:rsid w:val="00954EAE"/>
    <w:rsid w:val="00954ECA"/>
    <w:rsid w:val="00954EEC"/>
    <w:rsid w:val="00954F12"/>
    <w:rsid w:val="00954F47"/>
    <w:rsid w:val="00954FE7"/>
    <w:rsid w:val="00955083"/>
    <w:rsid w:val="009551D5"/>
    <w:rsid w:val="00955338"/>
    <w:rsid w:val="0095533A"/>
    <w:rsid w:val="0095538F"/>
    <w:rsid w:val="009553B3"/>
    <w:rsid w:val="00955456"/>
    <w:rsid w:val="009555D1"/>
    <w:rsid w:val="009555FB"/>
    <w:rsid w:val="009556E7"/>
    <w:rsid w:val="009557B9"/>
    <w:rsid w:val="009557C2"/>
    <w:rsid w:val="009557D0"/>
    <w:rsid w:val="00955803"/>
    <w:rsid w:val="0095582E"/>
    <w:rsid w:val="00955870"/>
    <w:rsid w:val="00955960"/>
    <w:rsid w:val="00955B9E"/>
    <w:rsid w:val="00955BFE"/>
    <w:rsid w:val="00955C7A"/>
    <w:rsid w:val="00955CA1"/>
    <w:rsid w:val="00955CBB"/>
    <w:rsid w:val="00955D5F"/>
    <w:rsid w:val="00955DEC"/>
    <w:rsid w:val="00955EA5"/>
    <w:rsid w:val="00955EBC"/>
    <w:rsid w:val="00955EF0"/>
    <w:rsid w:val="00955F12"/>
    <w:rsid w:val="00955F2E"/>
    <w:rsid w:val="0095600C"/>
    <w:rsid w:val="00956026"/>
    <w:rsid w:val="00956125"/>
    <w:rsid w:val="00956199"/>
    <w:rsid w:val="009562F2"/>
    <w:rsid w:val="009563A9"/>
    <w:rsid w:val="0095640F"/>
    <w:rsid w:val="00956441"/>
    <w:rsid w:val="00956486"/>
    <w:rsid w:val="009564FB"/>
    <w:rsid w:val="00956533"/>
    <w:rsid w:val="009565D7"/>
    <w:rsid w:val="0095670B"/>
    <w:rsid w:val="00956784"/>
    <w:rsid w:val="00956839"/>
    <w:rsid w:val="0095689A"/>
    <w:rsid w:val="0095696E"/>
    <w:rsid w:val="00956973"/>
    <w:rsid w:val="009569C1"/>
    <w:rsid w:val="00956A5B"/>
    <w:rsid w:val="00956A67"/>
    <w:rsid w:val="00956B26"/>
    <w:rsid w:val="00956CB9"/>
    <w:rsid w:val="00956D31"/>
    <w:rsid w:val="00956E56"/>
    <w:rsid w:val="00956ED1"/>
    <w:rsid w:val="00956EFB"/>
    <w:rsid w:val="00957002"/>
    <w:rsid w:val="00957097"/>
    <w:rsid w:val="009570BB"/>
    <w:rsid w:val="00957118"/>
    <w:rsid w:val="009571E3"/>
    <w:rsid w:val="00957200"/>
    <w:rsid w:val="009572A3"/>
    <w:rsid w:val="009573E7"/>
    <w:rsid w:val="009574C1"/>
    <w:rsid w:val="009574DC"/>
    <w:rsid w:val="009574FC"/>
    <w:rsid w:val="00957617"/>
    <w:rsid w:val="00957625"/>
    <w:rsid w:val="0095764C"/>
    <w:rsid w:val="00957650"/>
    <w:rsid w:val="00957729"/>
    <w:rsid w:val="00957893"/>
    <w:rsid w:val="009578F7"/>
    <w:rsid w:val="009579B6"/>
    <w:rsid w:val="00957A3E"/>
    <w:rsid w:val="00957A6D"/>
    <w:rsid w:val="00957ACC"/>
    <w:rsid w:val="00957AF5"/>
    <w:rsid w:val="00957B21"/>
    <w:rsid w:val="00957B2D"/>
    <w:rsid w:val="00957B44"/>
    <w:rsid w:val="00957BE2"/>
    <w:rsid w:val="00957C25"/>
    <w:rsid w:val="00957E54"/>
    <w:rsid w:val="00960036"/>
    <w:rsid w:val="009600AC"/>
    <w:rsid w:val="00960197"/>
    <w:rsid w:val="00960244"/>
    <w:rsid w:val="00960285"/>
    <w:rsid w:val="00960298"/>
    <w:rsid w:val="00960348"/>
    <w:rsid w:val="0096043B"/>
    <w:rsid w:val="00960472"/>
    <w:rsid w:val="009604E8"/>
    <w:rsid w:val="009604FA"/>
    <w:rsid w:val="00960507"/>
    <w:rsid w:val="00960518"/>
    <w:rsid w:val="0096060B"/>
    <w:rsid w:val="0096061E"/>
    <w:rsid w:val="0096065C"/>
    <w:rsid w:val="009606AC"/>
    <w:rsid w:val="0096072F"/>
    <w:rsid w:val="009607C7"/>
    <w:rsid w:val="00960886"/>
    <w:rsid w:val="00960889"/>
    <w:rsid w:val="009609DC"/>
    <w:rsid w:val="00960AD1"/>
    <w:rsid w:val="00960B51"/>
    <w:rsid w:val="00960BD6"/>
    <w:rsid w:val="00960D0E"/>
    <w:rsid w:val="00960D28"/>
    <w:rsid w:val="00960D78"/>
    <w:rsid w:val="00960EB7"/>
    <w:rsid w:val="00960ED1"/>
    <w:rsid w:val="00960ED9"/>
    <w:rsid w:val="00960FBA"/>
    <w:rsid w:val="0096106F"/>
    <w:rsid w:val="0096108D"/>
    <w:rsid w:val="009610C0"/>
    <w:rsid w:val="0096113C"/>
    <w:rsid w:val="0096128C"/>
    <w:rsid w:val="009612DF"/>
    <w:rsid w:val="009612E5"/>
    <w:rsid w:val="0096130C"/>
    <w:rsid w:val="0096131C"/>
    <w:rsid w:val="00961356"/>
    <w:rsid w:val="00961379"/>
    <w:rsid w:val="00961510"/>
    <w:rsid w:val="0096164B"/>
    <w:rsid w:val="00961696"/>
    <w:rsid w:val="009616B2"/>
    <w:rsid w:val="009617BB"/>
    <w:rsid w:val="009617C2"/>
    <w:rsid w:val="009617C7"/>
    <w:rsid w:val="009617E8"/>
    <w:rsid w:val="00961918"/>
    <w:rsid w:val="00961947"/>
    <w:rsid w:val="00961A0F"/>
    <w:rsid w:val="00961AD2"/>
    <w:rsid w:val="00961B41"/>
    <w:rsid w:val="00961BF6"/>
    <w:rsid w:val="00961C63"/>
    <w:rsid w:val="00961C6C"/>
    <w:rsid w:val="00961D63"/>
    <w:rsid w:val="00961D6C"/>
    <w:rsid w:val="00961E06"/>
    <w:rsid w:val="00961FA7"/>
    <w:rsid w:val="00962087"/>
    <w:rsid w:val="00962114"/>
    <w:rsid w:val="009621D0"/>
    <w:rsid w:val="00962290"/>
    <w:rsid w:val="009622EF"/>
    <w:rsid w:val="00962303"/>
    <w:rsid w:val="0096230F"/>
    <w:rsid w:val="0096240D"/>
    <w:rsid w:val="0096247F"/>
    <w:rsid w:val="009624A4"/>
    <w:rsid w:val="009624CD"/>
    <w:rsid w:val="00962500"/>
    <w:rsid w:val="0096260D"/>
    <w:rsid w:val="009626D2"/>
    <w:rsid w:val="009627DB"/>
    <w:rsid w:val="009627FE"/>
    <w:rsid w:val="0096286D"/>
    <w:rsid w:val="00962906"/>
    <w:rsid w:val="00962939"/>
    <w:rsid w:val="00962952"/>
    <w:rsid w:val="00962964"/>
    <w:rsid w:val="00962A8E"/>
    <w:rsid w:val="00962AFC"/>
    <w:rsid w:val="00962C1B"/>
    <w:rsid w:val="00962C1D"/>
    <w:rsid w:val="00962CA4"/>
    <w:rsid w:val="00962CEF"/>
    <w:rsid w:val="00962D11"/>
    <w:rsid w:val="00962D67"/>
    <w:rsid w:val="00962EA4"/>
    <w:rsid w:val="00962F03"/>
    <w:rsid w:val="00962F79"/>
    <w:rsid w:val="00962FFC"/>
    <w:rsid w:val="00963213"/>
    <w:rsid w:val="0096328D"/>
    <w:rsid w:val="00963297"/>
    <w:rsid w:val="0096330E"/>
    <w:rsid w:val="00963352"/>
    <w:rsid w:val="00963381"/>
    <w:rsid w:val="009633A6"/>
    <w:rsid w:val="009633D3"/>
    <w:rsid w:val="009633FB"/>
    <w:rsid w:val="00963428"/>
    <w:rsid w:val="0096343C"/>
    <w:rsid w:val="009634F7"/>
    <w:rsid w:val="00963523"/>
    <w:rsid w:val="0096361B"/>
    <w:rsid w:val="00963764"/>
    <w:rsid w:val="00963786"/>
    <w:rsid w:val="009637A4"/>
    <w:rsid w:val="009637AD"/>
    <w:rsid w:val="00963826"/>
    <w:rsid w:val="009639A9"/>
    <w:rsid w:val="00963AA8"/>
    <w:rsid w:val="00963AB6"/>
    <w:rsid w:val="00963BAD"/>
    <w:rsid w:val="00963D00"/>
    <w:rsid w:val="00963DFF"/>
    <w:rsid w:val="00963F7D"/>
    <w:rsid w:val="009640EF"/>
    <w:rsid w:val="009641D4"/>
    <w:rsid w:val="0096429A"/>
    <w:rsid w:val="009642E4"/>
    <w:rsid w:val="0096436C"/>
    <w:rsid w:val="009643CF"/>
    <w:rsid w:val="009643F4"/>
    <w:rsid w:val="00964418"/>
    <w:rsid w:val="009644DC"/>
    <w:rsid w:val="00964558"/>
    <w:rsid w:val="009645DA"/>
    <w:rsid w:val="009646D8"/>
    <w:rsid w:val="00964701"/>
    <w:rsid w:val="009647F7"/>
    <w:rsid w:val="009648BC"/>
    <w:rsid w:val="009648E9"/>
    <w:rsid w:val="00964A57"/>
    <w:rsid w:val="00964B26"/>
    <w:rsid w:val="00964BD7"/>
    <w:rsid w:val="00964BE4"/>
    <w:rsid w:val="00964C5A"/>
    <w:rsid w:val="00964CA3"/>
    <w:rsid w:val="00964D16"/>
    <w:rsid w:val="00964D31"/>
    <w:rsid w:val="00964EF7"/>
    <w:rsid w:val="00964EFA"/>
    <w:rsid w:val="00964EFF"/>
    <w:rsid w:val="00964FD0"/>
    <w:rsid w:val="00964FE0"/>
    <w:rsid w:val="00965071"/>
    <w:rsid w:val="009650F4"/>
    <w:rsid w:val="009651E4"/>
    <w:rsid w:val="00965234"/>
    <w:rsid w:val="0096529A"/>
    <w:rsid w:val="0096542C"/>
    <w:rsid w:val="00965516"/>
    <w:rsid w:val="00965545"/>
    <w:rsid w:val="009656C2"/>
    <w:rsid w:val="009658DE"/>
    <w:rsid w:val="009659C4"/>
    <w:rsid w:val="009659E5"/>
    <w:rsid w:val="00965BB1"/>
    <w:rsid w:val="00965C25"/>
    <w:rsid w:val="00965CA0"/>
    <w:rsid w:val="00965CE8"/>
    <w:rsid w:val="00965D44"/>
    <w:rsid w:val="00965DD0"/>
    <w:rsid w:val="00965EFB"/>
    <w:rsid w:val="00965F00"/>
    <w:rsid w:val="00965F5D"/>
    <w:rsid w:val="00965F6D"/>
    <w:rsid w:val="00965F88"/>
    <w:rsid w:val="00965FA0"/>
    <w:rsid w:val="00966023"/>
    <w:rsid w:val="00966049"/>
    <w:rsid w:val="0096616A"/>
    <w:rsid w:val="0096616B"/>
    <w:rsid w:val="009661C3"/>
    <w:rsid w:val="0096625F"/>
    <w:rsid w:val="0096633C"/>
    <w:rsid w:val="009665B8"/>
    <w:rsid w:val="00966698"/>
    <w:rsid w:val="009667A0"/>
    <w:rsid w:val="0096696B"/>
    <w:rsid w:val="0096698B"/>
    <w:rsid w:val="00966B32"/>
    <w:rsid w:val="00966D07"/>
    <w:rsid w:val="00966D58"/>
    <w:rsid w:val="00966D82"/>
    <w:rsid w:val="00966DDA"/>
    <w:rsid w:val="00966E12"/>
    <w:rsid w:val="00966F02"/>
    <w:rsid w:val="00966F25"/>
    <w:rsid w:val="00966F64"/>
    <w:rsid w:val="00966FD0"/>
    <w:rsid w:val="0096704F"/>
    <w:rsid w:val="009670C6"/>
    <w:rsid w:val="009670EB"/>
    <w:rsid w:val="00967242"/>
    <w:rsid w:val="009672B8"/>
    <w:rsid w:val="009672CE"/>
    <w:rsid w:val="0096734A"/>
    <w:rsid w:val="00967484"/>
    <w:rsid w:val="00967491"/>
    <w:rsid w:val="00967541"/>
    <w:rsid w:val="009675A4"/>
    <w:rsid w:val="009675D2"/>
    <w:rsid w:val="00967636"/>
    <w:rsid w:val="00967823"/>
    <w:rsid w:val="009678CE"/>
    <w:rsid w:val="00967948"/>
    <w:rsid w:val="00967992"/>
    <w:rsid w:val="00967A67"/>
    <w:rsid w:val="00967A9E"/>
    <w:rsid w:val="00967ACC"/>
    <w:rsid w:val="00967B0F"/>
    <w:rsid w:val="00967B22"/>
    <w:rsid w:val="00967B59"/>
    <w:rsid w:val="00967D37"/>
    <w:rsid w:val="00967D58"/>
    <w:rsid w:val="00967D60"/>
    <w:rsid w:val="00967D9B"/>
    <w:rsid w:val="00967DDF"/>
    <w:rsid w:val="00967E0E"/>
    <w:rsid w:val="00967E6B"/>
    <w:rsid w:val="00967F80"/>
    <w:rsid w:val="009700F0"/>
    <w:rsid w:val="00970181"/>
    <w:rsid w:val="0097021B"/>
    <w:rsid w:val="00970220"/>
    <w:rsid w:val="0097032B"/>
    <w:rsid w:val="00970425"/>
    <w:rsid w:val="0097046B"/>
    <w:rsid w:val="0097048F"/>
    <w:rsid w:val="009704EA"/>
    <w:rsid w:val="009705A4"/>
    <w:rsid w:val="00970641"/>
    <w:rsid w:val="00970708"/>
    <w:rsid w:val="00970751"/>
    <w:rsid w:val="00970769"/>
    <w:rsid w:val="0097079C"/>
    <w:rsid w:val="009707D3"/>
    <w:rsid w:val="00970860"/>
    <w:rsid w:val="00970976"/>
    <w:rsid w:val="009709AA"/>
    <w:rsid w:val="00970A21"/>
    <w:rsid w:val="00970A76"/>
    <w:rsid w:val="00970ABB"/>
    <w:rsid w:val="00970B16"/>
    <w:rsid w:val="00970B1D"/>
    <w:rsid w:val="00970BFE"/>
    <w:rsid w:val="00970C78"/>
    <w:rsid w:val="00970D38"/>
    <w:rsid w:val="00970D92"/>
    <w:rsid w:val="00970DEB"/>
    <w:rsid w:val="00970E5D"/>
    <w:rsid w:val="00970E67"/>
    <w:rsid w:val="00970EB4"/>
    <w:rsid w:val="00970F5B"/>
    <w:rsid w:val="00970F8C"/>
    <w:rsid w:val="00970FB7"/>
    <w:rsid w:val="00970FBC"/>
    <w:rsid w:val="00970FFA"/>
    <w:rsid w:val="00971084"/>
    <w:rsid w:val="009710B7"/>
    <w:rsid w:val="009710BB"/>
    <w:rsid w:val="0097114E"/>
    <w:rsid w:val="0097115F"/>
    <w:rsid w:val="009711F2"/>
    <w:rsid w:val="0097128E"/>
    <w:rsid w:val="009712F8"/>
    <w:rsid w:val="0097132B"/>
    <w:rsid w:val="0097134A"/>
    <w:rsid w:val="009713A3"/>
    <w:rsid w:val="009714E2"/>
    <w:rsid w:val="009715E3"/>
    <w:rsid w:val="00971613"/>
    <w:rsid w:val="00971618"/>
    <w:rsid w:val="00971656"/>
    <w:rsid w:val="009717CC"/>
    <w:rsid w:val="00971839"/>
    <w:rsid w:val="009719A1"/>
    <w:rsid w:val="00971B50"/>
    <w:rsid w:val="00971BAE"/>
    <w:rsid w:val="00971C6A"/>
    <w:rsid w:val="00971CA0"/>
    <w:rsid w:val="00971D64"/>
    <w:rsid w:val="00971EED"/>
    <w:rsid w:val="00971F95"/>
    <w:rsid w:val="00972016"/>
    <w:rsid w:val="0097204D"/>
    <w:rsid w:val="009720A1"/>
    <w:rsid w:val="009720B8"/>
    <w:rsid w:val="009720BE"/>
    <w:rsid w:val="00972188"/>
    <w:rsid w:val="00972243"/>
    <w:rsid w:val="00972269"/>
    <w:rsid w:val="0097235C"/>
    <w:rsid w:val="00972400"/>
    <w:rsid w:val="009724E9"/>
    <w:rsid w:val="009725C7"/>
    <w:rsid w:val="009725CA"/>
    <w:rsid w:val="00972651"/>
    <w:rsid w:val="0097269B"/>
    <w:rsid w:val="0097282C"/>
    <w:rsid w:val="00972865"/>
    <w:rsid w:val="00972956"/>
    <w:rsid w:val="0097296F"/>
    <w:rsid w:val="009729D4"/>
    <w:rsid w:val="00972A37"/>
    <w:rsid w:val="00972BE8"/>
    <w:rsid w:val="00972BEA"/>
    <w:rsid w:val="00972BF3"/>
    <w:rsid w:val="00972CD2"/>
    <w:rsid w:val="00972D2F"/>
    <w:rsid w:val="00972DA0"/>
    <w:rsid w:val="00972DD6"/>
    <w:rsid w:val="00972E15"/>
    <w:rsid w:val="00972E2C"/>
    <w:rsid w:val="00972E2E"/>
    <w:rsid w:val="00972E50"/>
    <w:rsid w:val="00972EA8"/>
    <w:rsid w:val="00972EE1"/>
    <w:rsid w:val="00973065"/>
    <w:rsid w:val="00973183"/>
    <w:rsid w:val="0097320A"/>
    <w:rsid w:val="00973253"/>
    <w:rsid w:val="009732CA"/>
    <w:rsid w:val="0097333E"/>
    <w:rsid w:val="00973389"/>
    <w:rsid w:val="00973390"/>
    <w:rsid w:val="009735B8"/>
    <w:rsid w:val="0097360C"/>
    <w:rsid w:val="00973613"/>
    <w:rsid w:val="0097365A"/>
    <w:rsid w:val="00973787"/>
    <w:rsid w:val="0097383F"/>
    <w:rsid w:val="00973848"/>
    <w:rsid w:val="009738C8"/>
    <w:rsid w:val="00973917"/>
    <w:rsid w:val="00973921"/>
    <w:rsid w:val="00973955"/>
    <w:rsid w:val="00973A32"/>
    <w:rsid w:val="00973ADC"/>
    <w:rsid w:val="00973B5F"/>
    <w:rsid w:val="00973E04"/>
    <w:rsid w:val="00973E5A"/>
    <w:rsid w:val="00973EB5"/>
    <w:rsid w:val="00973F02"/>
    <w:rsid w:val="00973FB1"/>
    <w:rsid w:val="0097401E"/>
    <w:rsid w:val="00974224"/>
    <w:rsid w:val="00974274"/>
    <w:rsid w:val="009743B4"/>
    <w:rsid w:val="00974410"/>
    <w:rsid w:val="0097447A"/>
    <w:rsid w:val="00974534"/>
    <w:rsid w:val="0097453B"/>
    <w:rsid w:val="00974546"/>
    <w:rsid w:val="0097459D"/>
    <w:rsid w:val="0097459E"/>
    <w:rsid w:val="009746F8"/>
    <w:rsid w:val="00974787"/>
    <w:rsid w:val="009747BD"/>
    <w:rsid w:val="009747F9"/>
    <w:rsid w:val="009748BA"/>
    <w:rsid w:val="00974969"/>
    <w:rsid w:val="009749C4"/>
    <w:rsid w:val="00974A0F"/>
    <w:rsid w:val="00974A4F"/>
    <w:rsid w:val="00974B24"/>
    <w:rsid w:val="00974B39"/>
    <w:rsid w:val="00974B47"/>
    <w:rsid w:val="00974C0A"/>
    <w:rsid w:val="00974CD2"/>
    <w:rsid w:val="00974CE8"/>
    <w:rsid w:val="00974D25"/>
    <w:rsid w:val="00974D39"/>
    <w:rsid w:val="00974DC9"/>
    <w:rsid w:val="00974EE1"/>
    <w:rsid w:val="00974F1A"/>
    <w:rsid w:val="00974F2D"/>
    <w:rsid w:val="00974F92"/>
    <w:rsid w:val="00974FB0"/>
    <w:rsid w:val="00974FDA"/>
    <w:rsid w:val="0097501F"/>
    <w:rsid w:val="009750A5"/>
    <w:rsid w:val="00975103"/>
    <w:rsid w:val="009751F0"/>
    <w:rsid w:val="0097521A"/>
    <w:rsid w:val="0097523D"/>
    <w:rsid w:val="00975414"/>
    <w:rsid w:val="0097547F"/>
    <w:rsid w:val="00975565"/>
    <w:rsid w:val="0097560B"/>
    <w:rsid w:val="00975624"/>
    <w:rsid w:val="009756DE"/>
    <w:rsid w:val="0097571E"/>
    <w:rsid w:val="0097576D"/>
    <w:rsid w:val="009757B3"/>
    <w:rsid w:val="00975855"/>
    <w:rsid w:val="009758EF"/>
    <w:rsid w:val="009759AF"/>
    <w:rsid w:val="009759C7"/>
    <w:rsid w:val="009759CA"/>
    <w:rsid w:val="00975A52"/>
    <w:rsid w:val="00975B30"/>
    <w:rsid w:val="00975E30"/>
    <w:rsid w:val="00975E8D"/>
    <w:rsid w:val="00975F26"/>
    <w:rsid w:val="00975F60"/>
    <w:rsid w:val="00975F91"/>
    <w:rsid w:val="0097601E"/>
    <w:rsid w:val="0097604E"/>
    <w:rsid w:val="009763AB"/>
    <w:rsid w:val="009763B3"/>
    <w:rsid w:val="009763F3"/>
    <w:rsid w:val="0097640E"/>
    <w:rsid w:val="00976461"/>
    <w:rsid w:val="0097647D"/>
    <w:rsid w:val="00976539"/>
    <w:rsid w:val="00976562"/>
    <w:rsid w:val="009765AC"/>
    <w:rsid w:val="009765B2"/>
    <w:rsid w:val="00976626"/>
    <w:rsid w:val="00976683"/>
    <w:rsid w:val="009766DC"/>
    <w:rsid w:val="009766F0"/>
    <w:rsid w:val="00976721"/>
    <w:rsid w:val="009767DA"/>
    <w:rsid w:val="00976936"/>
    <w:rsid w:val="0097693B"/>
    <w:rsid w:val="00976975"/>
    <w:rsid w:val="00976A1D"/>
    <w:rsid w:val="00976A6D"/>
    <w:rsid w:val="00976ACD"/>
    <w:rsid w:val="00976B4A"/>
    <w:rsid w:val="00976B65"/>
    <w:rsid w:val="00976BA5"/>
    <w:rsid w:val="00976D49"/>
    <w:rsid w:val="00976D7E"/>
    <w:rsid w:val="00976DFE"/>
    <w:rsid w:val="00976E07"/>
    <w:rsid w:val="00976E51"/>
    <w:rsid w:val="00976EDF"/>
    <w:rsid w:val="00976F1B"/>
    <w:rsid w:val="00976F3F"/>
    <w:rsid w:val="00976FDF"/>
    <w:rsid w:val="00977041"/>
    <w:rsid w:val="00977048"/>
    <w:rsid w:val="009770B6"/>
    <w:rsid w:val="009770C7"/>
    <w:rsid w:val="009771E0"/>
    <w:rsid w:val="009772A0"/>
    <w:rsid w:val="009772E4"/>
    <w:rsid w:val="0097736A"/>
    <w:rsid w:val="0097744C"/>
    <w:rsid w:val="009774B6"/>
    <w:rsid w:val="00977504"/>
    <w:rsid w:val="0097754D"/>
    <w:rsid w:val="009775D0"/>
    <w:rsid w:val="00977706"/>
    <w:rsid w:val="009777B8"/>
    <w:rsid w:val="009777E5"/>
    <w:rsid w:val="00977935"/>
    <w:rsid w:val="009779D1"/>
    <w:rsid w:val="009779F6"/>
    <w:rsid w:val="00977A95"/>
    <w:rsid w:val="00977B6A"/>
    <w:rsid w:val="00977B81"/>
    <w:rsid w:val="00977B93"/>
    <w:rsid w:val="00977C1E"/>
    <w:rsid w:val="00977CDB"/>
    <w:rsid w:val="00977D62"/>
    <w:rsid w:val="00977D8B"/>
    <w:rsid w:val="00977DAF"/>
    <w:rsid w:val="00977DD8"/>
    <w:rsid w:val="00977E4A"/>
    <w:rsid w:val="00977F8B"/>
    <w:rsid w:val="00977FE5"/>
    <w:rsid w:val="00980054"/>
    <w:rsid w:val="009802DC"/>
    <w:rsid w:val="00980385"/>
    <w:rsid w:val="009803AC"/>
    <w:rsid w:val="0098044C"/>
    <w:rsid w:val="0098046D"/>
    <w:rsid w:val="009804EF"/>
    <w:rsid w:val="00980516"/>
    <w:rsid w:val="0098051F"/>
    <w:rsid w:val="0098059C"/>
    <w:rsid w:val="00980759"/>
    <w:rsid w:val="00980A76"/>
    <w:rsid w:val="00980B79"/>
    <w:rsid w:val="00980B8F"/>
    <w:rsid w:val="00980C1A"/>
    <w:rsid w:val="00980C37"/>
    <w:rsid w:val="00980CBA"/>
    <w:rsid w:val="00980CF6"/>
    <w:rsid w:val="00980D2D"/>
    <w:rsid w:val="00980D71"/>
    <w:rsid w:val="00980DD2"/>
    <w:rsid w:val="00981050"/>
    <w:rsid w:val="009810B2"/>
    <w:rsid w:val="009810D6"/>
    <w:rsid w:val="009810EF"/>
    <w:rsid w:val="00981118"/>
    <w:rsid w:val="0098113C"/>
    <w:rsid w:val="009811A6"/>
    <w:rsid w:val="009812CB"/>
    <w:rsid w:val="00981335"/>
    <w:rsid w:val="00981352"/>
    <w:rsid w:val="00981393"/>
    <w:rsid w:val="009813E1"/>
    <w:rsid w:val="009813F7"/>
    <w:rsid w:val="0098142D"/>
    <w:rsid w:val="009814B4"/>
    <w:rsid w:val="00981563"/>
    <w:rsid w:val="0098163C"/>
    <w:rsid w:val="009816BF"/>
    <w:rsid w:val="009816F2"/>
    <w:rsid w:val="00981714"/>
    <w:rsid w:val="00981767"/>
    <w:rsid w:val="009817B0"/>
    <w:rsid w:val="00981831"/>
    <w:rsid w:val="00981943"/>
    <w:rsid w:val="0098194D"/>
    <w:rsid w:val="00981988"/>
    <w:rsid w:val="00981A1F"/>
    <w:rsid w:val="00981A4F"/>
    <w:rsid w:val="00981A6E"/>
    <w:rsid w:val="00981B72"/>
    <w:rsid w:val="00981BF2"/>
    <w:rsid w:val="00981C6F"/>
    <w:rsid w:val="00981CA3"/>
    <w:rsid w:val="00981CB9"/>
    <w:rsid w:val="00981CC8"/>
    <w:rsid w:val="00981D3B"/>
    <w:rsid w:val="00981D78"/>
    <w:rsid w:val="00981F30"/>
    <w:rsid w:val="00981F44"/>
    <w:rsid w:val="00981F4E"/>
    <w:rsid w:val="00981FC3"/>
    <w:rsid w:val="009820C6"/>
    <w:rsid w:val="0098210E"/>
    <w:rsid w:val="00982124"/>
    <w:rsid w:val="009821CE"/>
    <w:rsid w:val="009821D6"/>
    <w:rsid w:val="00982331"/>
    <w:rsid w:val="009824B0"/>
    <w:rsid w:val="0098251F"/>
    <w:rsid w:val="009826D9"/>
    <w:rsid w:val="009828D5"/>
    <w:rsid w:val="009828EF"/>
    <w:rsid w:val="00982A87"/>
    <w:rsid w:val="00982A96"/>
    <w:rsid w:val="00982AC9"/>
    <w:rsid w:val="00982C1C"/>
    <w:rsid w:val="00982D54"/>
    <w:rsid w:val="00982E89"/>
    <w:rsid w:val="00982EE8"/>
    <w:rsid w:val="00982F11"/>
    <w:rsid w:val="00982F34"/>
    <w:rsid w:val="00982FE1"/>
    <w:rsid w:val="0098305C"/>
    <w:rsid w:val="00983072"/>
    <w:rsid w:val="00983152"/>
    <w:rsid w:val="0098326A"/>
    <w:rsid w:val="009832BC"/>
    <w:rsid w:val="009832C1"/>
    <w:rsid w:val="009832D3"/>
    <w:rsid w:val="00983403"/>
    <w:rsid w:val="00983452"/>
    <w:rsid w:val="00983613"/>
    <w:rsid w:val="00983633"/>
    <w:rsid w:val="009837E1"/>
    <w:rsid w:val="0098381D"/>
    <w:rsid w:val="00983992"/>
    <w:rsid w:val="00983A34"/>
    <w:rsid w:val="00983A59"/>
    <w:rsid w:val="00983BBA"/>
    <w:rsid w:val="00983BDB"/>
    <w:rsid w:val="00983BEE"/>
    <w:rsid w:val="00983CD4"/>
    <w:rsid w:val="00983D4E"/>
    <w:rsid w:val="00983DE0"/>
    <w:rsid w:val="00983E61"/>
    <w:rsid w:val="00983F3C"/>
    <w:rsid w:val="00983FE0"/>
    <w:rsid w:val="0098414C"/>
    <w:rsid w:val="009842A3"/>
    <w:rsid w:val="009843B8"/>
    <w:rsid w:val="009843BF"/>
    <w:rsid w:val="00984400"/>
    <w:rsid w:val="00984444"/>
    <w:rsid w:val="00984493"/>
    <w:rsid w:val="0098455A"/>
    <w:rsid w:val="0098463D"/>
    <w:rsid w:val="00984674"/>
    <w:rsid w:val="009846B0"/>
    <w:rsid w:val="009847AB"/>
    <w:rsid w:val="009847BB"/>
    <w:rsid w:val="00984AAC"/>
    <w:rsid w:val="00984AC0"/>
    <w:rsid w:val="00984AF5"/>
    <w:rsid w:val="00984AFD"/>
    <w:rsid w:val="00984BDD"/>
    <w:rsid w:val="00984BFB"/>
    <w:rsid w:val="00984C21"/>
    <w:rsid w:val="00984C89"/>
    <w:rsid w:val="00984C93"/>
    <w:rsid w:val="00984C96"/>
    <w:rsid w:val="00984D64"/>
    <w:rsid w:val="00984E4D"/>
    <w:rsid w:val="00984E4E"/>
    <w:rsid w:val="009850BE"/>
    <w:rsid w:val="00985127"/>
    <w:rsid w:val="0098521E"/>
    <w:rsid w:val="00985289"/>
    <w:rsid w:val="009852FF"/>
    <w:rsid w:val="009853D3"/>
    <w:rsid w:val="00985437"/>
    <w:rsid w:val="00985448"/>
    <w:rsid w:val="009854E3"/>
    <w:rsid w:val="00985557"/>
    <w:rsid w:val="009855AE"/>
    <w:rsid w:val="009855CB"/>
    <w:rsid w:val="009855D8"/>
    <w:rsid w:val="0098565B"/>
    <w:rsid w:val="009856B7"/>
    <w:rsid w:val="0098571B"/>
    <w:rsid w:val="00985777"/>
    <w:rsid w:val="009857C1"/>
    <w:rsid w:val="009857C4"/>
    <w:rsid w:val="009857F2"/>
    <w:rsid w:val="0098585D"/>
    <w:rsid w:val="009858CD"/>
    <w:rsid w:val="009858D2"/>
    <w:rsid w:val="00985A6E"/>
    <w:rsid w:val="00985A91"/>
    <w:rsid w:val="00985B1D"/>
    <w:rsid w:val="00985B30"/>
    <w:rsid w:val="00985C28"/>
    <w:rsid w:val="00985D2F"/>
    <w:rsid w:val="00985D44"/>
    <w:rsid w:val="00985DA0"/>
    <w:rsid w:val="00985E12"/>
    <w:rsid w:val="00985F6D"/>
    <w:rsid w:val="00985FD5"/>
    <w:rsid w:val="00986036"/>
    <w:rsid w:val="009860EC"/>
    <w:rsid w:val="0098617B"/>
    <w:rsid w:val="0098619C"/>
    <w:rsid w:val="00986215"/>
    <w:rsid w:val="009862E5"/>
    <w:rsid w:val="009862FE"/>
    <w:rsid w:val="0098638C"/>
    <w:rsid w:val="00986497"/>
    <w:rsid w:val="00986507"/>
    <w:rsid w:val="009865E6"/>
    <w:rsid w:val="009865F1"/>
    <w:rsid w:val="009865F8"/>
    <w:rsid w:val="00986608"/>
    <w:rsid w:val="0098664F"/>
    <w:rsid w:val="00986665"/>
    <w:rsid w:val="00986685"/>
    <w:rsid w:val="009866E1"/>
    <w:rsid w:val="0098672E"/>
    <w:rsid w:val="0098673B"/>
    <w:rsid w:val="00986877"/>
    <w:rsid w:val="0098690C"/>
    <w:rsid w:val="009869C4"/>
    <w:rsid w:val="009869CA"/>
    <w:rsid w:val="00986B2F"/>
    <w:rsid w:val="00986B55"/>
    <w:rsid w:val="00986B73"/>
    <w:rsid w:val="00986BA4"/>
    <w:rsid w:val="00986CDD"/>
    <w:rsid w:val="00986CF3"/>
    <w:rsid w:val="00986D31"/>
    <w:rsid w:val="00986DD2"/>
    <w:rsid w:val="00986E06"/>
    <w:rsid w:val="00986E16"/>
    <w:rsid w:val="0098707A"/>
    <w:rsid w:val="0098707D"/>
    <w:rsid w:val="009872C6"/>
    <w:rsid w:val="00987396"/>
    <w:rsid w:val="0098748F"/>
    <w:rsid w:val="00987580"/>
    <w:rsid w:val="009875B6"/>
    <w:rsid w:val="009875EF"/>
    <w:rsid w:val="009876E3"/>
    <w:rsid w:val="0098771B"/>
    <w:rsid w:val="00987782"/>
    <w:rsid w:val="0098780A"/>
    <w:rsid w:val="00987838"/>
    <w:rsid w:val="00987885"/>
    <w:rsid w:val="009878EF"/>
    <w:rsid w:val="0098796C"/>
    <w:rsid w:val="009879B1"/>
    <w:rsid w:val="00987AD8"/>
    <w:rsid w:val="00987B0E"/>
    <w:rsid w:val="00987B93"/>
    <w:rsid w:val="00987BBC"/>
    <w:rsid w:val="00987C84"/>
    <w:rsid w:val="00987D1E"/>
    <w:rsid w:val="00987D92"/>
    <w:rsid w:val="00987EB5"/>
    <w:rsid w:val="00987EB9"/>
    <w:rsid w:val="00987F60"/>
    <w:rsid w:val="00987F77"/>
    <w:rsid w:val="00987FD2"/>
    <w:rsid w:val="00987FFB"/>
    <w:rsid w:val="009900D3"/>
    <w:rsid w:val="0099016F"/>
    <w:rsid w:val="009901A1"/>
    <w:rsid w:val="00990284"/>
    <w:rsid w:val="00990308"/>
    <w:rsid w:val="0099030A"/>
    <w:rsid w:val="00990374"/>
    <w:rsid w:val="009904B3"/>
    <w:rsid w:val="009904D8"/>
    <w:rsid w:val="009904F6"/>
    <w:rsid w:val="0099050B"/>
    <w:rsid w:val="009905AE"/>
    <w:rsid w:val="009905D3"/>
    <w:rsid w:val="009905E1"/>
    <w:rsid w:val="0099071C"/>
    <w:rsid w:val="009907F6"/>
    <w:rsid w:val="009908FD"/>
    <w:rsid w:val="00990A6D"/>
    <w:rsid w:val="00990A7D"/>
    <w:rsid w:val="00990B81"/>
    <w:rsid w:val="00990CB1"/>
    <w:rsid w:val="00990D7A"/>
    <w:rsid w:val="00990DE4"/>
    <w:rsid w:val="00990DF6"/>
    <w:rsid w:val="00990FD5"/>
    <w:rsid w:val="00991061"/>
    <w:rsid w:val="00991244"/>
    <w:rsid w:val="009913FD"/>
    <w:rsid w:val="00991433"/>
    <w:rsid w:val="00991571"/>
    <w:rsid w:val="009915D0"/>
    <w:rsid w:val="00991651"/>
    <w:rsid w:val="00991654"/>
    <w:rsid w:val="0099171E"/>
    <w:rsid w:val="00991777"/>
    <w:rsid w:val="00991830"/>
    <w:rsid w:val="009918A8"/>
    <w:rsid w:val="009918D5"/>
    <w:rsid w:val="00991987"/>
    <w:rsid w:val="0099198D"/>
    <w:rsid w:val="00991A14"/>
    <w:rsid w:val="00991A4C"/>
    <w:rsid w:val="00991AED"/>
    <w:rsid w:val="00991C62"/>
    <w:rsid w:val="00991C6A"/>
    <w:rsid w:val="00991C71"/>
    <w:rsid w:val="00991E90"/>
    <w:rsid w:val="00991EC0"/>
    <w:rsid w:val="009920EE"/>
    <w:rsid w:val="009920FF"/>
    <w:rsid w:val="00992109"/>
    <w:rsid w:val="00992174"/>
    <w:rsid w:val="00992191"/>
    <w:rsid w:val="009922CF"/>
    <w:rsid w:val="009922D2"/>
    <w:rsid w:val="009922F4"/>
    <w:rsid w:val="0099231E"/>
    <w:rsid w:val="00992353"/>
    <w:rsid w:val="009923C7"/>
    <w:rsid w:val="009924F2"/>
    <w:rsid w:val="009925A7"/>
    <w:rsid w:val="0099265C"/>
    <w:rsid w:val="009926B2"/>
    <w:rsid w:val="009926E5"/>
    <w:rsid w:val="00992741"/>
    <w:rsid w:val="00992745"/>
    <w:rsid w:val="00992749"/>
    <w:rsid w:val="0099277B"/>
    <w:rsid w:val="00992792"/>
    <w:rsid w:val="00992854"/>
    <w:rsid w:val="0099290C"/>
    <w:rsid w:val="00992915"/>
    <w:rsid w:val="00992922"/>
    <w:rsid w:val="0099295A"/>
    <w:rsid w:val="00992A0A"/>
    <w:rsid w:val="00992B11"/>
    <w:rsid w:val="00992B5C"/>
    <w:rsid w:val="00992C75"/>
    <w:rsid w:val="00992DAA"/>
    <w:rsid w:val="00992E07"/>
    <w:rsid w:val="00992E82"/>
    <w:rsid w:val="00992F1C"/>
    <w:rsid w:val="00992F30"/>
    <w:rsid w:val="00993055"/>
    <w:rsid w:val="009930EF"/>
    <w:rsid w:val="00993174"/>
    <w:rsid w:val="0099325D"/>
    <w:rsid w:val="0099325E"/>
    <w:rsid w:val="009932BC"/>
    <w:rsid w:val="009936A4"/>
    <w:rsid w:val="009936FB"/>
    <w:rsid w:val="00993777"/>
    <w:rsid w:val="0099377B"/>
    <w:rsid w:val="00993985"/>
    <w:rsid w:val="00993AB4"/>
    <w:rsid w:val="00993AF6"/>
    <w:rsid w:val="00993C96"/>
    <w:rsid w:val="00993DC2"/>
    <w:rsid w:val="00993DE2"/>
    <w:rsid w:val="00993EAB"/>
    <w:rsid w:val="00993F9E"/>
    <w:rsid w:val="00994044"/>
    <w:rsid w:val="00994153"/>
    <w:rsid w:val="00994194"/>
    <w:rsid w:val="009942B7"/>
    <w:rsid w:val="0099430B"/>
    <w:rsid w:val="0099432C"/>
    <w:rsid w:val="00994358"/>
    <w:rsid w:val="00994395"/>
    <w:rsid w:val="009943BC"/>
    <w:rsid w:val="009944AF"/>
    <w:rsid w:val="009944ED"/>
    <w:rsid w:val="0099454A"/>
    <w:rsid w:val="00994578"/>
    <w:rsid w:val="009945B7"/>
    <w:rsid w:val="009945C3"/>
    <w:rsid w:val="0099463A"/>
    <w:rsid w:val="0099466E"/>
    <w:rsid w:val="009947C7"/>
    <w:rsid w:val="009949FD"/>
    <w:rsid w:val="00994A2B"/>
    <w:rsid w:val="00994AF6"/>
    <w:rsid w:val="00994CDD"/>
    <w:rsid w:val="00994D53"/>
    <w:rsid w:val="00994E08"/>
    <w:rsid w:val="00994F51"/>
    <w:rsid w:val="00995054"/>
    <w:rsid w:val="0099524A"/>
    <w:rsid w:val="0099533A"/>
    <w:rsid w:val="00995367"/>
    <w:rsid w:val="009953C9"/>
    <w:rsid w:val="009954B2"/>
    <w:rsid w:val="00995500"/>
    <w:rsid w:val="00995841"/>
    <w:rsid w:val="00995922"/>
    <w:rsid w:val="0099596D"/>
    <w:rsid w:val="0099597F"/>
    <w:rsid w:val="00995992"/>
    <w:rsid w:val="00995A8A"/>
    <w:rsid w:val="00995AB6"/>
    <w:rsid w:val="00995B80"/>
    <w:rsid w:val="00995C67"/>
    <w:rsid w:val="00995C81"/>
    <w:rsid w:val="00995CEE"/>
    <w:rsid w:val="00995DD7"/>
    <w:rsid w:val="00995E06"/>
    <w:rsid w:val="00995E1A"/>
    <w:rsid w:val="00995F51"/>
    <w:rsid w:val="0099601E"/>
    <w:rsid w:val="00996077"/>
    <w:rsid w:val="009960B4"/>
    <w:rsid w:val="00996147"/>
    <w:rsid w:val="0099614E"/>
    <w:rsid w:val="00996177"/>
    <w:rsid w:val="009961C1"/>
    <w:rsid w:val="009962CA"/>
    <w:rsid w:val="009962FE"/>
    <w:rsid w:val="00996346"/>
    <w:rsid w:val="0099640C"/>
    <w:rsid w:val="009964BE"/>
    <w:rsid w:val="009964D8"/>
    <w:rsid w:val="00996531"/>
    <w:rsid w:val="009965BE"/>
    <w:rsid w:val="009965E6"/>
    <w:rsid w:val="00996672"/>
    <w:rsid w:val="009966F7"/>
    <w:rsid w:val="009968AF"/>
    <w:rsid w:val="009968C9"/>
    <w:rsid w:val="00996915"/>
    <w:rsid w:val="0099694B"/>
    <w:rsid w:val="009969F1"/>
    <w:rsid w:val="00996A39"/>
    <w:rsid w:val="00996ABA"/>
    <w:rsid w:val="00996AC7"/>
    <w:rsid w:val="00996ADA"/>
    <w:rsid w:val="00996B42"/>
    <w:rsid w:val="00996B72"/>
    <w:rsid w:val="00996B82"/>
    <w:rsid w:val="00996B9E"/>
    <w:rsid w:val="00996CA2"/>
    <w:rsid w:val="00996DF8"/>
    <w:rsid w:val="00996E68"/>
    <w:rsid w:val="009971D5"/>
    <w:rsid w:val="009972BA"/>
    <w:rsid w:val="00997564"/>
    <w:rsid w:val="00997570"/>
    <w:rsid w:val="009975D8"/>
    <w:rsid w:val="0099772B"/>
    <w:rsid w:val="009977A4"/>
    <w:rsid w:val="009978A5"/>
    <w:rsid w:val="009978CF"/>
    <w:rsid w:val="009978F2"/>
    <w:rsid w:val="0099791D"/>
    <w:rsid w:val="0099794A"/>
    <w:rsid w:val="0099796A"/>
    <w:rsid w:val="009979FC"/>
    <w:rsid w:val="00997A80"/>
    <w:rsid w:val="00997A82"/>
    <w:rsid w:val="00997AC2"/>
    <w:rsid w:val="00997AD7"/>
    <w:rsid w:val="00997BAB"/>
    <w:rsid w:val="00997C7A"/>
    <w:rsid w:val="00997DC2"/>
    <w:rsid w:val="00997E7B"/>
    <w:rsid w:val="00997E9D"/>
    <w:rsid w:val="00997F97"/>
    <w:rsid w:val="00997FAE"/>
    <w:rsid w:val="009A0008"/>
    <w:rsid w:val="009A003B"/>
    <w:rsid w:val="009A007A"/>
    <w:rsid w:val="009A00E9"/>
    <w:rsid w:val="009A0143"/>
    <w:rsid w:val="009A0151"/>
    <w:rsid w:val="009A01A5"/>
    <w:rsid w:val="009A01E3"/>
    <w:rsid w:val="009A0255"/>
    <w:rsid w:val="009A033F"/>
    <w:rsid w:val="009A034D"/>
    <w:rsid w:val="009A0362"/>
    <w:rsid w:val="009A040B"/>
    <w:rsid w:val="009A0484"/>
    <w:rsid w:val="009A048A"/>
    <w:rsid w:val="009A04B9"/>
    <w:rsid w:val="009A051A"/>
    <w:rsid w:val="009A0601"/>
    <w:rsid w:val="009A0622"/>
    <w:rsid w:val="009A0674"/>
    <w:rsid w:val="009A067E"/>
    <w:rsid w:val="009A06B3"/>
    <w:rsid w:val="009A0780"/>
    <w:rsid w:val="009A0817"/>
    <w:rsid w:val="009A08B9"/>
    <w:rsid w:val="009A09A5"/>
    <w:rsid w:val="009A09BB"/>
    <w:rsid w:val="009A0A7F"/>
    <w:rsid w:val="009A0B21"/>
    <w:rsid w:val="009A0B30"/>
    <w:rsid w:val="009A0B3B"/>
    <w:rsid w:val="009A0B7F"/>
    <w:rsid w:val="009A0B87"/>
    <w:rsid w:val="009A0BDC"/>
    <w:rsid w:val="009A0C16"/>
    <w:rsid w:val="009A0E5D"/>
    <w:rsid w:val="009A0F24"/>
    <w:rsid w:val="009A0FA0"/>
    <w:rsid w:val="009A1035"/>
    <w:rsid w:val="009A10B5"/>
    <w:rsid w:val="009A1101"/>
    <w:rsid w:val="009A117E"/>
    <w:rsid w:val="009A11E3"/>
    <w:rsid w:val="009A11E4"/>
    <w:rsid w:val="009A12A8"/>
    <w:rsid w:val="009A139E"/>
    <w:rsid w:val="009A146A"/>
    <w:rsid w:val="009A148A"/>
    <w:rsid w:val="009A1494"/>
    <w:rsid w:val="009A1495"/>
    <w:rsid w:val="009A152A"/>
    <w:rsid w:val="009A171E"/>
    <w:rsid w:val="009A1839"/>
    <w:rsid w:val="009A18EC"/>
    <w:rsid w:val="009A1933"/>
    <w:rsid w:val="009A1942"/>
    <w:rsid w:val="009A195C"/>
    <w:rsid w:val="009A19AF"/>
    <w:rsid w:val="009A19C8"/>
    <w:rsid w:val="009A1AA8"/>
    <w:rsid w:val="009A1B60"/>
    <w:rsid w:val="009A1E89"/>
    <w:rsid w:val="009A1F3A"/>
    <w:rsid w:val="009A1F43"/>
    <w:rsid w:val="009A1FC5"/>
    <w:rsid w:val="009A200F"/>
    <w:rsid w:val="009A202C"/>
    <w:rsid w:val="009A204A"/>
    <w:rsid w:val="009A2133"/>
    <w:rsid w:val="009A21ED"/>
    <w:rsid w:val="009A2292"/>
    <w:rsid w:val="009A2324"/>
    <w:rsid w:val="009A2338"/>
    <w:rsid w:val="009A234E"/>
    <w:rsid w:val="009A249B"/>
    <w:rsid w:val="009A251E"/>
    <w:rsid w:val="009A2534"/>
    <w:rsid w:val="009A25D0"/>
    <w:rsid w:val="009A267F"/>
    <w:rsid w:val="009A26D9"/>
    <w:rsid w:val="009A26DE"/>
    <w:rsid w:val="009A26F8"/>
    <w:rsid w:val="009A277C"/>
    <w:rsid w:val="009A2816"/>
    <w:rsid w:val="009A2827"/>
    <w:rsid w:val="009A2835"/>
    <w:rsid w:val="009A2850"/>
    <w:rsid w:val="009A28D1"/>
    <w:rsid w:val="009A2958"/>
    <w:rsid w:val="009A2A86"/>
    <w:rsid w:val="009A2A9E"/>
    <w:rsid w:val="009A2B7A"/>
    <w:rsid w:val="009A2BC6"/>
    <w:rsid w:val="009A2C9E"/>
    <w:rsid w:val="009A2CC1"/>
    <w:rsid w:val="009A2D0C"/>
    <w:rsid w:val="009A2E00"/>
    <w:rsid w:val="009A2E68"/>
    <w:rsid w:val="009A300E"/>
    <w:rsid w:val="009A30C3"/>
    <w:rsid w:val="009A30D2"/>
    <w:rsid w:val="009A318E"/>
    <w:rsid w:val="009A3320"/>
    <w:rsid w:val="009A3350"/>
    <w:rsid w:val="009A3353"/>
    <w:rsid w:val="009A335C"/>
    <w:rsid w:val="009A345F"/>
    <w:rsid w:val="009A3505"/>
    <w:rsid w:val="009A352F"/>
    <w:rsid w:val="009A359F"/>
    <w:rsid w:val="009A35C3"/>
    <w:rsid w:val="009A373C"/>
    <w:rsid w:val="009A379E"/>
    <w:rsid w:val="009A37F8"/>
    <w:rsid w:val="009A3884"/>
    <w:rsid w:val="009A391B"/>
    <w:rsid w:val="009A3938"/>
    <w:rsid w:val="009A395B"/>
    <w:rsid w:val="009A3AB6"/>
    <w:rsid w:val="009A3B0B"/>
    <w:rsid w:val="009A3B29"/>
    <w:rsid w:val="009A3B53"/>
    <w:rsid w:val="009A3BE4"/>
    <w:rsid w:val="009A3C55"/>
    <w:rsid w:val="009A3C88"/>
    <w:rsid w:val="009A3CA5"/>
    <w:rsid w:val="009A3D03"/>
    <w:rsid w:val="009A3FEF"/>
    <w:rsid w:val="009A402C"/>
    <w:rsid w:val="009A40C0"/>
    <w:rsid w:val="009A411B"/>
    <w:rsid w:val="009A41AD"/>
    <w:rsid w:val="009A41CC"/>
    <w:rsid w:val="009A41E1"/>
    <w:rsid w:val="009A42E5"/>
    <w:rsid w:val="009A4356"/>
    <w:rsid w:val="009A44B6"/>
    <w:rsid w:val="009A4636"/>
    <w:rsid w:val="009A4662"/>
    <w:rsid w:val="009A4799"/>
    <w:rsid w:val="009A47F2"/>
    <w:rsid w:val="009A4888"/>
    <w:rsid w:val="009A4918"/>
    <w:rsid w:val="009A4941"/>
    <w:rsid w:val="009A497B"/>
    <w:rsid w:val="009A49D2"/>
    <w:rsid w:val="009A49E6"/>
    <w:rsid w:val="009A4AA8"/>
    <w:rsid w:val="009A4C0B"/>
    <w:rsid w:val="009A4CB8"/>
    <w:rsid w:val="009A4D8A"/>
    <w:rsid w:val="009A4EF8"/>
    <w:rsid w:val="009A504D"/>
    <w:rsid w:val="009A5138"/>
    <w:rsid w:val="009A5168"/>
    <w:rsid w:val="009A5233"/>
    <w:rsid w:val="009A5377"/>
    <w:rsid w:val="009A539D"/>
    <w:rsid w:val="009A53AD"/>
    <w:rsid w:val="009A5441"/>
    <w:rsid w:val="009A554A"/>
    <w:rsid w:val="009A55D8"/>
    <w:rsid w:val="009A5664"/>
    <w:rsid w:val="009A5732"/>
    <w:rsid w:val="009A57EE"/>
    <w:rsid w:val="009A5875"/>
    <w:rsid w:val="009A594A"/>
    <w:rsid w:val="009A598A"/>
    <w:rsid w:val="009A5991"/>
    <w:rsid w:val="009A5B24"/>
    <w:rsid w:val="009A5DE9"/>
    <w:rsid w:val="009A5E33"/>
    <w:rsid w:val="009A5ED1"/>
    <w:rsid w:val="009A5EEE"/>
    <w:rsid w:val="009A5FB7"/>
    <w:rsid w:val="009A5FC3"/>
    <w:rsid w:val="009A600F"/>
    <w:rsid w:val="009A60CE"/>
    <w:rsid w:val="009A60EC"/>
    <w:rsid w:val="009A61DC"/>
    <w:rsid w:val="009A61FB"/>
    <w:rsid w:val="009A62EE"/>
    <w:rsid w:val="009A6389"/>
    <w:rsid w:val="009A6440"/>
    <w:rsid w:val="009A64C5"/>
    <w:rsid w:val="009A6505"/>
    <w:rsid w:val="009A658F"/>
    <w:rsid w:val="009A6639"/>
    <w:rsid w:val="009A6699"/>
    <w:rsid w:val="009A67A0"/>
    <w:rsid w:val="009A67AB"/>
    <w:rsid w:val="009A67D6"/>
    <w:rsid w:val="009A6811"/>
    <w:rsid w:val="009A68B3"/>
    <w:rsid w:val="009A6AC9"/>
    <w:rsid w:val="009A6AE7"/>
    <w:rsid w:val="009A6B16"/>
    <w:rsid w:val="009A6B47"/>
    <w:rsid w:val="009A6B8F"/>
    <w:rsid w:val="009A6C14"/>
    <w:rsid w:val="009A6CA0"/>
    <w:rsid w:val="009A6CC4"/>
    <w:rsid w:val="009A6CFE"/>
    <w:rsid w:val="009A6DC6"/>
    <w:rsid w:val="009A6DCE"/>
    <w:rsid w:val="009A6E74"/>
    <w:rsid w:val="009A706D"/>
    <w:rsid w:val="009A706F"/>
    <w:rsid w:val="009A70C4"/>
    <w:rsid w:val="009A70DD"/>
    <w:rsid w:val="009A70FF"/>
    <w:rsid w:val="009A715F"/>
    <w:rsid w:val="009A7167"/>
    <w:rsid w:val="009A71A5"/>
    <w:rsid w:val="009A7267"/>
    <w:rsid w:val="009A72B0"/>
    <w:rsid w:val="009A72E1"/>
    <w:rsid w:val="009A73AF"/>
    <w:rsid w:val="009A74E1"/>
    <w:rsid w:val="009A751E"/>
    <w:rsid w:val="009A7521"/>
    <w:rsid w:val="009A7580"/>
    <w:rsid w:val="009A7607"/>
    <w:rsid w:val="009A7619"/>
    <w:rsid w:val="009A7623"/>
    <w:rsid w:val="009A768A"/>
    <w:rsid w:val="009A7730"/>
    <w:rsid w:val="009A777C"/>
    <w:rsid w:val="009A77A5"/>
    <w:rsid w:val="009A7810"/>
    <w:rsid w:val="009A785A"/>
    <w:rsid w:val="009A7864"/>
    <w:rsid w:val="009A796E"/>
    <w:rsid w:val="009A79C5"/>
    <w:rsid w:val="009A79D1"/>
    <w:rsid w:val="009A7A33"/>
    <w:rsid w:val="009A7AE1"/>
    <w:rsid w:val="009A7B39"/>
    <w:rsid w:val="009A7C24"/>
    <w:rsid w:val="009A7CBA"/>
    <w:rsid w:val="009A7CDC"/>
    <w:rsid w:val="009A7D87"/>
    <w:rsid w:val="009A7DFF"/>
    <w:rsid w:val="009A7E53"/>
    <w:rsid w:val="009A7FA5"/>
    <w:rsid w:val="009A7FB6"/>
    <w:rsid w:val="009B0103"/>
    <w:rsid w:val="009B01E7"/>
    <w:rsid w:val="009B0203"/>
    <w:rsid w:val="009B0207"/>
    <w:rsid w:val="009B02A8"/>
    <w:rsid w:val="009B02B7"/>
    <w:rsid w:val="009B031A"/>
    <w:rsid w:val="009B03F2"/>
    <w:rsid w:val="009B0402"/>
    <w:rsid w:val="009B0431"/>
    <w:rsid w:val="009B05FB"/>
    <w:rsid w:val="009B062F"/>
    <w:rsid w:val="009B0641"/>
    <w:rsid w:val="009B075F"/>
    <w:rsid w:val="009B09F8"/>
    <w:rsid w:val="009B0BA0"/>
    <w:rsid w:val="009B0C5C"/>
    <w:rsid w:val="009B0CEC"/>
    <w:rsid w:val="009B0D5D"/>
    <w:rsid w:val="009B0EDC"/>
    <w:rsid w:val="009B1091"/>
    <w:rsid w:val="009B1147"/>
    <w:rsid w:val="009B11BB"/>
    <w:rsid w:val="009B11EF"/>
    <w:rsid w:val="009B1207"/>
    <w:rsid w:val="009B122B"/>
    <w:rsid w:val="009B1240"/>
    <w:rsid w:val="009B126B"/>
    <w:rsid w:val="009B1353"/>
    <w:rsid w:val="009B135E"/>
    <w:rsid w:val="009B14A2"/>
    <w:rsid w:val="009B14C9"/>
    <w:rsid w:val="009B14E9"/>
    <w:rsid w:val="009B151E"/>
    <w:rsid w:val="009B15AE"/>
    <w:rsid w:val="009B15B5"/>
    <w:rsid w:val="009B1734"/>
    <w:rsid w:val="009B1857"/>
    <w:rsid w:val="009B18C5"/>
    <w:rsid w:val="009B19BB"/>
    <w:rsid w:val="009B1B32"/>
    <w:rsid w:val="009B1C2F"/>
    <w:rsid w:val="009B1C6F"/>
    <w:rsid w:val="009B1C76"/>
    <w:rsid w:val="009B1C90"/>
    <w:rsid w:val="009B1D49"/>
    <w:rsid w:val="009B1DAC"/>
    <w:rsid w:val="009B1DF6"/>
    <w:rsid w:val="009B1EFA"/>
    <w:rsid w:val="009B1F5E"/>
    <w:rsid w:val="009B1F8F"/>
    <w:rsid w:val="009B1FAD"/>
    <w:rsid w:val="009B20E6"/>
    <w:rsid w:val="009B20E8"/>
    <w:rsid w:val="009B21C8"/>
    <w:rsid w:val="009B2371"/>
    <w:rsid w:val="009B23E1"/>
    <w:rsid w:val="009B2525"/>
    <w:rsid w:val="009B259B"/>
    <w:rsid w:val="009B25A8"/>
    <w:rsid w:val="009B26B7"/>
    <w:rsid w:val="009B272A"/>
    <w:rsid w:val="009B2733"/>
    <w:rsid w:val="009B27DD"/>
    <w:rsid w:val="009B28AE"/>
    <w:rsid w:val="009B2917"/>
    <w:rsid w:val="009B292A"/>
    <w:rsid w:val="009B2964"/>
    <w:rsid w:val="009B2999"/>
    <w:rsid w:val="009B29A3"/>
    <w:rsid w:val="009B29C3"/>
    <w:rsid w:val="009B29CD"/>
    <w:rsid w:val="009B2AFD"/>
    <w:rsid w:val="009B2B5A"/>
    <w:rsid w:val="009B2B62"/>
    <w:rsid w:val="009B2BAE"/>
    <w:rsid w:val="009B2BB8"/>
    <w:rsid w:val="009B2C18"/>
    <w:rsid w:val="009B2D60"/>
    <w:rsid w:val="009B2D8F"/>
    <w:rsid w:val="009B2E4E"/>
    <w:rsid w:val="009B2E8E"/>
    <w:rsid w:val="009B2EC3"/>
    <w:rsid w:val="009B2ED3"/>
    <w:rsid w:val="009B2F64"/>
    <w:rsid w:val="009B2F93"/>
    <w:rsid w:val="009B30A8"/>
    <w:rsid w:val="009B3144"/>
    <w:rsid w:val="009B3146"/>
    <w:rsid w:val="009B316A"/>
    <w:rsid w:val="009B334F"/>
    <w:rsid w:val="009B3355"/>
    <w:rsid w:val="009B3415"/>
    <w:rsid w:val="009B3499"/>
    <w:rsid w:val="009B34E6"/>
    <w:rsid w:val="009B35AA"/>
    <w:rsid w:val="009B35BE"/>
    <w:rsid w:val="009B3637"/>
    <w:rsid w:val="009B364D"/>
    <w:rsid w:val="009B375F"/>
    <w:rsid w:val="009B37F1"/>
    <w:rsid w:val="009B382E"/>
    <w:rsid w:val="009B386A"/>
    <w:rsid w:val="009B3900"/>
    <w:rsid w:val="009B3949"/>
    <w:rsid w:val="009B3971"/>
    <w:rsid w:val="009B3991"/>
    <w:rsid w:val="009B39DD"/>
    <w:rsid w:val="009B3AAC"/>
    <w:rsid w:val="009B3B01"/>
    <w:rsid w:val="009B3B18"/>
    <w:rsid w:val="009B3C99"/>
    <w:rsid w:val="009B3F51"/>
    <w:rsid w:val="009B4004"/>
    <w:rsid w:val="009B4018"/>
    <w:rsid w:val="009B4081"/>
    <w:rsid w:val="009B40E2"/>
    <w:rsid w:val="009B41A1"/>
    <w:rsid w:val="009B41FC"/>
    <w:rsid w:val="009B4271"/>
    <w:rsid w:val="009B4291"/>
    <w:rsid w:val="009B42C6"/>
    <w:rsid w:val="009B439E"/>
    <w:rsid w:val="009B4433"/>
    <w:rsid w:val="009B4436"/>
    <w:rsid w:val="009B444C"/>
    <w:rsid w:val="009B4543"/>
    <w:rsid w:val="009B4713"/>
    <w:rsid w:val="009B4837"/>
    <w:rsid w:val="009B4A6A"/>
    <w:rsid w:val="009B4B05"/>
    <w:rsid w:val="009B4BFC"/>
    <w:rsid w:val="009B4C15"/>
    <w:rsid w:val="009B4C82"/>
    <w:rsid w:val="009B4D7B"/>
    <w:rsid w:val="009B4E17"/>
    <w:rsid w:val="009B4E46"/>
    <w:rsid w:val="009B4EF2"/>
    <w:rsid w:val="009B5084"/>
    <w:rsid w:val="009B50DA"/>
    <w:rsid w:val="009B5199"/>
    <w:rsid w:val="009B51D8"/>
    <w:rsid w:val="009B525E"/>
    <w:rsid w:val="009B52C9"/>
    <w:rsid w:val="009B5310"/>
    <w:rsid w:val="009B5319"/>
    <w:rsid w:val="009B534B"/>
    <w:rsid w:val="009B53A6"/>
    <w:rsid w:val="009B5404"/>
    <w:rsid w:val="009B551E"/>
    <w:rsid w:val="009B5527"/>
    <w:rsid w:val="009B5550"/>
    <w:rsid w:val="009B55CD"/>
    <w:rsid w:val="009B5614"/>
    <w:rsid w:val="009B567E"/>
    <w:rsid w:val="009B56CF"/>
    <w:rsid w:val="009B57B7"/>
    <w:rsid w:val="009B58C1"/>
    <w:rsid w:val="009B5961"/>
    <w:rsid w:val="009B5B3B"/>
    <w:rsid w:val="009B5BC7"/>
    <w:rsid w:val="009B5C71"/>
    <w:rsid w:val="009B5C86"/>
    <w:rsid w:val="009B5CAB"/>
    <w:rsid w:val="009B5E07"/>
    <w:rsid w:val="009B5EF3"/>
    <w:rsid w:val="009B6067"/>
    <w:rsid w:val="009B6157"/>
    <w:rsid w:val="009B618D"/>
    <w:rsid w:val="009B6236"/>
    <w:rsid w:val="009B6282"/>
    <w:rsid w:val="009B6283"/>
    <w:rsid w:val="009B62B8"/>
    <w:rsid w:val="009B62B9"/>
    <w:rsid w:val="009B6324"/>
    <w:rsid w:val="009B63BC"/>
    <w:rsid w:val="009B63E0"/>
    <w:rsid w:val="009B63F7"/>
    <w:rsid w:val="009B644E"/>
    <w:rsid w:val="009B6475"/>
    <w:rsid w:val="009B659A"/>
    <w:rsid w:val="009B668C"/>
    <w:rsid w:val="009B66C9"/>
    <w:rsid w:val="009B672B"/>
    <w:rsid w:val="009B6793"/>
    <w:rsid w:val="009B67E0"/>
    <w:rsid w:val="009B68C5"/>
    <w:rsid w:val="009B6983"/>
    <w:rsid w:val="009B69EA"/>
    <w:rsid w:val="009B6A50"/>
    <w:rsid w:val="009B6AFE"/>
    <w:rsid w:val="009B6C71"/>
    <w:rsid w:val="009B6EC9"/>
    <w:rsid w:val="009B6F80"/>
    <w:rsid w:val="009B7079"/>
    <w:rsid w:val="009B70DC"/>
    <w:rsid w:val="009B7127"/>
    <w:rsid w:val="009B7148"/>
    <w:rsid w:val="009B7272"/>
    <w:rsid w:val="009B72AA"/>
    <w:rsid w:val="009B73BB"/>
    <w:rsid w:val="009B74EC"/>
    <w:rsid w:val="009B74F0"/>
    <w:rsid w:val="009B75A8"/>
    <w:rsid w:val="009B75B5"/>
    <w:rsid w:val="009B75B9"/>
    <w:rsid w:val="009B760D"/>
    <w:rsid w:val="009B76E4"/>
    <w:rsid w:val="009B77B8"/>
    <w:rsid w:val="009B7807"/>
    <w:rsid w:val="009B795A"/>
    <w:rsid w:val="009B79C0"/>
    <w:rsid w:val="009B7B13"/>
    <w:rsid w:val="009B7C19"/>
    <w:rsid w:val="009B7C30"/>
    <w:rsid w:val="009B7DA3"/>
    <w:rsid w:val="009B7E73"/>
    <w:rsid w:val="009B7E84"/>
    <w:rsid w:val="009B7F56"/>
    <w:rsid w:val="009B7F6C"/>
    <w:rsid w:val="009B7FA4"/>
    <w:rsid w:val="009B7FB2"/>
    <w:rsid w:val="009B7FC2"/>
    <w:rsid w:val="009B7FF5"/>
    <w:rsid w:val="009C001F"/>
    <w:rsid w:val="009C003A"/>
    <w:rsid w:val="009C00E0"/>
    <w:rsid w:val="009C010F"/>
    <w:rsid w:val="009C0273"/>
    <w:rsid w:val="009C028A"/>
    <w:rsid w:val="009C02E2"/>
    <w:rsid w:val="009C0325"/>
    <w:rsid w:val="009C033F"/>
    <w:rsid w:val="009C03A5"/>
    <w:rsid w:val="009C0471"/>
    <w:rsid w:val="009C0539"/>
    <w:rsid w:val="009C053A"/>
    <w:rsid w:val="009C0562"/>
    <w:rsid w:val="009C06BD"/>
    <w:rsid w:val="009C077E"/>
    <w:rsid w:val="009C0792"/>
    <w:rsid w:val="009C0946"/>
    <w:rsid w:val="009C0B26"/>
    <w:rsid w:val="009C0BAA"/>
    <w:rsid w:val="009C0C11"/>
    <w:rsid w:val="009C0C29"/>
    <w:rsid w:val="009C0CD4"/>
    <w:rsid w:val="009C0E33"/>
    <w:rsid w:val="009C0E7D"/>
    <w:rsid w:val="009C0F61"/>
    <w:rsid w:val="009C0FD6"/>
    <w:rsid w:val="009C0FEC"/>
    <w:rsid w:val="009C108C"/>
    <w:rsid w:val="009C10E2"/>
    <w:rsid w:val="009C10E5"/>
    <w:rsid w:val="009C10EB"/>
    <w:rsid w:val="009C1176"/>
    <w:rsid w:val="009C11C5"/>
    <w:rsid w:val="009C121A"/>
    <w:rsid w:val="009C12C5"/>
    <w:rsid w:val="009C135B"/>
    <w:rsid w:val="009C13D4"/>
    <w:rsid w:val="009C14AA"/>
    <w:rsid w:val="009C1504"/>
    <w:rsid w:val="009C1565"/>
    <w:rsid w:val="009C1580"/>
    <w:rsid w:val="009C16A5"/>
    <w:rsid w:val="009C1769"/>
    <w:rsid w:val="009C1772"/>
    <w:rsid w:val="009C1801"/>
    <w:rsid w:val="009C1843"/>
    <w:rsid w:val="009C1A15"/>
    <w:rsid w:val="009C1B4B"/>
    <w:rsid w:val="009C1B76"/>
    <w:rsid w:val="009C1B80"/>
    <w:rsid w:val="009C1B87"/>
    <w:rsid w:val="009C1BBE"/>
    <w:rsid w:val="009C1BC1"/>
    <w:rsid w:val="009C1C43"/>
    <w:rsid w:val="009C1D01"/>
    <w:rsid w:val="009C1D1C"/>
    <w:rsid w:val="009C1DED"/>
    <w:rsid w:val="009C1EFB"/>
    <w:rsid w:val="009C1F3B"/>
    <w:rsid w:val="009C1FDD"/>
    <w:rsid w:val="009C1FE4"/>
    <w:rsid w:val="009C21A1"/>
    <w:rsid w:val="009C22FF"/>
    <w:rsid w:val="009C2344"/>
    <w:rsid w:val="009C240E"/>
    <w:rsid w:val="009C2742"/>
    <w:rsid w:val="009C28FA"/>
    <w:rsid w:val="009C2C16"/>
    <w:rsid w:val="009C2CAB"/>
    <w:rsid w:val="009C2D26"/>
    <w:rsid w:val="009C2DDC"/>
    <w:rsid w:val="009C2DFE"/>
    <w:rsid w:val="009C2E26"/>
    <w:rsid w:val="009C2F63"/>
    <w:rsid w:val="009C3053"/>
    <w:rsid w:val="009C3057"/>
    <w:rsid w:val="009C31E3"/>
    <w:rsid w:val="009C31F1"/>
    <w:rsid w:val="009C332E"/>
    <w:rsid w:val="009C3385"/>
    <w:rsid w:val="009C33D3"/>
    <w:rsid w:val="009C34F1"/>
    <w:rsid w:val="009C355C"/>
    <w:rsid w:val="009C3623"/>
    <w:rsid w:val="009C362A"/>
    <w:rsid w:val="009C3647"/>
    <w:rsid w:val="009C367D"/>
    <w:rsid w:val="009C3707"/>
    <w:rsid w:val="009C37A6"/>
    <w:rsid w:val="009C37F3"/>
    <w:rsid w:val="009C385C"/>
    <w:rsid w:val="009C3876"/>
    <w:rsid w:val="009C3880"/>
    <w:rsid w:val="009C39FC"/>
    <w:rsid w:val="009C3A95"/>
    <w:rsid w:val="009C3B29"/>
    <w:rsid w:val="009C3BED"/>
    <w:rsid w:val="009C3C60"/>
    <w:rsid w:val="009C3C6F"/>
    <w:rsid w:val="009C3CA6"/>
    <w:rsid w:val="009C3CEA"/>
    <w:rsid w:val="009C3E5A"/>
    <w:rsid w:val="009C3F47"/>
    <w:rsid w:val="009C3F4C"/>
    <w:rsid w:val="009C40BE"/>
    <w:rsid w:val="009C40DC"/>
    <w:rsid w:val="009C412C"/>
    <w:rsid w:val="009C4230"/>
    <w:rsid w:val="009C4282"/>
    <w:rsid w:val="009C429B"/>
    <w:rsid w:val="009C42BA"/>
    <w:rsid w:val="009C4313"/>
    <w:rsid w:val="009C4321"/>
    <w:rsid w:val="009C4434"/>
    <w:rsid w:val="009C4568"/>
    <w:rsid w:val="009C47E1"/>
    <w:rsid w:val="009C48A7"/>
    <w:rsid w:val="009C48BA"/>
    <w:rsid w:val="009C48FB"/>
    <w:rsid w:val="009C490B"/>
    <w:rsid w:val="009C496F"/>
    <w:rsid w:val="009C4AEA"/>
    <w:rsid w:val="009C4B3F"/>
    <w:rsid w:val="009C4B77"/>
    <w:rsid w:val="009C4BD5"/>
    <w:rsid w:val="009C4BFC"/>
    <w:rsid w:val="009C4CC4"/>
    <w:rsid w:val="009C4D45"/>
    <w:rsid w:val="009C4D4A"/>
    <w:rsid w:val="009C4D7E"/>
    <w:rsid w:val="009C4D8A"/>
    <w:rsid w:val="009C4F2E"/>
    <w:rsid w:val="009C5076"/>
    <w:rsid w:val="009C50F2"/>
    <w:rsid w:val="009C51BD"/>
    <w:rsid w:val="009C51EA"/>
    <w:rsid w:val="009C5233"/>
    <w:rsid w:val="009C5251"/>
    <w:rsid w:val="009C52A0"/>
    <w:rsid w:val="009C5372"/>
    <w:rsid w:val="009C546A"/>
    <w:rsid w:val="009C547E"/>
    <w:rsid w:val="009C54EA"/>
    <w:rsid w:val="009C5539"/>
    <w:rsid w:val="009C568B"/>
    <w:rsid w:val="009C56F0"/>
    <w:rsid w:val="009C5789"/>
    <w:rsid w:val="009C578A"/>
    <w:rsid w:val="009C57B6"/>
    <w:rsid w:val="009C57C0"/>
    <w:rsid w:val="009C59A4"/>
    <w:rsid w:val="009C5A86"/>
    <w:rsid w:val="009C5AD8"/>
    <w:rsid w:val="009C5B17"/>
    <w:rsid w:val="009C5B86"/>
    <w:rsid w:val="009C5C62"/>
    <w:rsid w:val="009C5E72"/>
    <w:rsid w:val="009C5E7C"/>
    <w:rsid w:val="009C5FB4"/>
    <w:rsid w:val="009C5FEA"/>
    <w:rsid w:val="009C6001"/>
    <w:rsid w:val="009C6011"/>
    <w:rsid w:val="009C60D8"/>
    <w:rsid w:val="009C6102"/>
    <w:rsid w:val="009C6171"/>
    <w:rsid w:val="009C617A"/>
    <w:rsid w:val="009C622A"/>
    <w:rsid w:val="009C628B"/>
    <w:rsid w:val="009C62A9"/>
    <w:rsid w:val="009C63ED"/>
    <w:rsid w:val="009C6441"/>
    <w:rsid w:val="009C6466"/>
    <w:rsid w:val="009C6484"/>
    <w:rsid w:val="009C66B7"/>
    <w:rsid w:val="009C66CC"/>
    <w:rsid w:val="009C67B0"/>
    <w:rsid w:val="009C67EF"/>
    <w:rsid w:val="009C68CE"/>
    <w:rsid w:val="009C69CF"/>
    <w:rsid w:val="009C6AAB"/>
    <w:rsid w:val="009C6B02"/>
    <w:rsid w:val="009C6C67"/>
    <w:rsid w:val="009C6C69"/>
    <w:rsid w:val="009C6D2A"/>
    <w:rsid w:val="009C6DCE"/>
    <w:rsid w:val="009C6DF8"/>
    <w:rsid w:val="009C6ED2"/>
    <w:rsid w:val="009C6FF9"/>
    <w:rsid w:val="009C708E"/>
    <w:rsid w:val="009C713E"/>
    <w:rsid w:val="009C71F6"/>
    <w:rsid w:val="009C7316"/>
    <w:rsid w:val="009C7378"/>
    <w:rsid w:val="009C7434"/>
    <w:rsid w:val="009C747B"/>
    <w:rsid w:val="009C7539"/>
    <w:rsid w:val="009C7580"/>
    <w:rsid w:val="009C7602"/>
    <w:rsid w:val="009C768A"/>
    <w:rsid w:val="009C76AB"/>
    <w:rsid w:val="009C76CD"/>
    <w:rsid w:val="009C76F3"/>
    <w:rsid w:val="009C784C"/>
    <w:rsid w:val="009C785B"/>
    <w:rsid w:val="009C795D"/>
    <w:rsid w:val="009C7A47"/>
    <w:rsid w:val="009C7AD0"/>
    <w:rsid w:val="009C7DE9"/>
    <w:rsid w:val="009C7E20"/>
    <w:rsid w:val="009C7EA1"/>
    <w:rsid w:val="009C7ECF"/>
    <w:rsid w:val="009C7F08"/>
    <w:rsid w:val="009C7FCC"/>
    <w:rsid w:val="009D0026"/>
    <w:rsid w:val="009D004B"/>
    <w:rsid w:val="009D00A7"/>
    <w:rsid w:val="009D00CE"/>
    <w:rsid w:val="009D0203"/>
    <w:rsid w:val="009D027F"/>
    <w:rsid w:val="009D0348"/>
    <w:rsid w:val="009D0376"/>
    <w:rsid w:val="009D03E9"/>
    <w:rsid w:val="009D040B"/>
    <w:rsid w:val="009D041A"/>
    <w:rsid w:val="009D0442"/>
    <w:rsid w:val="009D0459"/>
    <w:rsid w:val="009D045E"/>
    <w:rsid w:val="009D04A7"/>
    <w:rsid w:val="009D04B5"/>
    <w:rsid w:val="009D0523"/>
    <w:rsid w:val="009D057A"/>
    <w:rsid w:val="009D05AB"/>
    <w:rsid w:val="009D0614"/>
    <w:rsid w:val="009D0685"/>
    <w:rsid w:val="009D0861"/>
    <w:rsid w:val="009D090A"/>
    <w:rsid w:val="009D0919"/>
    <w:rsid w:val="009D0921"/>
    <w:rsid w:val="009D096A"/>
    <w:rsid w:val="009D098C"/>
    <w:rsid w:val="009D0A11"/>
    <w:rsid w:val="009D0AB2"/>
    <w:rsid w:val="009D0B8D"/>
    <w:rsid w:val="009D0C2D"/>
    <w:rsid w:val="009D0C7D"/>
    <w:rsid w:val="009D0CE8"/>
    <w:rsid w:val="009D0CF7"/>
    <w:rsid w:val="009D0D9C"/>
    <w:rsid w:val="009D0DBF"/>
    <w:rsid w:val="009D0DDC"/>
    <w:rsid w:val="009D0E13"/>
    <w:rsid w:val="009D0EE3"/>
    <w:rsid w:val="009D1052"/>
    <w:rsid w:val="009D108F"/>
    <w:rsid w:val="009D113C"/>
    <w:rsid w:val="009D139E"/>
    <w:rsid w:val="009D13C0"/>
    <w:rsid w:val="009D152B"/>
    <w:rsid w:val="009D1533"/>
    <w:rsid w:val="009D15ED"/>
    <w:rsid w:val="009D1694"/>
    <w:rsid w:val="009D1697"/>
    <w:rsid w:val="009D1700"/>
    <w:rsid w:val="009D19B0"/>
    <w:rsid w:val="009D19E1"/>
    <w:rsid w:val="009D1A0C"/>
    <w:rsid w:val="009D1A1C"/>
    <w:rsid w:val="009D1A66"/>
    <w:rsid w:val="009D1B13"/>
    <w:rsid w:val="009D1B54"/>
    <w:rsid w:val="009D1BA5"/>
    <w:rsid w:val="009D1C14"/>
    <w:rsid w:val="009D1CC2"/>
    <w:rsid w:val="009D1D0D"/>
    <w:rsid w:val="009D1EEB"/>
    <w:rsid w:val="009D1F31"/>
    <w:rsid w:val="009D201F"/>
    <w:rsid w:val="009D2179"/>
    <w:rsid w:val="009D21D5"/>
    <w:rsid w:val="009D22B9"/>
    <w:rsid w:val="009D23BF"/>
    <w:rsid w:val="009D240C"/>
    <w:rsid w:val="009D24E7"/>
    <w:rsid w:val="009D2513"/>
    <w:rsid w:val="009D2519"/>
    <w:rsid w:val="009D252D"/>
    <w:rsid w:val="009D25A8"/>
    <w:rsid w:val="009D2670"/>
    <w:rsid w:val="009D269C"/>
    <w:rsid w:val="009D26DC"/>
    <w:rsid w:val="009D271D"/>
    <w:rsid w:val="009D2739"/>
    <w:rsid w:val="009D2768"/>
    <w:rsid w:val="009D278F"/>
    <w:rsid w:val="009D2812"/>
    <w:rsid w:val="009D2855"/>
    <w:rsid w:val="009D289B"/>
    <w:rsid w:val="009D28A4"/>
    <w:rsid w:val="009D2960"/>
    <w:rsid w:val="009D299B"/>
    <w:rsid w:val="009D2A4A"/>
    <w:rsid w:val="009D2AA1"/>
    <w:rsid w:val="009D2B3D"/>
    <w:rsid w:val="009D2B4E"/>
    <w:rsid w:val="009D2BA2"/>
    <w:rsid w:val="009D2E13"/>
    <w:rsid w:val="009D2E40"/>
    <w:rsid w:val="009D2EBF"/>
    <w:rsid w:val="009D2ED5"/>
    <w:rsid w:val="009D2FEA"/>
    <w:rsid w:val="009D3017"/>
    <w:rsid w:val="009D3067"/>
    <w:rsid w:val="009D3070"/>
    <w:rsid w:val="009D3080"/>
    <w:rsid w:val="009D30C2"/>
    <w:rsid w:val="009D3123"/>
    <w:rsid w:val="009D313B"/>
    <w:rsid w:val="009D31B1"/>
    <w:rsid w:val="009D31FE"/>
    <w:rsid w:val="009D325B"/>
    <w:rsid w:val="009D32D5"/>
    <w:rsid w:val="009D33ED"/>
    <w:rsid w:val="009D33F9"/>
    <w:rsid w:val="009D33FC"/>
    <w:rsid w:val="009D343D"/>
    <w:rsid w:val="009D344F"/>
    <w:rsid w:val="009D34C4"/>
    <w:rsid w:val="009D3539"/>
    <w:rsid w:val="009D3561"/>
    <w:rsid w:val="009D360E"/>
    <w:rsid w:val="009D371B"/>
    <w:rsid w:val="009D3772"/>
    <w:rsid w:val="009D3783"/>
    <w:rsid w:val="009D3796"/>
    <w:rsid w:val="009D37DC"/>
    <w:rsid w:val="009D38D0"/>
    <w:rsid w:val="009D3982"/>
    <w:rsid w:val="009D39BD"/>
    <w:rsid w:val="009D39D0"/>
    <w:rsid w:val="009D3A3C"/>
    <w:rsid w:val="009D3A6A"/>
    <w:rsid w:val="009D3A8E"/>
    <w:rsid w:val="009D3AA3"/>
    <w:rsid w:val="009D3C0B"/>
    <w:rsid w:val="009D3E29"/>
    <w:rsid w:val="009D3E58"/>
    <w:rsid w:val="009D401F"/>
    <w:rsid w:val="009D4064"/>
    <w:rsid w:val="009D4096"/>
    <w:rsid w:val="009D418E"/>
    <w:rsid w:val="009D4208"/>
    <w:rsid w:val="009D42D8"/>
    <w:rsid w:val="009D42F8"/>
    <w:rsid w:val="009D448D"/>
    <w:rsid w:val="009D44B2"/>
    <w:rsid w:val="009D458D"/>
    <w:rsid w:val="009D4635"/>
    <w:rsid w:val="009D4746"/>
    <w:rsid w:val="009D478B"/>
    <w:rsid w:val="009D47D4"/>
    <w:rsid w:val="009D480D"/>
    <w:rsid w:val="009D4862"/>
    <w:rsid w:val="009D486B"/>
    <w:rsid w:val="009D494B"/>
    <w:rsid w:val="009D497A"/>
    <w:rsid w:val="009D4998"/>
    <w:rsid w:val="009D49B0"/>
    <w:rsid w:val="009D4A13"/>
    <w:rsid w:val="009D4A85"/>
    <w:rsid w:val="009D4ADC"/>
    <w:rsid w:val="009D4AF3"/>
    <w:rsid w:val="009D4B91"/>
    <w:rsid w:val="009D4BD2"/>
    <w:rsid w:val="009D4C35"/>
    <w:rsid w:val="009D4C56"/>
    <w:rsid w:val="009D4D18"/>
    <w:rsid w:val="009D4D83"/>
    <w:rsid w:val="009D4DCD"/>
    <w:rsid w:val="009D4EB9"/>
    <w:rsid w:val="009D4EBC"/>
    <w:rsid w:val="009D4FE8"/>
    <w:rsid w:val="009D4FFB"/>
    <w:rsid w:val="009D500D"/>
    <w:rsid w:val="009D5178"/>
    <w:rsid w:val="009D52AE"/>
    <w:rsid w:val="009D52B9"/>
    <w:rsid w:val="009D531B"/>
    <w:rsid w:val="009D5374"/>
    <w:rsid w:val="009D53D5"/>
    <w:rsid w:val="009D5428"/>
    <w:rsid w:val="009D54D5"/>
    <w:rsid w:val="009D5567"/>
    <w:rsid w:val="009D55C8"/>
    <w:rsid w:val="009D56A7"/>
    <w:rsid w:val="009D56C0"/>
    <w:rsid w:val="009D56C5"/>
    <w:rsid w:val="009D589C"/>
    <w:rsid w:val="009D59EA"/>
    <w:rsid w:val="009D5A3D"/>
    <w:rsid w:val="009D5A8D"/>
    <w:rsid w:val="009D5AEB"/>
    <w:rsid w:val="009D5B35"/>
    <w:rsid w:val="009D5BD0"/>
    <w:rsid w:val="009D5C1C"/>
    <w:rsid w:val="009D5C3F"/>
    <w:rsid w:val="009D5D0D"/>
    <w:rsid w:val="009D5D38"/>
    <w:rsid w:val="009D5D62"/>
    <w:rsid w:val="009D5D96"/>
    <w:rsid w:val="009D5E13"/>
    <w:rsid w:val="009D5EB3"/>
    <w:rsid w:val="009D5EFF"/>
    <w:rsid w:val="009D5F1B"/>
    <w:rsid w:val="009D5F76"/>
    <w:rsid w:val="009D603A"/>
    <w:rsid w:val="009D603D"/>
    <w:rsid w:val="009D61F1"/>
    <w:rsid w:val="009D62EF"/>
    <w:rsid w:val="009D6307"/>
    <w:rsid w:val="009D645B"/>
    <w:rsid w:val="009D659E"/>
    <w:rsid w:val="009D6797"/>
    <w:rsid w:val="009D67AB"/>
    <w:rsid w:val="009D67D2"/>
    <w:rsid w:val="009D6802"/>
    <w:rsid w:val="009D6828"/>
    <w:rsid w:val="009D6913"/>
    <w:rsid w:val="009D6939"/>
    <w:rsid w:val="009D69E1"/>
    <w:rsid w:val="009D69E6"/>
    <w:rsid w:val="009D6ADC"/>
    <w:rsid w:val="009D6ADF"/>
    <w:rsid w:val="009D6BD5"/>
    <w:rsid w:val="009D6D38"/>
    <w:rsid w:val="009D6D3E"/>
    <w:rsid w:val="009D6EB8"/>
    <w:rsid w:val="009D6FC6"/>
    <w:rsid w:val="009D7012"/>
    <w:rsid w:val="009D7117"/>
    <w:rsid w:val="009D7146"/>
    <w:rsid w:val="009D729C"/>
    <w:rsid w:val="009D72F9"/>
    <w:rsid w:val="009D7436"/>
    <w:rsid w:val="009D7467"/>
    <w:rsid w:val="009D7477"/>
    <w:rsid w:val="009D74AF"/>
    <w:rsid w:val="009D7572"/>
    <w:rsid w:val="009D757A"/>
    <w:rsid w:val="009D757F"/>
    <w:rsid w:val="009D7586"/>
    <w:rsid w:val="009D767C"/>
    <w:rsid w:val="009D76F4"/>
    <w:rsid w:val="009D7778"/>
    <w:rsid w:val="009D777A"/>
    <w:rsid w:val="009D77DF"/>
    <w:rsid w:val="009D790B"/>
    <w:rsid w:val="009D796C"/>
    <w:rsid w:val="009D79CF"/>
    <w:rsid w:val="009D7A2D"/>
    <w:rsid w:val="009D7B31"/>
    <w:rsid w:val="009D7BD6"/>
    <w:rsid w:val="009D7CB1"/>
    <w:rsid w:val="009D7CC4"/>
    <w:rsid w:val="009D7D64"/>
    <w:rsid w:val="009D7D7D"/>
    <w:rsid w:val="009D7D97"/>
    <w:rsid w:val="009D7DFB"/>
    <w:rsid w:val="009D7E4C"/>
    <w:rsid w:val="009E0062"/>
    <w:rsid w:val="009E00F9"/>
    <w:rsid w:val="009E011C"/>
    <w:rsid w:val="009E0194"/>
    <w:rsid w:val="009E01CF"/>
    <w:rsid w:val="009E020C"/>
    <w:rsid w:val="009E02D5"/>
    <w:rsid w:val="009E035C"/>
    <w:rsid w:val="009E03F4"/>
    <w:rsid w:val="009E053B"/>
    <w:rsid w:val="009E06FD"/>
    <w:rsid w:val="009E07D2"/>
    <w:rsid w:val="009E085E"/>
    <w:rsid w:val="009E0967"/>
    <w:rsid w:val="009E0978"/>
    <w:rsid w:val="009E0994"/>
    <w:rsid w:val="009E0A9E"/>
    <w:rsid w:val="009E0AD3"/>
    <w:rsid w:val="009E0B44"/>
    <w:rsid w:val="009E0CD9"/>
    <w:rsid w:val="009E0DF7"/>
    <w:rsid w:val="009E0EFB"/>
    <w:rsid w:val="009E0F03"/>
    <w:rsid w:val="009E0F84"/>
    <w:rsid w:val="009E0FD2"/>
    <w:rsid w:val="009E1047"/>
    <w:rsid w:val="009E10EA"/>
    <w:rsid w:val="009E114D"/>
    <w:rsid w:val="009E123B"/>
    <w:rsid w:val="009E12A0"/>
    <w:rsid w:val="009E12AC"/>
    <w:rsid w:val="009E13BA"/>
    <w:rsid w:val="009E13F5"/>
    <w:rsid w:val="009E1439"/>
    <w:rsid w:val="009E1449"/>
    <w:rsid w:val="009E14CE"/>
    <w:rsid w:val="009E153D"/>
    <w:rsid w:val="009E1571"/>
    <w:rsid w:val="009E167E"/>
    <w:rsid w:val="009E1718"/>
    <w:rsid w:val="009E171B"/>
    <w:rsid w:val="009E177C"/>
    <w:rsid w:val="009E1785"/>
    <w:rsid w:val="009E17A2"/>
    <w:rsid w:val="009E1809"/>
    <w:rsid w:val="009E181A"/>
    <w:rsid w:val="009E1849"/>
    <w:rsid w:val="009E1972"/>
    <w:rsid w:val="009E1977"/>
    <w:rsid w:val="009E19C4"/>
    <w:rsid w:val="009E1A29"/>
    <w:rsid w:val="009E1A4B"/>
    <w:rsid w:val="009E1A74"/>
    <w:rsid w:val="009E1C16"/>
    <w:rsid w:val="009E1C92"/>
    <w:rsid w:val="009E1CA2"/>
    <w:rsid w:val="009E1CB3"/>
    <w:rsid w:val="009E1D6D"/>
    <w:rsid w:val="009E1E2B"/>
    <w:rsid w:val="009E1E72"/>
    <w:rsid w:val="009E1EE1"/>
    <w:rsid w:val="009E1F01"/>
    <w:rsid w:val="009E1F38"/>
    <w:rsid w:val="009E2026"/>
    <w:rsid w:val="009E20D0"/>
    <w:rsid w:val="009E21BA"/>
    <w:rsid w:val="009E2338"/>
    <w:rsid w:val="009E2398"/>
    <w:rsid w:val="009E24B0"/>
    <w:rsid w:val="009E24E0"/>
    <w:rsid w:val="009E24EB"/>
    <w:rsid w:val="009E24F8"/>
    <w:rsid w:val="009E2501"/>
    <w:rsid w:val="009E251B"/>
    <w:rsid w:val="009E252F"/>
    <w:rsid w:val="009E2539"/>
    <w:rsid w:val="009E2543"/>
    <w:rsid w:val="009E25B3"/>
    <w:rsid w:val="009E2636"/>
    <w:rsid w:val="009E265E"/>
    <w:rsid w:val="009E26C4"/>
    <w:rsid w:val="009E2738"/>
    <w:rsid w:val="009E28EC"/>
    <w:rsid w:val="009E294A"/>
    <w:rsid w:val="009E299D"/>
    <w:rsid w:val="009E2A05"/>
    <w:rsid w:val="009E2AA3"/>
    <w:rsid w:val="009E2B0E"/>
    <w:rsid w:val="009E2B54"/>
    <w:rsid w:val="009E2B9C"/>
    <w:rsid w:val="009E2C22"/>
    <w:rsid w:val="009E2D0B"/>
    <w:rsid w:val="009E2D99"/>
    <w:rsid w:val="009E2D9A"/>
    <w:rsid w:val="009E2EA1"/>
    <w:rsid w:val="009E2EB3"/>
    <w:rsid w:val="009E3046"/>
    <w:rsid w:val="009E3066"/>
    <w:rsid w:val="009E309D"/>
    <w:rsid w:val="009E30F6"/>
    <w:rsid w:val="009E3392"/>
    <w:rsid w:val="009E33B2"/>
    <w:rsid w:val="009E33F7"/>
    <w:rsid w:val="009E341C"/>
    <w:rsid w:val="009E3464"/>
    <w:rsid w:val="009E349D"/>
    <w:rsid w:val="009E34EB"/>
    <w:rsid w:val="009E3545"/>
    <w:rsid w:val="009E3593"/>
    <w:rsid w:val="009E374A"/>
    <w:rsid w:val="009E38AE"/>
    <w:rsid w:val="009E3950"/>
    <w:rsid w:val="009E3A4D"/>
    <w:rsid w:val="009E3AD5"/>
    <w:rsid w:val="009E3B9B"/>
    <w:rsid w:val="009E3C40"/>
    <w:rsid w:val="009E3D98"/>
    <w:rsid w:val="009E3EBE"/>
    <w:rsid w:val="009E403A"/>
    <w:rsid w:val="009E4044"/>
    <w:rsid w:val="009E407E"/>
    <w:rsid w:val="009E4092"/>
    <w:rsid w:val="009E40B3"/>
    <w:rsid w:val="009E4147"/>
    <w:rsid w:val="009E4164"/>
    <w:rsid w:val="009E41E9"/>
    <w:rsid w:val="009E42B2"/>
    <w:rsid w:val="009E4324"/>
    <w:rsid w:val="009E4493"/>
    <w:rsid w:val="009E44A2"/>
    <w:rsid w:val="009E44DB"/>
    <w:rsid w:val="009E4615"/>
    <w:rsid w:val="009E4620"/>
    <w:rsid w:val="009E465A"/>
    <w:rsid w:val="009E4683"/>
    <w:rsid w:val="009E47DD"/>
    <w:rsid w:val="009E4824"/>
    <w:rsid w:val="009E48CF"/>
    <w:rsid w:val="009E4930"/>
    <w:rsid w:val="009E497B"/>
    <w:rsid w:val="009E4A0B"/>
    <w:rsid w:val="009E4A7D"/>
    <w:rsid w:val="009E4AA8"/>
    <w:rsid w:val="009E4BB8"/>
    <w:rsid w:val="009E4C96"/>
    <w:rsid w:val="009E4D19"/>
    <w:rsid w:val="009E4D42"/>
    <w:rsid w:val="009E4F90"/>
    <w:rsid w:val="009E4FC3"/>
    <w:rsid w:val="009E511B"/>
    <w:rsid w:val="009E5140"/>
    <w:rsid w:val="009E5149"/>
    <w:rsid w:val="009E517D"/>
    <w:rsid w:val="009E52E3"/>
    <w:rsid w:val="009E54D3"/>
    <w:rsid w:val="009E563F"/>
    <w:rsid w:val="009E56F5"/>
    <w:rsid w:val="009E576A"/>
    <w:rsid w:val="009E583F"/>
    <w:rsid w:val="009E5857"/>
    <w:rsid w:val="009E585E"/>
    <w:rsid w:val="009E58EF"/>
    <w:rsid w:val="009E596C"/>
    <w:rsid w:val="009E5978"/>
    <w:rsid w:val="009E5A1A"/>
    <w:rsid w:val="009E5A28"/>
    <w:rsid w:val="009E5AA1"/>
    <w:rsid w:val="009E5B16"/>
    <w:rsid w:val="009E5DC5"/>
    <w:rsid w:val="009E5DEF"/>
    <w:rsid w:val="009E5E2E"/>
    <w:rsid w:val="009E5E53"/>
    <w:rsid w:val="009E5E89"/>
    <w:rsid w:val="009E5F25"/>
    <w:rsid w:val="009E5FB5"/>
    <w:rsid w:val="009E6017"/>
    <w:rsid w:val="009E6104"/>
    <w:rsid w:val="009E6115"/>
    <w:rsid w:val="009E614C"/>
    <w:rsid w:val="009E6153"/>
    <w:rsid w:val="009E6182"/>
    <w:rsid w:val="009E6243"/>
    <w:rsid w:val="009E624B"/>
    <w:rsid w:val="009E6311"/>
    <w:rsid w:val="009E635F"/>
    <w:rsid w:val="009E6378"/>
    <w:rsid w:val="009E6492"/>
    <w:rsid w:val="009E65A2"/>
    <w:rsid w:val="009E66F9"/>
    <w:rsid w:val="009E6758"/>
    <w:rsid w:val="009E6809"/>
    <w:rsid w:val="009E6837"/>
    <w:rsid w:val="009E685D"/>
    <w:rsid w:val="009E6931"/>
    <w:rsid w:val="009E69CE"/>
    <w:rsid w:val="009E6A09"/>
    <w:rsid w:val="009E6AC4"/>
    <w:rsid w:val="009E6B42"/>
    <w:rsid w:val="009E6CB7"/>
    <w:rsid w:val="009E6D31"/>
    <w:rsid w:val="009E6DE4"/>
    <w:rsid w:val="009E6E9E"/>
    <w:rsid w:val="009E708B"/>
    <w:rsid w:val="009E7359"/>
    <w:rsid w:val="009E742A"/>
    <w:rsid w:val="009E7438"/>
    <w:rsid w:val="009E7512"/>
    <w:rsid w:val="009E7560"/>
    <w:rsid w:val="009E758B"/>
    <w:rsid w:val="009E765E"/>
    <w:rsid w:val="009E7660"/>
    <w:rsid w:val="009E7699"/>
    <w:rsid w:val="009E76DD"/>
    <w:rsid w:val="009E774F"/>
    <w:rsid w:val="009E77A7"/>
    <w:rsid w:val="009E7898"/>
    <w:rsid w:val="009E7934"/>
    <w:rsid w:val="009E7978"/>
    <w:rsid w:val="009E7993"/>
    <w:rsid w:val="009E79CB"/>
    <w:rsid w:val="009E7A23"/>
    <w:rsid w:val="009E7AA4"/>
    <w:rsid w:val="009E7BDC"/>
    <w:rsid w:val="009E7C21"/>
    <w:rsid w:val="009E7C25"/>
    <w:rsid w:val="009E7C94"/>
    <w:rsid w:val="009E7D1C"/>
    <w:rsid w:val="009E7FA8"/>
    <w:rsid w:val="009E7FE8"/>
    <w:rsid w:val="009F012B"/>
    <w:rsid w:val="009F026E"/>
    <w:rsid w:val="009F02E8"/>
    <w:rsid w:val="009F0401"/>
    <w:rsid w:val="009F044B"/>
    <w:rsid w:val="009F04BA"/>
    <w:rsid w:val="009F0505"/>
    <w:rsid w:val="009F064A"/>
    <w:rsid w:val="009F082D"/>
    <w:rsid w:val="009F08B0"/>
    <w:rsid w:val="009F0A8A"/>
    <w:rsid w:val="009F0B27"/>
    <w:rsid w:val="009F0B37"/>
    <w:rsid w:val="009F0B89"/>
    <w:rsid w:val="009F0BC4"/>
    <w:rsid w:val="009F0BCF"/>
    <w:rsid w:val="009F0BD7"/>
    <w:rsid w:val="009F0C31"/>
    <w:rsid w:val="009F0C45"/>
    <w:rsid w:val="009F0C73"/>
    <w:rsid w:val="009F0D72"/>
    <w:rsid w:val="009F0D9B"/>
    <w:rsid w:val="009F0F43"/>
    <w:rsid w:val="009F0F4F"/>
    <w:rsid w:val="009F107D"/>
    <w:rsid w:val="009F10B7"/>
    <w:rsid w:val="009F117D"/>
    <w:rsid w:val="009F11A0"/>
    <w:rsid w:val="009F11C6"/>
    <w:rsid w:val="009F11E5"/>
    <w:rsid w:val="009F139C"/>
    <w:rsid w:val="009F13C5"/>
    <w:rsid w:val="009F1429"/>
    <w:rsid w:val="009F14BB"/>
    <w:rsid w:val="009F15A5"/>
    <w:rsid w:val="009F15C9"/>
    <w:rsid w:val="009F164F"/>
    <w:rsid w:val="009F16B7"/>
    <w:rsid w:val="009F17A0"/>
    <w:rsid w:val="009F17A6"/>
    <w:rsid w:val="009F17FC"/>
    <w:rsid w:val="009F1811"/>
    <w:rsid w:val="009F1880"/>
    <w:rsid w:val="009F18E9"/>
    <w:rsid w:val="009F19CA"/>
    <w:rsid w:val="009F1B3C"/>
    <w:rsid w:val="009F1B90"/>
    <w:rsid w:val="009F1C2A"/>
    <w:rsid w:val="009F1C43"/>
    <w:rsid w:val="009F1C9D"/>
    <w:rsid w:val="009F1F46"/>
    <w:rsid w:val="009F1F9A"/>
    <w:rsid w:val="009F209A"/>
    <w:rsid w:val="009F212D"/>
    <w:rsid w:val="009F2160"/>
    <w:rsid w:val="009F2167"/>
    <w:rsid w:val="009F21ED"/>
    <w:rsid w:val="009F2258"/>
    <w:rsid w:val="009F2285"/>
    <w:rsid w:val="009F228C"/>
    <w:rsid w:val="009F22AC"/>
    <w:rsid w:val="009F2346"/>
    <w:rsid w:val="009F2435"/>
    <w:rsid w:val="009F24A3"/>
    <w:rsid w:val="009F2543"/>
    <w:rsid w:val="009F25B6"/>
    <w:rsid w:val="009F2603"/>
    <w:rsid w:val="009F2648"/>
    <w:rsid w:val="009F26EB"/>
    <w:rsid w:val="009F271A"/>
    <w:rsid w:val="009F2751"/>
    <w:rsid w:val="009F280F"/>
    <w:rsid w:val="009F2911"/>
    <w:rsid w:val="009F2966"/>
    <w:rsid w:val="009F2980"/>
    <w:rsid w:val="009F2A7F"/>
    <w:rsid w:val="009F2BE3"/>
    <w:rsid w:val="009F2C1A"/>
    <w:rsid w:val="009F2CD5"/>
    <w:rsid w:val="009F2CDB"/>
    <w:rsid w:val="009F2CE8"/>
    <w:rsid w:val="009F2D59"/>
    <w:rsid w:val="009F2EB9"/>
    <w:rsid w:val="009F2EDD"/>
    <w:rsid w:val="009F2F38"/>
    <w:rsid w:val="009F2F92"/>
    <w:rsid w:val="009F2FC6"/>
    <w:rsid w:val="009F3102"/>
    <w:rsid w:val="009F318A"/>
    <w:rsid w:val="009F31D0"/>
    <w:rsid w:val="009F31E4"/>
    <w:rsid w:val="009F322E"/>
    <w:rsid w:val="009F333E"/>
    <w:rsid w:val="009F3345"/>
    <w:rsid w:val="009F3493"/>
    <w:rsid w:val="009F34A4"/>
    <w:rsid w:val="009F34DD"/>
    <w:rsid w:val="009F34EC"/>
    <w:rsid w:val="009F350E"/>
    <w:rsid w:val="009F3571"/>
    <w:rsid w:val="009F35B3"/>
    <w:rsid w:val="009F35D4"/>
    <w:rsid w:val="009F3663"/>
    <w:rsid w:val="009F36C8"/>
    <w:rsid w:val="009F36E8"/>
    <w:rsid w:val="009F37FD"/>
    <w:rsid w:val="009F3851"/>
    <w:rsid w:val="009F38B2"/>
    <w:rsid w:val="009F38E3"/>
    <w:rsid w:val="009F3940"/>
    <w:rsid w:val="009F3970"/>
    <w:rsid w:val="009F3989"/>
    <w:rsid w:val="009F39C1"/>
    <w:rsid w:val="009F39D4"/>
    <w:rsid w:val="009F39D9"/>
    <w:rsid w:val="009F3A50"/>
    <w:rsid w:val="009F3AFF"/>
    <w:rsid w:val="009F3CC0"/>
    <w:rsid w:val="009F3E96"/>
    <w:rsid w:val="009F3ED5"/>
    <w:rsid w:val="009F40FF"/>
    <w:rsid w:val="009F413B"/>
    <w:rsid w:val="009F4203"/>
    <w:rsid w:val="009F420A"/>
    <w:rsid w:val="009F4247"/>
    <w:rsid w:val="009F4286"/>
    <w:rsid w:val="009F4339"/>
    <w:rsid w:val="009F43C0"/>
    <w:rsid w:val="009F43CB"/>
    <w:rsid w:val="009F4501"/>
    <w:rsid w:val="009F452E"/>
    <w:rsid w:val="009F459D"/>
    <w:rsid w:val="009F45BC"/>
    <w:rsid w:val="009F45C8"/>
    <w:rsid w:val="009F4688"/>
    <w:rsid w:val="009F477A"/>
    <w:rsid w:val="009F477D"/>
    <w:rsid w:val="009F48D8"/>
    <w:rsid w:val="009F48EE"/>
    <w:rsid w:val="009F4AA0"/>
    <w:rsid w:val="009F4ADF"/>
    <w:rsid w:val="009F4B9D"/>
    <w:rsid w:val="009F4DCF"/>
    <w:rsid w:val="009F4DD9"/>
    <w:rsid w:val="009F4E58"/>
    <w:rsid w:val="009F4E9F"/>
    <w:rsid w:val="009F4F67"/>
    <w:rsid w:val="009F4F9E"/>
    <w:rsid w:val="009F50CF"/>
    <w:rsid w:val="009F50DF"/>
    <w:rsid w:val="009F51BD"/>
    <w:rsid w:val="009F525F"/>
    <w:rsid w:val="009F540E"/>
    <w:rsid w:val="009F5466"/>
    <w:rsid w:val="009F54B0"/>
    <w:rsid w:val="009F5561"/>
    <w:rsid w:val="009F5751"/>
    <w:rsid w:val="009F5914"/>
    <w:rsid w:val="009F59FC"/>
    <w:rsid w:val="009F5B60"/>
    <w:rsid w:val="009F5B7E"/>
    <w:rsid w:val="009F5B87"/>
    <w:rsid w:val="009F5C0E"/>
    <w:rsid w:val="009F5C16"/>
    <w:rsid w:val="009F5D2D"/>
    <w:rsid w:val="009F5D85"/>
    <w:rsid w:val="009F5DD9"/>
    <w:rsid w:val="009F5E3A"/>
    <w:rsid w:val="009F5E6D"/>
    <w:rsid w:val="009F5EED"/>
    <w:rsid w:val="009F61E6"/>
    <w:rsid w:val="009F6225"/>
    <w:rsid w:val="009F6226"/>
    <w:rsid w:val="009F6354"/>
    <w:rsid w:val="009F63D8"/>
    <w:rsid w:val="009F6427"/>
    <w:rsid w:val="009F6479"/>
    <w:rsid w:val="009F6569"/>
    <w:rsid w:val="009F6730"/>
    <w:rsid w:val="009F6798"/>
    <w:rsid w:val="009F6889"/>
    <w:rsid w:val="009F6960"/>
    <w:rsid w:val="009F6A94"/>
    <w:rsid w:val="009F6C56"/>
    <w:rsid w:val="009F6CCF"/>
    <w:rsid w:val="009F6D42"/>
    <w:rsid w:val="009F706A"/>
    <w:rsid w:val="009F72E8"/>
    <w:rsid w:val="009F72EC"/>
    <w:rsid w:val="009F7387"/>
    <w:rsid w:val="009F739B"/>
    <w:rsid w:val="009F73E8"/>
    <w:rsid w:val="009F73E9"/>
    <w:rsid w:val="009F7463"/>
    <w:rsid w:val="009F7498"/>
    <w:rsid w:val="009F74F0"/>
    <w:rsid w:val="009F759E"/>
    <w:rsid w:val="009F76BD"/>
    <w:rsid w:val="009F76C1"/>
    <w:rsid w:val="009F78E1"/>
    <w:rsid w:val="009F78FE"/>
    <w:rsid w:val="009F7A9E"/>
    <w:rsid w:val="009F7AF1"/>
    <w:rsid w:val="009F7B6E"/>
    <w:rsid w:val="009F7BCB"/>
    <w:rsid w:val="009F7C0C"/>
    <w:rsid w:val="009F7C28"/>
    <w:rsid w:val="009F7C65"/>
    <w:rsid w:val="009F7CA6"/>
    <w:rsid w:val="009F7D7C"/>
    <w:rsid w:val="009F7D9C"/>
    <w:rsid w:val="009F7E6D"/>
    <w:rsid w:val="009F7EA1"/>
    <w:rsid w:val="009F7EAB"/>
    <w:rsid w:val="009F7F47"/>
    <w:rsid w:val="009F7FB7"/>
    <w:rsid w:val="009F7FC1"/>
    <w:rsid w:val="009F7FE2"/>
    <w:rsid w:val="00A00122"/>
    <w:rsid w:val="00A0016E"/>
    <w:rsid w:val="00A001FF"/>
    <w:rsid w:val="00A002CF"/>
    <w:rsid w:val="00A0039C"/>
    <w:rsid w:val="00A003D3"/>
    <w:rsid w:val="00A004EB"/>
    <w:rsid w:val="00A00615"/>
    <w:rsid w:val="00A00628"/>
    <w:rsid w:val="00A006F2"/>
    <w:rsid w:val="00A006FA"/>
    <w:rsid w:val="00A0072C"/>
    <w:rsid w:val="00A0080D"/>
    <w:rsid w:val="00A00A7B"/>
    <w:rsid w:val="00A00C8F"/>
    <w:rsid w:val="00A00E44"/>
    <w:rsid w:val="00A00EB1"/>
    <w:rsid w:val="00A00F15"/>
    <w:rsid w:val="00A00F24"/>
    <w:rsid w:val="00A00F55"/>
    <w:rsid w:val="00A00F6F"/>
    <w:rsid w:val="00A00F8B"/>
    <w:rsid w:val="00A010B1"/>
    <w:rsid w:val="00A012D4"/>
    <w:rsid w:val="00A013BB"/>
    <w:rsid w:val="00A013FE"/>
    <w:rsid w:val="00A01428"/>
    <w:rsid w:val="00A01462"/>
    <w:rsid w:val="00A0151A"/>
    <w:rsid w:val="00A0153F"/>
    <w:rsid w:val="00A01593"/>
    <w:rsid w:val="00A015E8"/>
    <w:rsid w:val="00A016F7"/>
    <w:rsid w:val="00A018A9"/>
    <w:rsid w:val="00A019AB"/>
    <w:rsid w:val="00A01AE1"/>
    <w:rsid w:val="00A01BAA"/>
    <w:rsid w:val="00A01BE6"/>
    <w:rsid w:val="00A01D00"/>
    <w:rsid w:val="00A01D9C"/>
    <w:rsid w:val="00A01DC5"/>
    <w:rsid w:val="00A01DFC"/>
    <w:rsid w:val="00A01E1F"/>
    <w:rsid w:val="00A01E8E"/>
    <w:rsid w:val="00A01F84"/>
    <w:rsid w:val="00A01FA1"/>
    <w:rsid w:val="00A02003"/>
    <w:rsid w:val="00A02131"/>
    <w:rsid w:val="00A02150"/>
    <w:rsid w:val="00A02366"/>
    <w:rsid w:val="00A0256D"/>
    <w:rsid w:val="00A025BC"/>
    <w:rsid w:val="00A02622"/>
    <w:rsid w:val="00A028C9"/>
    <w:rsid w:val="00A0299F"/>
    <w:rsid w:val="00A02A3B"/>
    <w:rsid w:val="00A02AE2"/>
    <w:rsid w:val="00A02BBA"/>
    <w:rsid w:val="00A02BC2"/>
    <w:rsid w:val="00A02C1C"/>
    <w:rsid w:val="00A02D0D"/>
    <w:rsid w:val="00A02D4D"/>
    <w:rsid w:val="00A02DD4"/>
    <w:rsid w:val="00A02E63"/>
    <w:rsid w:val="00A02E9E"/>
    <w:rsid w:val="00A02FB7"/>
    <w:rsid w:val="00A03061"/>
    <w:rsid w:val="00A03103"/>
    <w:rsid w:val="00A031B4"/>
    <w:rsid w:val="00A0322F"/>
    <w:rsid w:val="00A032DF"/>
    <w:rsid w:val="00A032E7"/>
    <w:rsid w:val="00A03386"/>
    <w:rsid w:val="00A033B7"/>
    <w:rsid w:val="00A033BA"/>
    <w:rsid w:val="00A034E9"/>
    <w:rsid w:val="00A03500"/>
    <w:rsid w:val="00A03515"/>
    <w:rsid w:val="00A035D6"/>
    <w:rsid w:val="00A03658"/>
    <w:rsid w:val="00A0368F"/>
    <w:rsid w:val="00A03797"/>
    <w:rsid w:val="00A037C1"/>
    <w:rsid w:val="00A03863"/>
    <w:rsid w:val="00A038AA"/>
    <w:rsid w:val="00A03995"/>
    <w:rsid w:val="00A03997"/>
    <w:rsid w:val="00A03A06"/>
    <w:rsid w:val="00A03A90"/>
    <w:rsid w:val="00A03C0E"/>
    <w:rsid w:val="00A03C20"/>
    <w:rsid w:val="00A03C4E"/>
    <w:rsid w:val="00A03D47"/>
    <w:rsid w:val="00A03E16"/>
    <w:rsid w:val="00A03E17"/>
    <w:rsid w:val="00A03FA6"/>
    <w:rsid w:val="00A04160"/>
    <w:rsid w:val="00A041AB"/>
    <w:rsid w:val="00A04215"/>
    <w:rsid w:val="00A04261"/>
    <w:rsid w:val="00A042D5"/>
    <w:rsid w:val="00A042E9"/>
    <w:rsid w:val="00A042F6"/>
    <w:rsid w:val="00A04307"/>
    <w:rsid w:val="00A0432C"/>
    <w:rsid w:val="00A0436C"/>
    <w:rsid w:val="00A043AA"/>
    <w:rsid w:val="00A043F7"/>
    <w:rsid w:val="00A04437"/>
    <w:rsid w:val="00A044AB"/>
    <w:rsid w:val="00A044C1"/>
    <w:rsid w:val="00A045CE"/>
    <w:rsid w:val="00A045D7"/>
    <w:rsid w:val="00A0460B"/>
    <w:rsid w:val="00A046B5"/>
    <w:rsid w:val="00A04836"/>
    <w:rsid w:val="00A0491E"/>
    <w:rsid w:val="00A04952"/>
    <w:rsid w:val="00A049DD"/>
    <w:rsid w:val="00A04A5D"/>
    <w:rsid w:val="00A04A95"/>
    <w:rsid w:val="00A04AEF"/>
    <w:rsid w:val="00A04C67"/>
    <w:rsid w:val="00A04D20"/>
    <w:rsid w:val="00A04E92"/>
    <w:rsid w:val="00A04EFA"/>
    <w:rsid w:val="00A04F00"/>
    <w:rsid w:val="00A04F55"/>
    <w:rsid w:val="00A050C1"/>
    <w:rsid w:val="00A05295"/>
    <w:rsid w:val="00A05397"/>
    <w:rsid w:val="00A05398"/>
    <w:rsid w:val="00A053A8"/>
    <w:rsid w:val="00A05411"/>
    <w:rsid w:val="00A0547D"/>
    <w:rsid w:val="00A05547"/>
    <w:rsid w:val="00A05587"/>
    <w:rsid w:val="00A055B2"/>
    <w:rsid w:val="00A055FB"/>
    <w:rsid w:val="00A05610"/>
    <w:rsid w:val="00A056AA"/>
    <w:rsid w:val="00A0571D"/>
    <w:rsid w:val="00A05750"/>
    <w:rsid w:val="00A05754"/>
    <w:rsid w:val="00A057D6"/>
    <w:rsid w:val="00A05857"/>
    <w:rsid w:val="00A059AF"/>
    <w:rsid w:val="00A059B3"/>
    <w:rsid w:val="00A05A6B"/>
    <w:rsid w:val="00A05AA9"/>
    <w:rsid w:val="00A05AAD"/>
    <w:rsid w:val="00A05C26"/>
    <w:rsid w:val="00A05F18"/>
    <w:rsid w:val="00A05F6E"/>
    <w:rsid w:val="00A05FA6"/>
    <w:rsid w:val="00A05FD3"/>
    <w:rsid w:val="00A060BC"/>
    <w:rsid w:val="00A060E1"/>
    <w:rsid w:val="00A0618C"/>
    <w:rsid w:val="00A06243"/>
    <w:rsid w:val="00A062A3"/>
    <w:rsid w:val="00A062CC"/>
    <w:rsid w:val="00A06598"/>
    <w:rsid w:val="00A065E4"/>
    <w:rsid w:val="00A065ED"/>
    <w:rsid w:val="00A06778"/>
    <w:rsid w:val="00A0677B"/>
    <w:rsid w:val="00A06891"/>
    <w:rsid w:val="00A06893"/>
    <w:rsid w:val="00A06905"/>
    <w:rsid w:val="00A06944"/>
    <w:rsid w:val="00A0698D"/>
    <w:rsid w:val="00A06A4B"/>
    <w:rsid w:val="00A06A68"/>
    <w:rsid w:val="00A06B18"/>
    <w:rsid w:val="00A06B5D"/>
    <w:rsid w:val="00A06CAF"/>
    <w:rsid w:val="00A06CF6"/>
    <w:rsid w:val="00A06CF9"/>
    <w:rsid w:val="00A06D2D"/>
    <w:rsid w:val="00A06DA6"/>
    <w:rsid w:val="00A06F47"/>
    <w:rsid w:val="00A07026"/>
    <w:rsid w:val="00A07069"/>
    <w:rsid w:val="00A070D6"/>
    <w:rsid w:val="00A070D7"/>
    <w:rsid w:val="00A072F3"/>
    <w:rsid w:val="00A07345"/>
    <w:rsid w:val="00A07456"/>
    <w:rsid w:val="00A07481"/>
    <w:rsid w:val="00A074E1"/>
    <w:rsid w:val="00A077FC"/>
    <w:rsid w:val="00A07805"/>
    <w:rsid w:val="00A0787B"/>
    <w:rsid w:val="00A0794C"/>
    <w:rsid w:val="00A0799E"/>
    <w:rsid w:val="00A07AEA"/>
    <w:rsid w:val="00A07B52"/>
    <w:rsid w:val="00A07BB0"/>
    <w:rsid w:val="00A07C7D"/>
    <w:rsid w:val="00A07D47"/>
    <w:rsid w:val="00A07D69"/>
    <w:rsid w:val="00A07DAB"/>
    <w:rsid w:val="00A07E5A"/>
    <w:rsid w:val="00A07EA4"/>
    <w:rsid w:val="00A07EF6"/>
    <w:rsid w:val="00A10067"/>
    <w:rsid w:val="00A1010F"/>
    <w:rsid w:val="00A10217"/>
    <w:rsid w:val="00A10259"/>
    <w:rsid w:val="00A10310"/>
    <w:rsid w:val="00A10595"/>
    <w:rsid w:val="00A105AB"/>
    <w:rsid w:val="00A105AF"/>
    <w:rsid w:val="00A105C2"/>
    <w:rsid w:val="00A1070E"/>
    <w:rsid w:val="00A107E4"/>
    <w:rsid w:val="00A1087C"/>
    <w:rsid w:val="00A1087E"/>
    <w:rsid w:val="00A1099C"/>
    <w:rsid w:val="00A109DE"/>
    <w:rsid w:val="00A10A10"/>
    <w:rsid w:val="00A10A4F"/>
    <w:rsid w:val="00A10B74"/>
    <w:rsid w:val="00A10C12"/>
    <w:rsid w:val="00A10DC1"/>
    <w:rsid w:val="00A10DDC"/>
    <w:rsid w:val="00A10DDF"/>
    <w:rsid w:val="00A10E0C"/>
    <w:rsid w:val="00A10E32"/>
    <w:rsid w:val="00A10EAC"/>
    <w:rsid w:val="00A1109B"/>
    <w:rsid w:val="00A110AE"/>
    <w:rsid w:val="00A1111F"/>
    <w:rsid w:val="00A11184"/>
    <w:rsid w:val="00A1131E"/>
    <w:rsid w:val="00A11334"/>
    <w:rsid w:val="00A11342"/>
    <w:rsid w:val="00A11373"/>
    <w:rsid w:val="00A1137F"/>
    <w:rsid w:val="00A1143D"/>
    <w:rsid w:val="00A114F5"/>
    <w:rsid w:val="00A116E3"/>
    <w:rsid w:val="00A1174A"/>
    <w:rsid w:val="00A1178D"/>
    <w:rsid w:val="00A11832"/>
    <w:rsid w:val="00A118C8"/>
    <w:rsid w:val="00A119C8"/>
    <w:rsid w:val="00A11A6B"/>
    <w:rsid w:val="00A11AC9"/>
    <w:rsid w:val="00A11AED"/>
    <w:rsid w:val="00A11B06"/>
    <w:rsid w:val="00A11B70"/>
    <w:rsid w:val="00A11C42"/>
    <w:rsid w:val="00A11D71"/>
    <w:rsid w:val="00A11DA3"/>
    <w:rsid w:val="00A11E60"/>
    <w:rsid w:val="00A11EBF"/>
    <w:rsid w:val="00A11F54"/>
    <w:rsid w:val="00A11F5F"/>
    <w:rsid w:val="00A12010"/>
    <w:rsid w:val="00A120A4"/>
    <w:rsid w:val="00A120BD"/>
    <w:rsid w:val="00A120F5"/>
    <w:rsid w:val="00A122AA"/>
    <w:rsid w:val="00A122C3"/>
    <w:rsid w:val="00A1233F"/>
    <w:rsid w:val="00A12456"/>
    <w:rsid w:val="00A124AD"/>
    <w:rsid w:val="00A124DC"/>
    <w:rsid w:val="00A12576"/>
    <w:rsid w:val="00A12592"/>
    <w:rsid w:val="00A125E3"/>
    <w:rsid w:val="00A1268F"/>
    <w:rsid w:val="00A1279B"/>
    <w:rsid w:val="00A127D3"/>
    <w:rsid w:val="00A12854"/>
    <w:rsid w:val="00A12A17"/>
    <w:rsid w:val="00A12A5A"/>
    <w:rsid w:val="00A12B07"/>
    <w:rsid w:val="00A12B5A"/>
    <w:rsid w:val="00A12B67"/>
    <w:rsid w:val="00A12B70"/>
    <w:rsid w:val="00A12B98"/>
    <w:rsid w:val="00A12BD9"/>
    <w:rsid w:val="00A12C03"/>
    <w:rsid w:val="00A12C2C"/>
    <w:rsid w:val="00A12D2E"/>
    <w:rsid w:val="00A12DDC"/>
    <w:rsid w:val="00A12E7F"/>
    <w:rsid w:val="00A12EE2"/>
    <w:rsid w:val="00A12F62"/>
    <w:rsid w:val="00A12FF6"/>
    <w:rsid w:val="00A13132"/>
    <w:rsid w:val="00A131E8"/>
    <w:rsid w:val="00A1326D"/>
    <w:rsid w:val="00A13274"/>
    <w:rsid w:val="00A132D1"/>
    <w:rsid w:val="00A1337A"/>
    <w:rsid w:val="00A1341F"/>
    <w:rsid w:val="00A13430"/>
    <w:rsid w:val="00A13842"/>
    <w:rsid w:val="00A13847"/>
    <w:rsid w:val="00A13852"/>
    <w:rsid w:val="00A13898"/>
    <w:rsid w:val="00A138AD"/>
    <w:rsid w:val="00A138F3"/>
    <w:rsid w:val="00A13977"/>
    <w:rsid w:val="00A13A55"/>
    <w:rsid w:val="00A13A83"/>
    <w:rsid w:val="00A13B8D"/>
    <w:rsid w:val="00A13BDA"/>
    <w:rsid w:val="00A13C02"/>
    <w:rsid w:val="00A13C0C"/>
    <w:rsid w:val="00A13C34"/>
    <w:rsid w:val="00A13C3D"/>
    <w:rsid w:val="00A13CCB"/>
    <w:rsid w:val="00A13D58"/>
    <w:rsid w:val="00A13E82"/>
    <w:rsid w:val="00A13F20"/>
    <w:rsid w:val="00A13FAE"/>
    <w:rsid w:val="00A13FB0"/>
    <w:rsid w:val="00A13FB6"/>
    <w:rsid w:val="00A13FEB"/>
    <w:rsid w:val="00A1409B"/>
    <w:rsid w:val="00A141D6"/>
    <w:rsid w:val="00A143AB"/>
    <w:rsid w:val="00A144D7"/>
    <w:rsid w:val="00A144E7"/>
    <w:rsid w:val="00A145F4"/>
    <w:rsid w:val="00A14636"/>
    <w:rsid w:val="00A146C2"/>
    <w:rsid w:val="00A14714"/>
    <w:rsid w:val="00A1485B"/>
    <w:rsid w:val="00A1487E"/>
    <w:rsid w:val="00A1492A"/>
    <w:rsid w:val="00A14941"/>
    <w:rsid w:val="00A149CB"/>
    <w:rsid w:val="00A14A3A"/>
    <w:rsid w:val="00A14B3F"/>
    <w:rsid w:val="00A14C1E"/>
    <w:rsid w:val="00A14C5D"/>
    <w:rsid w:val="00A14CBB"/>
    <w:rsid w:val="00A14DA3"/>
    <w:rsid w:val="00A14E5B"/>
    <w:rsid w:val="00A14E81"/>
    <w:rsid w:val="00A14EEF"/>
    <w:rsid w:val="00A14F19"/>
    <w:rsid w:val="00A14FC8"/>
    <w:rsid w:val="00A14FE9"/>
    <w:rsid w:val="00A1504E"/>
    <w:rsid w:val="00A15069"/>
    <w:rsid w:val="00A1524F"/>
    <w:rsid w:val="00A1526D"/>
    <w:rsid w:val="00A1527B"/>
    <w:rsid w:val="00A1534F"/>
    <w:rsid w:val="00A1536D"/>
    <w:rsid w:val="00A15472"/>
    <w:rsid w:val="00A154F6"/>
    <w:rsid w:val="00A154F9"/>
    <w:rsid w:val="00A155B0"/>
    <w:rsid w:val="00A1566C"/>
    <w:rsid w:val="00A1574A"/>
    <w:rsid w:val="00A157AD"/>
    <w:rsid w:val="00A157B1"/>
    <w:rsid w:val="00A1586A"/>
    <w:rsid w:val="00A159C0"/>
    <w:rsid w:val="00A159DA"/>
    <w:rsid w:val="00A15A30"/>
    <w:rsid w:val="00A15A58"/>
    <w:rsid w:val="00A15BF6"/>
    <w:rsid w:val="00A15BFE"/>
    <w:rsid w:val="00A15D9F"/>
    <w:rsid w:val="00A15E71"/>
    <w:rsid w:val="00A15F24"/>
    <w:rsid w:val="00A16002"/>
    <w:rsid w:val="00A160B8"/>
    <w:rsid w:val="00A160F2"/>
    <w:rsid w:val="00A1610A"/>
    <w:rsid w:val="00A1613E"/>
    <w:rsid w:val="00A1617A"/>
    <w:rsid w:val="00A1621E"/>
    <w:rsid w:val="00A163AC"/>
    <w:rsid w:val="00A16448"/>
    <w:rsid w:val="00A164B1"/>
    <w:rsid w:val="00A16539"/>
    <w:rsid w:val="00A1656F"/>
    <w:rsid w:val="00A165AF"/>
    <w:rsid w:val="00A166AA"/>
    <w:rsid w:val="00A166B5"/>
    <w:rsid w:val="00A16782"/>
    <w:rsid w:val="00A1679B"/>
    <w:rsid w:val="00A167B3"/>
    <w:rsid w:val="00A167E1"/>
    <w:rsid w:val="00A16976"/>
    <w:rsid w:val="00A169D0"/>
    <w:rsid w:val="00A169FB"/>
    <w:rsid w:val="00A16A81"/>
    <w:rsid w:val="00A16A85"/>
    <w:rsid w:val="00A16AA6"/>
    <w:rsid w:val="00A16ACD"/>
    <w:rsid w:val="00A16AFE"/>
    <w:rsid w:val="00A16B18"/>
    <w:rsid w:val="00A16B98"/>
    <w:rsid w:val="00A16BD1"/>
    <w:rsid w:val="00A16C34"/>
    <w:rsid w:val="00A16C63"/>
    <w:rsid w:val="00A16D5E"/>
    <w:rsid w:val="00A16DDB"/>
    <w:rsid w:val="00A16E1C"/>
    <w:rsid w:val="00A16F56"/>
    <w:rsid w:val="00A17203"/>
    <w:rsid w:val="00A1721E"/>
    <w:rsid w:val="00A1738A"/>
    <w:rsid w:val="00A173B0"/>
    <w:rsid w:val="00A17529"/>
    <w:rsid w:val="00A17560"/>
    <w:rsid w:val="00A175AA"/>
    <w:rsid w:val="00A17648"/>
    <w:rsid w:val="00A17713"/>
    <w:rsid w:val="00A17792"/>
    <w:rsid w:val="00A17884"/>
    <w:rsid w:val="00A17979"/>
    <w:rsid w:val="00A17983"/>
    <w:rsid w:val="00A17A8A"/>
    <w:rsid w:val="00A17B1F"/>
    <w:rsid w:val="00A17BE2"/>
    <w:rsid w:val="00A17CB7"/>
    <w:rsid w:val="00A17D16"/>
    <w:rsid w:val="00A17D87"/>
    <w:rsid w:val="00A17DE1"/>
    <w:rsid w:val="00A17E06"/>
    <w:rsid w:val="00A17E3E"/>
    <w:rsid w:val="00A17E40"/>
    <w:rsid w:val="00A17F3E"/>
    <w:rsid w:val="00A17F74"/>
    <w:rsid w:val="00A20206"/>
    <w:rsid w:val="00A20214"/>
    <w:rsid w:val="00A203D1"/>
    <w:rsid w:val="00A20663"/>
    <w:rsid w:val="00A206CB"/>
    <w:rsid w:val="00A2071C"/>
    <w:rsid w:val="00A207AB"/>
    <w:rsid w:val="00A20984"/>
    <w:rsid w:val="00A209BC"/>
    <w:rsid w:val="00A209DD"/>
    <w:rsid w:val="00A20B40"/>
    <w:rsid w:val="00A20B6E"/>
    <w:rsid w:val="00A20D68"/>
    <w:rsid w:val="00A20D9D"/>
    <w:rsid w:val="00A20E8D"/>
    <w:rsid w:val="00A20F37"/>
    <w:rsid w:val="00A20F7F"/>
    <w:rsid w:val="00A210DF"/>
    <w:rsid w:val="00A211CE"/>
    <w:rsid w:val="00A21233"/>
    <w:rsid w:val="00A21255"/>
    <w:rsid w:val="00A21271"/>
    <w:rsid w:val="00A21302"/>
    <w:rsid w:val="00A214CD"/>
    <w:rsid w:val="00A21522"/>
    <w:rsid w:val="00A21666"/>
    <w:rsid w:val="00A2178E"/>
    <w:rsid w:val="00A2179E"/>
    <w:rsid w:val="00A217AC"/>
    <w:rsid w:val="00A217D1"/>
    <w:rsid w:val="00A21812"/>
    <w:rsid w:val="00A21838"/>
    <w:rsid w:val="00A218A6"/>
    <w:rsid w:val="00A218D4"/>
    <w:rsid w:val="00A219CE"/>
    <w:rsid w:val="00A21B1D"/>
    <w:rsid w:val="00A21BA1"/>
    <w:rsid w:val="00A21D84"/>
    <w:rsid w:val="00A21DAE"/>
    <w:rsid w:val="00A21DE5"/>
    <w:rsid w:val="00A21EBB"/>
    <w:rsid w:val="00A21F91"/>
    <w:rsid w:val="00A21FDB"/>
    <w:rsid w:val="00A220E5"/>
    <w:rsid w:val="00A22139"/>
    <w:rsid w:val="00A221F4"/>
    <w:rsid w:val="00A22327"/>
    <w:rsid w:val="00A22438"/>
    <w:rsid w:val="00A2248B"/>
    <w:rsid w:val="00A224F2"/>
    <w:rsid w:val="00A22576"/>
    <w:rsid w:val="00A2277E"/>
    <w:rsid w:val="00A2294E"/>
    <w:rsid w:val="00A229D8"/>
    <w:rsid w:val="00A22A77"/>
    <w:rsid w:val="00A22AEB"/>
    <w:rsid w:val="00A22BF9"/>
    <w:rsid w:val="00A22C6F"/>
    <w:rsid w:val="00A22E7B"/>
    <w:rsid w:val="00A22ECE"/>
    <w:rsid w:val="00A22FBD"/>
    <w:rsid w:val="00A22FD6"/>
    <w:rsid w:val="00A2305F"/>
    <w:rsid w:val="00A231EB"/>
    <w:rsid w:val="00A23235"/>
    <w:rsid w:val="00A2334A"/>
    <w:rsid w:val="00A23391"/>
    <w:rsid w:val="00A234D4"/>
    <w:rsid w:val="00A2354A"/>
    <w:rsid w:val="00A23617"/>
    <w:rsid w:val="00A23831"/>
    <w:rsid w:val="00A238C4"/>
    <w:rsid w:val="00A239E2"/>
    <w:rsid w:val="00A23A4E"/>
    <w:rsid w:val="00A23A83"/>
    <w:rsid w:val="00A23E24"/>
    <w:rsid w:val="00A24069"/>
    <w:rsid w:val="00A240BE"/>
    <w:rsid w:val="00A240E1"/>
    <w:rsid w:val="00A241A9"/>
    <w:rsid w:val="00A241C7"/>
    <w:rsid w:val="00A2445C"/>
    <w:rsid w:val="00A244D2"/>
    <w:rsid w:val="00A244EC"/>
    <w:rsid w:val="00A24791"/>
    <w:rsid w:val="00A247A9"/>
    <w:rsid w:val="00A247DB"/>
    <w:rsid w:val="00A2481E"/>
    <w:rsid w:val="00A24928"/>
    <w:rsid w:val="00A249DD"/>
    <w:rsid w:val="00A24A3F"/>
    <w:rsid w:val="00A24BA8"/>
    <w:rsid w:val="00A24D27"/>
    <w:rsid w:val="00A24D8F"/>
    <w:rsid w:val="00A24DFC"/>
    <w:rsid w:val="00A24E10"/>
    <w:rsid w:val="00A24E3B"/>
    <w:rsid w:val="00A24E4F"/>
    <w:rsid w:val="00A24EF8"/>
    <w:rsid w:val="00A251A1"/>
    <w:rsid w:val="00A251AD"/>
    <w:rsid w:val="00A2524E"/>
    <w:rsid w:val="00A2527F"/>
    <w:rsid w:val="00A25326"/>
    <w:rsid w:val="00A25395"/>
    <w:rsid w:val="00A253A4"/>
    <w:rsid w:val="00A253A6"/>
    <w:rsid w:val="00A255E1"/>
    <w:rsid w:val="00A2561C"/>
    <w:rsid w:val="00A256BC"/>
    <w:rsid w:val="00A257B7"/>
    <w:rsid w:val="00A257B8"/>
    <w:rsid w:val="00A25896"/>
    <w:rsid w:val="00A2594C"/>
    <w:rsid w:val="00A25953"/>
    <w:rsid w:val="00A259EB"/>
    <w:rsid w:val="00A25A77"/>
    <w:rsid w:val="00A25A92"/>
    <w:rsid w:val="00A25B8A"/>
    <w:rsid w:val="00A25D80"/>
    <w:rsid w:val="00A25DA9"/>
    <w:rsid w:val="00A25DE5"/>
    <w:rsid w:val="00A25E74"/>
    <w:rsid w:val="00A25F09"/>
    <w:rsid w:val="00A260C3"/>
    <w:rsid w:val="00A2610D"/>
    <w:rsid w:val="00A261C4"/>
    <w:rsid w:val="00A26302"/>
    <w:rsid w:val="00A26416"/>
    <w:rsid w:val="00A26430"/>
    <w:rsid w:val="00A26455"/>
    <w:rsid w:val="00A2650C"/>
    <w:rsid w:val="00A26536"/>
    <w:rsid w:val="00A2668F"/>
    <w:rsid w:val="00A26706"/>
    <w:rsid w:val="00A26799"/>
    <w:rsid w:val="00A267B5"/>
    <w:rsid w:val="00A267C7"/>
    <w:rsid w:val="00A2692E"/>
    <w:rsid w:val="00A26970"/>
    <w:rsid w:val="00A26996"/>
    <w:rsid w:val="00A269CF"/>
    <w:rsid w:val="00A269F1"/>
    <w:rsid w:val="00A26A5E"/>
    <w:rsid w:val="00A26A61"/>
    <w:rsid w:val="00A26A92"/>
    <w:rsid w:val="00A26ADF"/>
    <w:rsid w:val="00A26C9B"/>
    <w:rsid w:val="00A26CF1"/>
    <w:rsid w:val="00A26D15"/>
    <w:rsid w:val="00A26DA8"/>
    <w:rsid w:val="00A26ECD"/>
    <w:rsid w:val="00A2708D"/>
    <w:rsid w:val="00A270DB"/>
    <w:rsid w:val="00A2711D"/>
    <w:rsid w:val="00A27243"/>
    <w:rsid w:val="00A27343"/>
    <w:rsid w:val="00A27350"/>
    <w:rsid w:val="00A2750A"/>
    <w:rsid w:val="00A27542"/>
    <w:rsid w:val="00A27570"/>
    <w:rsid w:val="00A275A6"/>
    <w:rsid w:val="00A275FA"/>
    <w:rsid w:val="00A27746"/>
    <w:rsid w:val="00A278CC"/>
    <w:rsid w:val="00A278D0"/>
    <w:rsid w:val="00A278DA"/>
    <w:rsid w:val="00A27965"/>
    <w:rsid w:val="00A279D9"/>
    <w:rsid w:val="00A279ED"/>
    <w:rsid w:val="00A27A17"/>
    <w:rsid w:val="00A27A87"/>
    <w:rsid w:val="00A27A9E"/>
    <w:rsid w:val="00A27B52"/>
    <w:rsid w:val="00A27BBD"/>
    <w:rsid w:val="00A27BC9"/>
    <w:rsid w:val="00A27C86"/>
    <w:rsid w:val="00A27CB2"/>
    <w:rsid w:val="00A27D3A"/>
    <w:rsid w:val="00A27D50"/>
    <w:rsid w:val="00A27D87"/>
    <w:rsid w:val="00A27D94"/>
    <w:rsid w:val="00A27DC6"/>
    <w:rsid w:val="00A27E0E"/>
    <w:rsid w:val="00A27F0F"/>
    <w:rsid w:val="00A27FC0"/>
    <w:rsid w:val="00A30012"/>
    <w:rsid w:val="00A3005D"/>
    <w:rsid w:val="00A301F7"/>
    <w:rsid w:val="00A30200"/>
    <w:rsid w:val="00A302A6"/>
    <w:rsid w:val="00A30356"/>
    <w:rsid w:val="00A30370"/>
    <w:rsid w:val="00A30388"/>
    <w:rsid w:val="00A303DF"/>
    <w:rsid w:val="00A30476"/>
    <w:rsid w:val="00A3056C"/>
    <w:rsid w:val="00A305CB"/>
    <w:rsid w:val="00A30650"/>
    <w:rsid w:val="00A30651"/>
    <w:rsid w:val="00A3065A"/>
    <w:rsid w:val="00A30B95"/>
    <w:rsid w:val="00A30C9D"/>
    <w:rsid w:val="00A30D5B"/>
    <w:rsid w:val="00A30E5F"/>
    <w:rsid w:val="00A30E89"/>
    <w:rsid w:val="00A30FA5"/>
    <w:rsid w:val="00A31139"/>
    <w:rsid w:val="00A31159"/>
    <w:rsid w:val="00A31195"/>
    <w:rsid w:val="00A31198"/>
    <w:rsid w:val="00A3121C"/>
    <w:rsid w:val="00A312ED"/>
    <w:rsid w:val="00A31489"/>
    <w:rsid w:val="00A31558"/>
    <w:rsid w:val="00A315BF"/>
    <w:rsid w:val="00A31638"/>
    <w:rsid w:val="00A31683"/>
    <w:rsid w:val="00A31768"/>
    <w:rsid w:val="00A3176E"/>
    <w:rsid w:val="00A31843"/>
    <w:rsid w:val="00A3188E"/>
    <w:rsid w:val="00A319A3"/>
    <w:rsid w:val="00A31A86"/>
    <w:rsid w:val="00A31AD7"/>
    <w:rsid w:val="00A31B38"/>
    <w:rsid w:val="00A31C45"/>
    <w:rsid w:val="00A31F12"/>
    <w:rsid w:val="00A31F8B"/>
    <w:rsid w:val="00A31FBC"/>
    <w:rsid w:val="00A320E1"/>
    <w:rsid w:val="00A3213B"/>
    <w:rsid w:val="00A3222F"/>
    <w:rsid w:val="00A322A1"/>
    <w:rsid w:val="00A323DA"/>
    <w:rsid w:val="00A324F3"/>
    <w:rsid w:val="00A32519"/>
    <w:rsid w:val="00A325AA"/>
    <w:rsid w:val="00A32603"/>
    <w:rsid w:val="00A326BA"/>
    <w:rsid w:val="00A328D7"/>
    <w:rsid w:val="00A328E2"/>
    <w:rsid w:val="00A3293E"/>
    <w:rsid w:val="00A32A65"/>
    <w:rsid w:val="00A32BBE"/>
    <w:rsid w:val="00A32C0D"/>
    <w:rsid w:val="00A32CF0"/>
    <w:rsid w:val="00A32D27"/>
    <w:rsid w:val="00A32F6E"/>
    <w:rsid w:val="00A3300E"/>
    <w:rsid w:val="00A330D7"/>
    <w:rsid w:val="00A3316D"/>
    <w:rsid w:val="00A331AD"/>
    <w:rsid w:val="00A331D2"/>
    <w:rsid w:val="00A3321B"/>
    <w:rsid w:val="00A33273"/>
    <w:rsid w:val="00A3329C"/>
    <w:rsid w:val="00A334E8"/>
    <w:rsid w:val="00A33573"/>
    <w:rsid w:val="00A3359C"/>
    <w:rsid w:val="00A335A1"/>
    <w:rsid w:val="00A3385E"/>
    <w:rsid w:val="00A338D5"/>
    <w:rsid w:val="00A33A5A"/>
    <w:rsid w:val="00A33A9D"/>
    <w:rsid w:val="00A33A9E"/>
    <w:rsid w:val="00A33B30"/>
    <w:rsid w:val="00A33B77"/>
    <w:rsid w:val="00A33B7C"/>
    <w:rsid w:val="00A33BF1"/>
    <w:rsid w:val="00A33CAD"/>
    <w:rsid w:val="00A33CB4"/>
    <w:rsid w:val="00A33D78"/>
    <w:rsid w:val="00A33DC6"/>
    <w:rsid w:val="00A33DF6"/>
    <w:rsid w:val="00A33E33"/>
    <w:rsid w:val="00A33EC4"/>
    <w:rsid w:val="00A33FF9"/>
    <w:rsid w:val="00A34043"/>
    <w:rsid w:val="00A340F1"/>
    <w:rsid w:val="00A342FF"/>
    <w:rsid w:val="00A34350"/>
    <w:rsid w:val="00A343CE"/>
    <w:rsid w:val="00A34491"/>
    <w:rsid w:val="00A3451A"/>
    <w:rsid w:val="00A34641"/>
    <w:rsid w:val="00A3475E"/>
    <w:rsid w:val="00A348D1"/>
    <w:rsid w:val="00A3492B"/>
    <w:rsid w:val="00A34C27"/>
    <w:rsid w:val="00A34D20"/>
    <w:rsid w:val="00A34D70"/>
    <w:rsid w:val="00A34D92"/>
    <w:rsid w:val="00A34DE8"/>
    <w:rsid w:val="00A34E01"/>
    <w:rsid w:val="00A34E5B"/>
    <w:rsid w:val="00A34F1C"/>
    <w:rsid w:val="00A34F87"/>
    <w:rsid w:val="00A34F9A"/>
    <w:rsid w:val="00A34FF8"/>
    <w:rsid w:val="00A35017"/>
    <w:rsid w:val="00A35047"/>
    <w:rsid w:val="00A3515B"/>
    <w:rsid w:val="00A35196"/>
    <w:rsid w:val="00A351A6"/>
    <w:rsid w:val="00A351D7"/>
    <w:rsid w:val="00A3524B"/>
    <w:rsid w:val="00A352E2"/>
    <w:rsid w:val="00A3533F"/>
    <w:rsid w:val="00A35346"/>
    <w:rsid w:val="00A3535C"/>
    <w:rsid w:val="00A35373"/>
    <w:rsid w:val="00A35439"/>
    <w:rsid w:val="00A354C4"/>
    <w:rsid w:val="00A35553"/>
    <w:rsid w:val="00A35632"/>
    <w:rsid w:val="00A356F8"/>
    <w:rsid w:val="00A35780"/>
    <w:rsid w:val="00A3585A"/>
    <w:rsid w:val="00A3586B"/>
    <w:rsid w:val="00A358E0"/>
    <w:rsid w:val="00A35902"/>
    <w:rsid w:val="00A35943"/>
    <w:rsid w:val="00A35950"/>
    <w:rsid w:val="00A3599D"/>
    <w:rsid w:val="00A35A34"/>
    <w:rsid w:val="00A35A5F"/>
    <w:rsid w:val="00A35B11"/>
    <w:rsid w:val="00A35C1D"/>
    <w:rsid w:val="00A35D08"/>
    <w:rsid w:val="00A35D23"/>
    <w:rsid w:val="00A35D46"/>
    <w:rsid w:val="00A35D6A"/>
    <w:rsid w:val="00A35D82"/>
    <w:rsid w:val="00A35E44"/>
    <w:rsid w:val="00A35F1A"/>
    <w:rsid w:val="00A36282"/>
    <w:rsid w:val="00A362A4"/>
    <w:rsid w:val="00A36337"/>
    <w:rsid w:val="00A363AF"/>
    <w:rsid w:val="00A363D9"/>
    <w:rsid w:val="00A36427"/>
    <w:rsid w:val="00A364D2"/>
    <w:rsid w:val="00A364DB"/>
    <w:rsid w:val="00A3652F"/>
    <w:rsid w:val="00A36588"/>
    <w:rsid w:val="00A36618"/>
    <w:rsid w:val="00A36651"/>
    <w:rsid w:val="00A366BA"/>
    <w:rsid w:val="00A366EC"/>
    <w:rsid w:val="00A36702"/>
    <w:rsid w:val="00A3676E"/>
    <w:rsid w:val="00A3677E"/>
    <w:rsid w:val="00A367E6"/>
    <w:rsid w:val="00A36931"/>
    <w:rsid w:val="00A36960"/>
    <w:rsid w:val="00A36A57"/>
    <w:rsid w:val="00A36A9F"/>
    <w:rsid w:val="00A36B21"/>
    <w:rsid w:val="00A36BBB"/>
    <w:rsid w:val="00A36BCE"/>
    <w:rsid w:val="00A36C7A"/>
    <w:rsid w:val="00A36CD0"/>
    <w:rsid w:val="00A36F3C"/>
    <w:rsid w:val="00A36F7F"/>
    <w:rsid w:val="00A36F98"/>
    <w:rsid w:val="00A36FA4"/>
    <w:rsid w:val="00A36FE2"/>
    <w:rsid w:val="00A3710A"/>
    <w:rsid w:val="00A37124"/>
    <w:rsid w:val="00A3714F"/>
    <w:rsid w:val="00A3718F"/>
    <w:rsid w:val="00A371C7"/>
    <w:rsid w:val="00A371D6"/>
    <w:rsid w:val="00A37244"/>
    <w:rsid w:val="00A37257"/>
    <w:rsid w:val="00A37339"/>
    <w:rsid w:val="00A373FF"/>
    <w:rsid w:val="00A37449"/>
    <w:rsid w:val="00A3749B"/>
    <w:rsid w:val="00A37584"/>
    <w:rsid w:val="00A375D3"/>
    <w:rsid w:val="00A3772E"/>
    <w:rsid w:val="00A377E0"/>
    <w:rsid w:val="00A37880"/>
    <w:rsid w:val="00A37982"/>
    <w:rsid w:val="00A379A0"/>
    <w:rsid w:val="00A37A2A"/>
    <w:rsid w:val="00A37A39"/>
    <w:rsid w:val="00A37B4C"/>
    <w:rsid w:val="00A37B67"/>
    <w:rsid w:val="00A37BC0"/>
    <w:rsid w:val="00A37CB6"/>
    <w:rsid w:val="00A37CC4"/>
    <w:rsid w:val="00A37D87"/>
    <w:rsid w:val="00A37D88"/>
    <w:rsid w:val="00A37DC5"/>
    <w:rsid w:val="00A37E19"/>
    <w:rsid w:val="00A37EE5"/>
    <w:rsid w:val="00A37EF5"/>
    <w:rsid w:val="00A37F83"/>
    <w:rsid w:val="00A4000E"/>
    <w:rsid w:val="00A401D3"/>
    <w:rsid w:val="00A40237"/>
    <w:rsid w:val="00A4028C"/>
    <w:rsid w:val="00A40360"/>
    <w:rsid w:val="00A403C6"/>
    <w:rsid w:val="00A40450"/>
    <w:rsid w:val="00A40453"/>
    <w:rsid w:val="00A4046B"/>
    <w:rsid w:val="00A4046D"/>
    <w:rsid w:val="00A405CA"/>
    <w:rsid w:val="00A40614"/>
    <w:rsid w:val="00A4064A"/>
    <w:rsid w:val="00A40662"/>
    <w:rsid w:val="00A40717"/>
    <w:rsid w:val="00A40859"/>
    <w:rsid w:val="00A408BD"/>
    <w:rsid w:val="00A4091C"/>
    <w:rsid w:val="00A4093C"/>
    <w:rsid w:val="00A4096D"/>
    <w:rsid w:val="00A4097A"/>
    <w:rsid w:val="00A409BB"/>
    <w:rsid w:val="00A40A57"/>
    <w:rsid w:val="00A40A90"/>
    <w:rsid w:val="00A40B7A"/>
    <w:rsid w:val="00A40BA4"/>
    <w:rsid w:val="00A40CB4"/>
    <w:rsid w:val="00A40E90"/>
    <w:rsid w:val="00A40EC4"/>
    <w:rsid w:val="00A40EF7"/>
    <w:rsid w:val="00A40F37"/>
    <w:rsid w:val="00A41074"/>
    <w:rsid w:val="00A410C3"/>
    <w:rsid w:val="00A410E3"/>
    <w:rsid w:val="00A4119E"/>
    <w:rsid w:val="00A4121D"/>
    <w:rsid w:val="00A41258"/>
    <w:rsid w:val="00A412AD"/>
    <w:rsid w:val="00A413F7"/>
    <w:rsid w:val="00A4141E"/>
    <w:rsid w:val="00A4149F"/>
    <w:rsid w:val="00A415F2"/>
    <w:rsid w:val="00A415F4"/>
    <w:rsid w:val="00A416C2"/>
    <w:rsid w:val="00A4172B"/>
    <w:rsid w:val="00A417C0"/>
    <w:rsid w:val="00A41881"/>
    <w:rsid w:val="00A41903"/>
    <w:rsid w:val="00A41979"/>
    <w:rsid w:val="00A41AC6"/>
    <w:rsid w:val="00A41C0F"/>
    <w:rsid w:val="00A41C5F"/>
    <w:rsid w:val="00A41E9E"/>
    <w:rsid w:val="00A41F79"/>
    <w:rsid w:val="00A41F9E"/>
    <w:rsid w:val="00A41FC4"/>
    <w:rsid w:val="00A41FCF"/>
    <w:rsid w:val="00A42024"/>
    <w:rsid w:val="00A42052"/>
    <w:rsid w:val="00A420E2"/>
    <w:rsid w:val="00A421EA"/>
    <w:rsid w:val="00A42336"/>
    <w:rsid w:val="00A4248F"/>
    <w:rsid w:val="00A424BD"/>
    <w:rsid w:val="00A4251E"/>
    <w:rsid w:val="00A4272B"/>
    <w:rsid w:val="00A427F5"/>
    <w:rsid w:val="00A4287E"/>
    <w:rsid w:val="00A428A8"/>
    <w:rsid w:val="00A429B7"/>
    <w:rsid w:val="00A42A7C"/>
    <w:rsid w:val="00A42BA3"/>
    <w:rsid w:val="00A42BDE"/>
    <w:rsid w:val="00A42C48"/>
    <w:rsid w:val="00A42C58"/>
    <w:rsid w:val="00A42CE1"/>
    <w:rsid w:val="00A42D5E"/>
    <w:rsid w:val="00A42D77"/>
    <w:rsid w:val="00A42DE0"/>
    <w:rsid w:val="00A42DE9"/>
    <w:rsid w:val="00A42E86"/>
    <w:rsid w:val="00A42EB8"/>
    <w:rsid w:val="00A42EFF"/>
    <w:rsid w:val="00A42F82"/>
    <w:rsid w:val="00A42F98"/>
    <w:rsid w:val="00A430C7"/>
    <w:rsid w:val="00A430DA"/>
    <w:rsid w:val="00A430EE"/>
    <w:rsid w:val="00A430F9"/>
    <w:rsid w:val="00A4317A"/>
    <w:rsid w:val="00A43196"/>
    <w:rsid w:val="00A431D8"/>
    <w:rsid w:val="00A432A2"/>
    <w:rsid w:val="00A43313"/>
    <w:rsid w:val="00A43321"/>
    <w:rsid w:val="00A43341"/>
    <w:rsid w:val="00A4334D"/>
    <w:rsid w:val="00A43399"/>
    <w:rsid w:val="00A433B3"/>
    <w:rsid w:val="00A433BB"/>
    <w:rsid w:val="00A433DB"/>
    <w:rsid w:val="00A4344C"/>
    <w:rsid w:val="00A434DF"/>
    <w:rsid w:val="00A43503"/>
    <w:rsid w:val="00A4364F"/>
    <w:rsid w:val="00A4368D"/>
    <w:rsid w:val="00A437A7"/>
    <w:rsid w:val="00A437DE"/>
    <w:rsid w:val="00A43846"/>
    <w:rsid w:val="00A438B5"/>
    <w:rsid w:val="00A4392E"/>
    <w:rsid w:val="00A4396F"/>
    <w:rsid w:val="00A4397D"/>
    <w:rsid w:val="00A439A4"/>
    <w:rsid w:val="00A43A5E"/>
    <w:rsid w:val="00A43A8F"/>
    <w:rsid w:val="00A43AB3"/>
    <w:rsid w:val="00A43AE4"/>
    <w:rsid w:val="00A43AF0"/>
    <w:rsid w:val="00A43B51"/>
    <w:rsid w:val="00A43B61"/>
    <w:rsid w:val="00A43C00"/>
    <w:rsid w:val="00A43C78"/>
    <w:rsid w:val="00A43E00"/>
    <w:rsid w:val="00A43E3B"/>
    <w:rsid w:val="00A43F4A"/>
    <w:rsid w:val="00A440DB"/>
    <w:rsid w:val="00A44424"/>
    <w:rsid w:val="00A444EB"/>
    <w:rsid w:val="00A4460A"/>
    <w:rsid w:val="00A44831"/>
    <w:rsid w:val="00A44851"/>
    <w:rsid w:val="00A44971"/>
    <w:rsid w:val="00A44974"/>
    <w:rsid w:val="00A44A3D"/>
    <w:rsid w:val="00A44A54"/>
    <w:rsid w:val="00A44B57"/>
    <w:rsid w:val="00A44C57"/>
    <w:rsid w:val="00A44D91"/>
    <w:rsid w:val="00A44DCA"/>
    <w:rsid w:val="00A44E31"/>
    <w:rsid w:val="00A44EC5"/>
    <w:rsid w:val="00A44FFB"/>
    <w:rsid w:val="00A45012"/>
    <w:rsid w:val="00A450CC"/>
    <w:rsid w:val="00A450FF"/>
    <w:rsid w:val="00A451D4"/>
    <w:rsid w:val="00A45201"/>
    <w:rsid w:val="00A45222"/>
    <w:rsid w:val="00A4529B"/>
    <w:rsid w:val="00A45310"/>
    <w:rsid w:val="00A45321"/>
    <w:rsid w:val="00A45322"/>
    <w:rsid w:val="00A45485"/>
    <w:rsid w:val="00A4554B"/>
    <w:rsid w:val="00A456A3"/>
    <w:rsid w:val="00A4570F"/>
    <w:rsid w:val="00A4579B"/>
    <w:rsid w:val="00A458EF"/>
    <w:rsid w:val="00A4596C"/>
    <w:rsid w:val="00A459AC"/>
    <w:rsid w:val="00A45A25"/>
    <w:rsid w:val="00A45B3A"/>
    <w:rsid w:val="00A45C10"/>
    <w:rsid w:val="00A45C89"/>
    <w:rsid w:val="00A45C9F"/>
    <w:rsid w:val="00A45DED"/>
    <w:rsid w:val="00A45E1E"/>
    <w:rsid w:val="00A45F40"/>
    <w:rsid w:val="00A4604E"/>
    <w:rsid w:val="00A46205"/>
    <w:rsid w:val="00A4621B"/>
    <w:rsid w:val="00A4624E"/>
    <w:rsid w:val="00A462A1"/>
    <w:rsid w:val="00A462CD"/>
    <w:rsid w:val="00A46362"/>
    <w:rsid w:val="00A46391"/>
    <w:rsid w:val="00A46491"/>
    <w:rsid w:val="00A4649E"/>
    <w:rsid w:val="00A464A0"/>
    <w:rsid w:val="00A464A4"/>
    <w:rsid w:val="00A46671"/>
    <w:rsid w:val="00A466D6"/>
    <w:rsid w:val="00A46735"/>
    <w:rsid w:val="00A46764"/>
    <w:rsid w:val="00A4682A"/>
    <w:rsid w:val="00A468C1"/>
    <w:rsid w:val="00A468E9"/>
    <w:rsid w:val="00A46AA4"/>
    <w:rsid w:val="00A46AEE"/>
    <w:rsid w:val="00A46BE9"/>
    <w:rsid w:val="00A46C04"/>
    <w:rsid w:val="00A46D32"/>
    <w:rsid w:val="00A46D4B"/>
    <w:rsid w:val="00A46D52"/>
    <w:rsid w:val="00A46D8F"/>
    <w:rsid w:val="00A46E51"/>
    <w:rsid w:val="00A46E59"/>
    <w:rsid w:val="00A46E60"/>
    <w:rsid w:val="00A46EC5"/>
    <w:rsid w:val="00A46F6A"/>
    <w:rsid w:val="00A46F7B"/>
    <w:rsid w:val="00A46FC2"/>
    <w:rsid w:val="00A4708C"/>
    <w:rsid w:val="00A4713F"/>
    <w:rsid w:val="00A4716D"/>
    <w:rsid w:val="00A4719F"/>
    <w:rsid w:val="00A471C3"/>
    <w:rsid w:val="00A47205"/>
    <w:rsid w:val="00A4724D"/>
    <w:rsid w:val="00A47264"/>
    <w:rsid w:val="00A472BA"/>
    <w:rsid w:val="00A472CB"/>
    <w:rsid w:val="00A473CC"/>
    <w:rsid w:val="00A474C6"/>
    <w:rsid w:val="00A47513"/>
    <w:rsid w:val="00A47517"/>
    <w:rsid w:val="00A4756B"/>
    <w:rsid w:val="00A47620"/>
    <w:rsid w:val="00A47829"/>
    <w:rsid w:val="00A4789D"/>
    <w:rsid w:val="00A478A1"/>
    <w:rsid w:val="00A47A58"/>
    <w:rsid w:val="00A47B85"/>
    <w:rsid w:val="00A47BE4"/>
    <w:rsid w:val="00A47CB2"/>
    <w:rsid w:val="00A47CB5"/>
    <w:rsid w:val="00A47CC5"/>
    <w:rsid w:val="00A47CDF"/>
    <w:rsid w:val="00A47D83"/>
    <w:rsid w:val="00A47DA5"/>
    <w:rsid w:val="00A47E57"/>
    <w:rsid w:val="00A47E6E"/>
    <w:rsid w:val="00A47EDF"/>
    <w:rsid w:val="00A47EE4"/>
    <w:rsid w:val="00A47FC9"/>
    <w:rsid w:val="00A50169"/>
    <w:rsid w:val="00A5020E"/>
    <w:rsid w:val="00A502F5"/>
    <w:rsid w:val="00A50380"/>
    <w:rsid w:val="00A5045B"/>
    <w:rsid w:val="00A5046F"/>
    <w:rsid w:val="00A50489"/>
    <w:rsid w:val="00A50545"/>
    <w:rsid w:val="00A5059C"/>
    <w:rsid w:val="00A506E6"/>
    <w:rsid w:val="00A50712"/>
    <w:rsid w:val="00A5071E"/>
    <w:rsid w:val="00A5072C"/>
    <w:rsid w:val="00A507F0"/>
    <w:rsid w:val="00A50833"/>
    <w:rsid w:val="00A50859"/>
    <w:rsid w:val="00A50A66"/>
    <w:rsid w:val="00A50A79"/>
    <w:rsid w:val="00A50A81"/>
    <w:rsid w:val="00A50A99"/>
    <w:rsid w:val="00A50AE4"/>
    <w:rsid w:val="00A50B26"/>
    <w:rsid w:val="00A50B5D"/>
    <w:rsid w:val="00A50B6F"/>
    <w:rsid w:val="00A50B89"/>
    <w:rsid w:val="00A50B8B"/>
    <w:rsid w:val="00A50D34"/>
    <w:rsid w:val="00A50D4B"/>
    <w:rsid w:val="00A50D88"/>
    <w:rsid w:val="00A50DEF"/>
    <w:rsid w:val="00A50E6B"/>
    <w:rsid w:val="00A50E7F"/>
    <w:rsid w:val="00A50F37"/>
    <w:rsid w:val="00A50F90"/>
    <w:rsid w:val="00A50FE9"/>
    <w:rsid w:val="00A5102A"/>
    <w:rsid w:val="00A51080"/>
    <w:rsid w:val="00A5125A"/>
    <w:rsid w:val="00A512A4"/>
    <w:rsid w:val="00A51320"/>
    <w:rsid w:val="00A513D5"/>
    <w:rsid w:val="00A513E2"/>
    <w:rsid w:val="00A51453"/>
    <w:rsid w:val="00A514C2"/>
    <w:rsid w:val="00A514D5"/>
    <w:rsid w:val="00A516B1"/>
    <w:rsid w:val="00A5178B"/>
    <w:rsid w:val="00A51802"/>
    <w:rsid w:val="00A518F4"/>
    <w:rsid w:val="00A51953"/>
    <w:rsid w:val="00A51A3F"/>
    <w:rsid w:val="00A51A61"/>
    <w:rsid w:val="00A51C18"/>
    <w:rsid w:val="00A51C75"/>
    <w:rsid w:val="00A51C8A"/>
    <w:rsid w:val="00A51D16"/>
    <w:rsid w:val="00A51D31"/>
    <w:rsid w:val="00A51E93"/>
    <w:rsid w:val="00A5213C"/>
    <w:rsid w:val="00A522C5"/>
    <w:rsid w:val="00A523C9"/>
    <w:rsid w:val="00A52401"/>
    <w:rsid w:val="00A52402"/>
    <w:rsid w:val="00A52422"/>
    <w:rsid w:val="00A524B7"/>
    <w:rsid w:val="00A52584"/>
    <w:rsid w:val="00A525E2"/>
    <w:rsid w:val="00A5272F"/>
    <w:rsid w:val="00A52760"/>
    <w:rsid w:val="00A527B3"/>
    <w:rsid w:val="00A5289D"/>
    <w:rsid w:val="00A528EC"/>
    <w:rsid w:val="00A52BEB"/>
    <w:rsid w:val="00A52BF0"/>
    <w:rsid w:val="00A52D66"/>
    <w:rsid w:val="00A52E53"/>
    <w:rsid w:val="00A52EEA"/>
    <w:rsid w:val="00A52EF0"/>
    <w:rsid w:val="00A52F50"/>
    <w:rsid w:val="00A52F6A"/>
    <w:rsid w:val="00A53036"/>
    <w:rsid w:val="00A5308F"/>
    <w:rsid w:val="00A5317D"/>
    <w:rsid w:val="00A532DD"/>
    <w:rsid w:val="00A53501"/>
    <w:rsid w:val="00A5369F"/>
    <w:rsid w:val="00A53710"/>
    <w:rsid w:val="00A5379A"/>
    <w:rsid w:val="00A538ED"/>
    <w:rsid w:val="00A53919"/>
    <w:rsid w:val="00A539AD"/>
    <w:rsid w:val="00A53A2B"/>
    <w:rsid w:val="00A53A30"/>
    <w:rsid w:val="00A53A5F"/>
    <w:rsid w:val="00A53AA5"/>
    <w:rsid w:val="00A53CF2"/>
    <w:rsid w:val="00A53D9C"/>
    <w:rsid w:val="00A53DA1"/>
    <w:rsid w:val="00A53DC2"/>
    <w:rsid w:val="00A53E4C"/>
    <w:rsid w:val="00A54014"/>
    <w:rsid w:val="00A54498"/>
    <w:rsid w:val="00A54582"/>
    <w:rsid w:val="00A5460E"/>
    <w:rsid w:val="00A5465D"/>
    <w:rsid w:val="00A5466D"/>
    <w:rsid w:val="00A546A0"/>
    <w:rsid w:val="00A54711"/>
    <w:rsid w:val="00A54726"/>
    <w:rsid w:val="00A5479F"/>
    <w:rsid w:val="00A5481E"/>
    <w:rsid w:val="00A548A8"/>
    <w:rsid w:val="00A54957"/>
    <w:rsid w:val="00A54976"/>
    <w:rsid w:val="00A5499C"/>
    <w:rsid w:val="00A54A64"/>
    <w:rsid w:val="00A54AB1"/>
    <w:rsid w:val="00A54C0C"/>
    <w:rsid w:val="00A54E30"/>
    <w:rsid w:val="00A54F34"/>
    <w:rsid w:val="00A54FAC"/>
    <w:rsid w:val="00A54FC8"/>
    <w:rsid w:val="00A54FDC"/>
    <w:rsid w:val="00A551BA"/>
    <w:rsid w:val="00A55212"/>
    <w:rsid w:val="00A55370"/>
    <w:rsid w:val="00A55385"/>
    <w:rsid w:val="00A5547E"/>
    <w:rsid w:val="00A55537"/>
    <w:rsid w:val="00A55558"/>
    <w:rsid w:val="00A55696"/>
    <w:rsid w:val="00A556D8"/>
    <w:rsid w:val="00A556EE"/>
    <w:rsid w:val="00A55752"/>
    <w:rsid w:val="00A558F0"/>
    <w:rsid w:val="00A55911"/>
    <w:rsid w:val="00A5596E"/>
    <w:rsid w:val="00A55BF2"/>
    <w:rsid w:val="00A55C01"/>
    <w:rsid w:val="00A55E51"/>
    <w:rsid w:val="00A55F26"/>
    <w:rsid w:val="00A55F51"/>
    <w:rsid w:val="00A55F67"/>
    <w:rsid w:val="00A56012"/>
    <w:rsid w:val="00A5607F"/>
    <w:rsid w:val="00A56225"/>
    <w:rsid w:val="00A56231"/>
    <w:rsid w:val="00A56368"/>
    <w:rsid w:val="00A563FA"/>
    <w:rsid w:val="00A56459"/>
    <w:rsid w:val="00A5646A"/>
    <w:rsid w:val="00A5654D"/>
    <w:rsid w:val="00A56576"/>
    <w:rsid w:val="00A566CB"/>
    <w:rsid w:val="00A56923"/>
    <w:rsid w:val="00A569AB"/>
    <w:rsid w:val="00A569FB"/>
    <w:rsid w:val="00A56A01"/>
    <w:rsid w:val="00A56AB7"/>
    <w:rsid w:val="00A56B2A"/>
    <w:rsid w:val="00A56B85"/>
    <w:rsid w:val="00A56B8B"/>
    <w:rsid w:val="00A56B9A"/>
    <w:rsid w:val="00A56D57"/>
    <w:rsid w:val="00A56DE3"/>
    <w:rsid w:val="00A56F08"/>
    <w:rsid w:val="00A56FFE"/>
    <w:rsid w:val="00A570AE"/>
    <w:rsid w:val="00A57145"/>
    <w:rsid w:val="00A57157"/>
    <w:rsid w:val="00A57158"/>
    <w:rsid w:val="00A5716C"/>
    <w:rsid w:val="00A571E6"/>
    <w:rsid w:val="00A5720F"/>
    <w:rsid w:val="00A57249"/>
    <w:rsid w:val="00A573FC"/>
    <w:rsid w:val="00A57596"/>
    <w:rsid w:val="00A575F6"/>
    <w:rsid w:val="00A5776B"/>
    <w:rsid w:val="00A57980"/>
    <w:rsid w:val="00A57B29"/>
    <w:rsid w:val="00A57B4E"/>
    <w:rsid w:val="00A57B76"/>
    <w:rsid w:val="00A57BC2"/>
    <w:rsid w:val="00A57BF4"/>
    <w:rsid w:val="00A57C61"/>
    <w:rsid w:val="00A57C85"/>
    <w:rsid w:val="00A57D1B"/>
    <w:rsid w:val="00A57DF2"/>
    <w:rsid w:val="00A57E7B"/>
    <w:rsid w:val="00A57F56"/>
    <w:rsid w:val="00A60039"/>
    <w:rsid w:val="00A60164"/>
    <w:rsid w:val="00A603CC"/>
    <w:rsid w:val="00A604F3"/>
    <w:rsid w:val="00A6058A"/>
    <w:rsid w:val="00A6062B"/>
    <w:rsid w:val="00A6067B"/>
    <w:rsid w:val="00A606F0"/>
    <w:rsid w:val="00A60752"/>
    <w:rsid w:val="00A60762"/>
    <w:rsid w:val="00A6079C"/>
    <w:rsid w:val="00A607E8"/>
    <w:rsid w:val="00A6085C"/>
    <w:rsid w:val="00A60954"/>
    <w:rsid w:val="00A60A5B"/>
    <w:rsid w:val="00A60A9B"/>
    <w:rsid w:val="00A60BDF"/>
    <w:rsid w:val="00A60C04"/>
    <w:rsid w:val="00A60C27"/>
    <w:rsid w:val="00A60C32"/>
    <w:rsid w:val="00A60C86"/>
    <w:rsid w:val="00A60D17"/>
    <w:rsid w:val="00A60E9C"/>
    <w:rsid w:val="00A60F21"/>
    <w:rsid w:val="00A61112"/>
    <w:rsid w:val="00A611EF"/>
    <w:rsid w:val="00A61217"/>
    <w:rsid w:val="00A61240"/>
    <w:rsid w:val="00A612E4"/>
    <w:rsid w:val="00A613AA"/>
    <w:rsid w:val="00A6149A"/>
    <w:rsid w:val="00A6158D"/>
    <w:rsid w:val="00A615AF"/>
    <w:rsid w:val="00A615CB"/>
    <w:rsid w:val="00A6170F"/>
    <w:rsid w:val="00A61724"/>
    <w:rsid w:val="00A61758"/>
    <w:rsid w:val="00A61791"/>
    <w:rsid w:val="00A61803"/>
    <w:rsid w:val="00A619CD"/>
    <w:rsid w:val="00A61B1B"/>
    <w:rsid w:val="00A61B66"/>
    <w:rsid w:val="00A61B6D"/>
    <w:rsid w:val="00A61C23"/>
    <w:rsid w:val="00A61C67"/>
    <w:rsid w:val="00A61D13"/>
    <w:rsid w:val="00A61F77"/>
    <w:rsid w:val="00A61FC5"/>
    <w:rsid w:val="00A62135"/>
    <w:rsid w:val="00A621BC"/>
    <w:rsid w:val="00A622AA"/>
    <w:rsid w:val="00A622D9"/>
    <w:rsid w:val="00A623CE"/>
    <w:rsid w:val="00A624CC"/>
    <w:rsid w:val="00A62521"/>
    <w:rsid w:val="00A626DB"/>
    <w:rsid w:val="00A6273B"/>
    <w:rsid w:val="00A6275B"/>
    <w:rsid w:val="00A627C9"/>
    <w:rsid w:val="00A62843"/>
    <w:rsid w:val="00A62883"/>
    <w:rsid w:val="00A62976"/>
    <w:rsid w:val="00A62977"/>
    <w:rsid w:val="00A62980"/>
    <w:rsid w:val="00A629C6"/>
    <w:rsid w:val="00A62B3F"/>
    <w:rsid w:val="00A62D32"/>
    <w:rsid w:val="00A62DB1"/>
    <w:rsid w:val="00A62E42"/>
    <w:rsid w:val="00A62E94"/>
    <w:rsid w:val="00A62F09"/>
    <w:rsid w:val="00A63009"/>
    <w:rsid w:val="00A63017"/>
    <w:rsid w:val="00A63049"/>
    <w:rsid w:val="00A6315B"/>
    <w:rsid w:val="00A6317C"/>
    <w:rsid w:val="00A631F4"/>
    <w:rsid w:val="00A63207"/>
    <w:rsid w:val="00A63229"/>
    <w:rsid w:val="00A632FE"/>
    <w:rsid w:val="00A6354F"/>
    <w:rsid w:val="00A636C8"/>
    <w:rsid w:val="00A636CD"/>
    <w:rsid w:val="00A63775"/>
    <w:rsid w:val="00A63BD9"/>
    <w:rsid w:val="00A63C76"/>
    <w:rsid w:val="00A63C98"/>
    <w:rsid w:val="00A63CD4"/>
    <w:rsid w:val="00A63CE3"/>
    <w:rsid w:val="00A63D56"/>
    <w:rsid w:val="00A63DCE"/>
    <w:rsid w:val="00A63E1D"/>
    <w:rsid w:val="00A63E63"/>
    <w:rsid w:val="00A63F4F"/>
    <w:rsid w:val="00A63FDC"/>
    <w:rsid w:val="00A63FDF"/>
    <w:rsid w:val="00A64049"/>
    <w:rsid w:val="00A640D1"/>
    <w:rsid w:val="00A640E5"/>
    <w:rsid w:val="00A64133"/>
    <w:rsid w:val="00A64144"/>
    <w:rsid w:val="00A64156"/>
    <w:rsid w:val="00A641C6"/>
    <w:rsid w:val="00A64210"/>
    <w:rsid w:val="00A6430D"/>
    <w:rsid w:val="00A643AC"/>
    <w:rsid w:val="00A64424"/>
    <w:rsid w:val="00A64480"/>
    <w:rsid w:val="00A6451F"/>
    <w:rsid w:val="00A64549"/>
    <w:rsid w:val="00A6472C"/>
    <w:rsid w:val="00A64791"/>
    <w:rsid w:val="00A64851"/>
    <w:rsid w:val="00A6486B"/>
    <w:rsid w:val="00A648B1"/>
    <w:rsid w:val="00A648B8"/>
    <w:rsid w:val="00A648BD"/>
    <w:rsid w:val="00A648C2"/>
    <w:rsid w:val="00A64A2B"/>
    <w:rsid w:val="00A64A45"/>
    <w:rsid w:val="00A64A71"/>
    <w:rsid w:val="00A64AD2"/>
    <w:rsid w:val="00A64B03"/>
    <w:rsid w:val="00A64B44"/>
    <w:rsid w:val="00A64BF4"/>
    <w:rsid w:val="00A64DBC"/>
    <w:rsid w:val="00A64E58"/>
    <w:rsid w:val="00A64E6F"/>
    <w:rsid w:val="00A64EA2"/>
    <w:rsid w:val="00A64F6C"/>
    <w:rsid w:val="00A65075"/>
    <w:rsid w:val="00A65098"/>
    <w:rsid w:val="00A650D1"/>
    <w:rsid w:val="00A651A4"/>
    <w:rsid w:val="00A651B2"/>
    <w:rsid w:val="00A6521F"/>
    <w:rsid w:val="00A652ED"/>
    <w:rsid w:val="00A6530B"/>
    <w:rsid w:val="00A65353"/>
    <w:rsid w:val="00A6537B"/>
    <w:rsid w:val="00A65382"/>
    <w:rsid w:val="00A653DE"/>
    <w:rsid w:val="00A653FD"/>
    <w:rsid w:val="00A65492"/>
    <w:rsid w:val="00A654BD"/>
    <w:rsid w:val="00A654F2"/>
    <w:rsid w:val="00A6552E"/>
    <w:rsid w:val="00A65585"/>
    <w:rsid w:val="00A65598"/>
    <w:rsid w:val="00A656C6"/>
    <w:rsid w:val="00A657BD"/>
    <w:rsid w:val="00A657EE"/>
    <w:rsid w:val="00A65825"/>
    <w:rsid w:val="00A658BE"/>
    <w:rsid w:val="00A658D7"/>
    <w:rsid w:val="00A65A08"/>
    <w:rsid w:val="00A65AD2"/>
    <w:rsid w:val="00A65B56"/>
    <w:rsid w:val="00A65B71"/>
    <w:rsid w:val="00A65D06"/>
    <w:rsid w:val="00A65DD9"/>
    <w:rsid w:val="00A65E12"/>
    <w:rsid w:val="00A65F5C"/>
    <w:rsid w:val="00A66003"/>
    <w:rsid w:val="00A66014"/>
    <w:rsid w:val="00A66156"/>
    <w:rsid w:val="00A66191"/>
    <w:rsid w:val="00A66236"/>
    <w:rsid w:val="00A6626B"/>
    <w:rsid w:val="00A662CE"/>
    <w:rsid w:val="00A662D6"/>
    <w:rsid w:val="00A662E0"/>
    <w:rsid w:val="00A66323"/>
    <w:rsid w:val="00A66327"/>
    <w:rsid w:val="00A663F3"/>
    <w:rsid w:val="00A66476"/>
    <w:rsid w:val="00A6656F"/>
    <w:rsid w:val="00A665F3"/>
    <w:rsid w:val="00A6668F"/>
    <w:rsid w:val="00A666AD"/>
    <w:rsid w:val="00A666E6"/>
    <w:rsid w:val="00A666E7"/>
    <w:rsid w:val="00A66781"/>
    <w:rsid w:val="00A668B2"/>
    <w:rsid w:val="00A66B3D"/>
    <w:rsid w:val="00A66B93"/>
    <w:rsid w:val="00A66BA7"/>
    <w:rsid w:val="00A66BD2"/>
    <w:rsid w:val="00A66BD3"/>
    <w:rsid w:val="00A66BE5"/>
    <w:rsid w:val="00A66C49"/>
    <w:rsid w:val="00A66CCB"/>
    <w:rsid w:val="00A66D0F"/>
    <w:rsid w:val="00A66D2C"/>
    <w:rsid w:val="00A66DAB"/>
    <w:rsid w:val="00A66E0C"/>
    <w:rsid w:val="00A66E36"/>
    <w:rsid w:val="00A66E66"/>
    <w:rsid w:val="00A66EF1"/>
    <w:rsid w:val="00A66F35"/>
    <w:rsid w:val="00A66F68"/>
    <w:rsid w:val="00A66F6C"/>
    <w:rsid w:val="00A66F89"/>
    <w:rsid w:val="00A66F8C"/>
    <w:rsid w:val="00A66F9A"/>
    <w:rsid w:val="00A6701F"/>
    <w:rsid w:val="00A6705D"/>
    <w:rsid w:val="00A6716C"/>
    <w:rsid w:val="00A67177"/>
    <w:rsid w:val="00A671B0"/>
    <w:rsid w:val="00A67214"/>
    <w:rsid w:val="00A67300"/>
    <w:rsid w:val="00A67333"/>
    <w:rsid w:val="00A6737C"/>
    <w:rsid w:val="00A673A2"/>
    <w:rsid w:val="00A673D9"/>
    <w:rsid w:val="00A6754A"/>
    <w:rsid w:val="00A67561"/>
    <w:rsid w:val="00A675C8"/>
    <w:rsid w:val="00A67679"/>
    <w:rsid w:val="00A6768B"/>
    <w:rsid w:val="00A676C7"/>
    <w:rsid w:val="00A67771"/>
    <w:rsid w:val="00A67774"/>
    <w:rsid w:val="00A677D4"/>
    <w:rsid w:val="00A678C5"/>
    <w:rsid w:val="00A67908"/>
    <w:rsid w:val="00A67958"/>
    <w:rsid w:val="00A679A4"/>
    <w:rsid w:val="00A679EF"/>
    <w:rsid w:val="00A67A59"/>
    <w:rsid w:val="00A67B3F"/>
    <w:rsid w:val="00A67B84"/>
    <w:rsid w:val="00A67C68"/>
    <w:rsid w:val="00A67C9A"/>
    <w:rsid w:val="00A67F11"/>
    <w:rsid w:val="00A67F4A"/>
    <w:rsid w:val="00A67FC2"/>
    <w:rsid w:val="00A67FDE"/>
    <w:rsid w:val="00A7009B"/>
    <w:rsid w:val="00A70158"/>
    <w:rsid w:val="00A7015D"/>
    <w:rsid w:val="00A7016F"/>
    <w:rsid w:val="00A70285"/>
    <w:rsid w:val="00A70298"/>
    <w:rsid w:val="00A702C8"/>
    <w:rsid w:val="00A702E0"/>
    <w:rsid w:val="00A703C8"/>
    <w:rsid w:val="00A704F0"/>
    <w:rsid w:val="00A70513"/>
    <w:rsid w:val="00A7061C"/>
    <w:rsid w:val="00A70688"/>
    <w:rsid w:val="00A7068E"/>
    <w:rsid w:val="00A7077A"/>
    <w:rsid w:val="00A707A0"/>
    <w:rsid w:val="00A707E9"/>
    <w:rsid w:val="00A7081B"/>
    <w:rsid w:val="00A7091A"/>
    <w:rsid w:val="00A709B5"/>
    <w:rsid w:val="00A70A77"/>
    <w:rsid w:val="00A70A9C"/>
    <w:rsid w:val="00A70C90"/>
    <w:rsid w:val="00A70CF2"/>
    <w:rsid w:val="00A70D26"/>
    <w:rsid w:val="00A70E56"/>
    <w:rsid w:val="00A70EF7"/>
    <w:rsid w:val="00A70F34"/>
    <w:rsid w:val="00A71016"/>
    <w:rsid w:val="00A710DA"/>
    <w:rsid w:val="00A71213"/>
    <w:rsid w:val="00A712B3"/>
    <w:rsid w:val="00A712BE"/>
    <w:rsid w:val="00A712DD"/>
    <w:rsid w:val="00A7140F"/>
    <w:rsid w:val="00A7159A"/>
    <w:rsid w:val="00A71685"/>
    <w:rsid w:val="00A71713"/>
    <w:rsid w:val="00A71723"/>
    <w:rsid w:val="00A71749"/>
    <w:rsid w:val="00A7175A"/>
    <w:rsid w:val="00A7178F"/>
    <w:rsid w:val="00A71831"/>
    <w:rsid w:val="00A71A35"/>
    <w:rsid w:val="00A71A3D"/>
    <w:rsid w:val="00A71AE5"/>
    <w:rsid w:val="00A71C37"/>
    <w:rsid w:val="00A71CA8"/>
    <w:rsid w:val="00A72055"/>
    <w:rsid w:val="00A722C6"/>
    <w:rsid w:val="00A722DE"/>
    <w:rsid w:val="00A72459"/>
    <w:rsid w:val="00A724AE"/>
    <w:rsid w:val="00A724E6"/>
    <w:rsid w:val="00A72510"/>
    <w:rsid w:val="00A7252F"/>
    <w:rsid w:val="00A725CC"/>
    <w:rsid w:val="00A726AE"/>
    <w:rsid w:val="00A727F2"/>
    <w:rsid w:val="00A72960"/>
    <w:rsid w:val="00A729B5"/>
    <w:rsid w:val="00A729F4"/>
    <w:rsid w:val="00A72A17"/>
    <w:rsid w:val="00A72AE3"/>
    <w:rsid w:val="00A72BCA"/>
    <w:rsid w:val="00A72C2C"/>
    <w:rsid w:val="00A72C3D"/>
    <w:rsid w:val="00A72CFF"/>
    <w:rsid w:val="00A72D0E"/>
    <w:rsid w:val="00A72D8F"/>
    <w:rsid w:val="00A72FEA"/>
    <w:rsid w:val="00A73052"/>
    <w:rsid w:val="00A730EE"/>
    <w:rsid w:val="00A732EB"/>
    <w:rsid w:val="00A7335D"/>
    <w:rsid w:val="00A73374"/>
    <w:rsid w:val="00A73395"/>
    <w:rsid w:val="00A73396"/>
    <w:rsid w:val="00A7343E"/>
    <w:rsid w:val="00A73474"/>
    <w:rsid w:val="00A73475"/>
    <w:rsid w:val="00A734F4"/>
    <w:rsid w:val="00A7350C"/>
    <w:rsid w:val="00A735AB"/>
    <w:rsid w:val="00A73660"/>
    <w:rsid w:val="00A736A4"/>
    <w:rsid w:val="00A736E9"/>
    <w:rsid w:val="00A737B0"/>
    <w:rsid w:val="00A73A56"/>
    <w:rsid w:val="00A73A71"/>
    <w:rsid w:val="00A73AF5"/>
    <w:rsid w:val="00A73B48"/>
    <w:rsid w:val="00A73BD1"/>
    <w:rsid w:val="00A73D78"/>
    <w:rsid w:val="00A73DA4"/>
    <w:rsid w:val="00A73ECA"/>
    <w:rsid w:val="00A73FA1"/>
    <w:rsid w:val="00A7406E"/>
    <w:rsid w:val="00A740F4"/>
    <w:rsid w:val="00A7422D"/>
    <w:rsid w:val="00A7429D"/>
    <w:rsid w:val="00A742DA"/>
    <w:rsid w:val="00A74486"/>
    <w:rsid w:val="00A74528"/>
    <w:rsid w:val="00A7457B"/>
    <w:rsid w:val="00A745C0"/>
    <w:rsid w:val="00A745D0"/>
    <w:rsid w:val="00A745F2"/>
    <w:rsid w:val="00A74758"/>
    <w:rsid w:val="00A7476D"/>
    <w:rsid w:val="00A74801"/>
    <w:rsid w:val="00A74867"/>
    <w:rsid w:val="00A748F4"/>
    <w:rsid w:val="00A7496C"/>
    <w:rsid w:val="00A74A15"/>
    <w:rsid w:val="00A74AB8"/>
    <w:rsid w:val="00A74B48"/>
    <w:rsid w:val="00A74BB1"/>
    <w:rsid w:val="00A74BDC"/>
    <w:rsid w:val="00A74C0A"/>
    <w:rsid w:val="00A74CBC"/>
    <w:rsid w:val="00A74D0C"/>
    <w:rsid w:val="00A74DED"/>
    <w:rsid w:val="00A74E86"/>
    <w:rsid w:val="00A74E8C"/>
    <w:rsid w:val="00A74EE2"/>
    <w:rsid w:val="00A750AB"/>
    <w:rsid w:val="00A750AC"/>
    <w:rsid w:val="00A7519B"/>
    <w:rsid w:val="00A751A5"/>
    <w:rsid w:val="00A751ED"/>
    <w:rsid w:val="00A753F5"/>
    <w:rsid w:val="00A7548A"/>
    <w:rsid w:val="00A754AF"/>
    <w:rsid w:val="00A754B0"/>
    <w:rsid w:val="00A754BA"/>
    <w:rsid w:val="00A754BF"/>
    <w:rsid w:val="00A754E3"/>
    <w:rsid w:val="00A754EB"/>
    <w:rsid w:val="00A7550C"/>
    <w:rsid w:val="00A75614"/>
    <w:rsid w:val="00A75713"/>
    <w:rsid w:val="00A7582F"/>
    <w:rsid w:val="00A758F2"/>
    <w:rsid w:val="00A7596E"/>
    <w:rsid w:val="00A75971"/>
    <w:rsid w:val="00A75AC5"/>
    <w:rsid w:val="00A75AF6"/>
    <w:rsid w:val="00A75B37"/>
    <w:rsid w:val="00A75B6E"/>
    <w:rsid w:val="00A75BDA"/>
    <w:rsid w:val="00A75C38"/>
    <w:rsid w:val="00A75CDF"/>
    <w:rsid w:val="00A75D27"/>
    <w:rsid w:val="00A75E86"/>
    <w:rsid w:val="00A7610E"/>
    <w:rsid w:val="00A762D2"/>
    <w:rsid w:val="00A76435"/>
    <w:rsid w:val="00A76471"/>
    <w:rsid w:val="00A767A0"/>
    <w:rsid w:val="00A768A9"/>
    <w:rsid w:val="00A76B87"/>
    <w:rsid w:val="00A76BC3"/>
    <w:rsid w:val="00A76BEA"/>
    <w:rsid w:val="00A76D93"/>
    <w:rsid w:val="00A76DDA"/>
    <w:rsid w:val="00A76DE4"/>
    <w:rsid w:val="00A76DEF"/>
    <w:rsid w:val="00A76DF1"/>
    <w:rsid w:val="00A76DF6"/>
    <w:rsid w:val="00A76E0D"/>
    <w:rsid w:val="00A76E53"/>
    <w:rsid w:val="00A76E76"/>
    <w:rsid w:val="00A76E99"/>
    <w:rsid w:val="00A76F0A"/>
    <w:rsid w:val="00A76F1F"/>
    <w:rsid w:val="00A771F6"/>
    <w:rsid w:val="00A77386"/>
    <w:rsid w:val="00A77477"/>
    <w:rsid w:val="00A77502"/>
    <w:rsid w:val="00A77527"/>
    <w:rsid w:val="00A7752C"/>
    <w:rsid w:val="00A77558"/>
    <w:rsid w:val="00A7761E"/>
    <w:rsid w:val="00A77752"/>
    <w:rsid w:val="00A7779E"/>
    <w:rsid w:val="00A777F5"/>
    <w:rsid w:val="00A77805"/>
    <w:rsid w:val="00A77843"/>
    <w:rsid w:val="00A7786B"/>
    <w:rsid w:val="00A77897"/>
    <w:rsid w:val="00A778C0"/>
    <w:rsid w:val="00A7792F"/>
    <w:rsid w:val="00A77946"/>
    <w:rsid w:val="00A7798A"/>
    <w:rsid w:val="00A77A59"/>
    <w:rsid w:val="00A77A81"/>
    <w:rsid w:val="00A77ACC"/>
    <w:rsid w:val="00A77BFE"/>
    <w:rsid w:val="00A77C0D"/>
    <w:rsid w:val="00A77C38"/>
    <w:rsid w:val="00A77C9B"/>
    <w:rsid w:val="00A77D92"/>
    <w:rsid w:val="00A77EB8"/>
    <w:rsid w:val="00A77ED7"/>
    <w:rsid w:val="00A77EDA"/>
    <w:rsid w:val="00A80056"/>
    <w:rsid w:val="00A800BD"/>
    <w:rsid w:val="00A80112"/>
    <w:rsid w:val="00A801D8"/>
    <w:rsid w:val="00A8025C"/>
    <w:rsid w:val="00A80290"/>
    <w:rsid w:val="00A80343"/>
    <w:rsid w:val="00A803E5"/>
    <w:rsid w:val="00A804BF"/>
    <w:rsid w:val="00A804FC"/>
    <w:rsid w:val="00A8052B"/>
    <w:rsid w:val="00A80561"/>
    <w:rsid w:val="00A805F4"/>
    <w:rsid w:val="00A8069F"/>
    <w:rsid w:val="00A80715"/>
    <w:rsid w:val="00A808F3"/>
    <w:rsid w:val="00A80A19"/>
    <w:rsid w:val="00A80A89"/>
    <w:rsid w:val="00A80AC1"/>
    <w:rsid w:val="00A80AD8"/>
    <w:rsid w:val="00A80B5A"/>
    <w:rsid w:val="00A80BA9"/>
    <w:rsid w:val="00A80BE5"/>
    <w:rsid w:val="00A80BED"/>
    <w:rsid w:val="00A80C9B"/>
    <w:rsid w:val="00A80D67"/>
    <w:rsid w:val="00A80DEE"/>
    <w:rsid w:val="00A80E4D"/>
    <w:rsid w:val="00A80E97"/>
    <w:rsid w:val="00A80ED5"/>
    <w:rsid w:val="00A80FDA"/>
    <w:rsid w:val="00A81040"/>
    <w:rsid w:val="00A8104D"/>
    <w:rsid w:val="00A81071"/>
    <w:rsid w:val="00A8115D"/>
    <w:rsid w:val="00A8122B"/>
    <w:rsid w:val="00A81364"/>
    <w:rsid w:val="00A81385"/>
    <w:rsid w:val="00A81446"/>
    <w:rsid w:val="00A814A5"/>
    <w:rsid w:val="00A814C3"/>
    <w:rsid w:val="00A81562"/>
    <w:rsid w:val="00A8159F"/>
    <w:rsid w:val="00A81607"/>
    <w:rsid w:val="00A81708"/>
    <w:rsid w:val="00A8170F"/>
    <w:rsid w:val="00A81758"/>
    <w:rsid w:val="00A81883"/>
    <w:rsid w:val="00A81911"/>
    <w:rsid w:val="00A81950"/>
    <w:rsid w:val="00A819C9"/>
    <w:rsid w:val="00A81A24"/>
    <w:rsid w:val="00A81A29"/>
    <w:rsid w:val="00A81AA6"/>
    <w:rsid w:val="00A81AFC"/>
    <w:rsid w:val="00A81B25"/>
    <w:rsid w:val="00A81BF4"/>
    <w:rsid w:val="00A81C16"/>
    <w:rsid w:val="00A81F2E"/>
    <w:rsid w:val="00A81F3F"/>
    <w:rsid w:val="00A81F70"/>
    <w:rsid w:val="00A81F7F"/>
    <w:rsid w:val="00A81F85"/>
    <w:rsid w:val="00A81FE8"/>
    <w:rsid w:val="00A8201A"/>
    <w:rsid w:val="00A82041"/>
    <w:rsid w:val="00A824E4"/>
    <w:rsid w:val="00A8251D"/>
    <w:rsid w:val="00A825B0"/>
    <w:rsid w:val="00A825D9"/>
    <w:rsid w:val="00A826F4"/>
    <w:rsid w:val="00A82718"/>
    <w:rsid w:val="00A8280C"/>
    <w:rsid w:val="00A82813"/>
    <w:rsid w:val="00A82851"/>
    <w:rsid w:val="00A82898"/>
    <w:rsid w:val="00A828E4"/>
    <w:rsid w:val="00A829AF"/>
    <w:rsid w:val="00A82A62"/>
    <w:rsid w:val="00A82AC3"/>
    <w:rsid w:val="00A82D30"/>
    <w:rsid w:val="00A82DCF"/>
    <w:rsid w:val="00A82DDB"/>
    <w:rsid w:val="00A82F06"/>
    <w:rsid w:val="00A82F7C"/>
    <w:rsid w:val="00A82FA6"/>
    <w:rsid w:val="00A83049"/>
    <w:rsid w:val="00A830B3"/>
    <w:rsid w:val="00A83150"/>
    <w:rsid w:val="00A8328E"/>
    <w:rsid w:val="00A832FF"/>
    <w:rsid w:val="00A8347C"/>
    <w:rsid w:val="00A834A6"/>
    <w:rsid w:val="00A834B0"/>
    <w:rsid w:val="00A83530"/>
    <w:rsid w:val="00A8353C"/>
    <w:rsid w:val="00A83609"/>
    <w:rsid w:val="00A8361E"/>
    <w:rsid w:val="00A8374C"/>
    <w:rsid w:val="00A83772"/>
    <w:rsid w:val="00A83777"/>
    <w:rsid w:val="00A837BF"/>
    <w:rsid w:val="00A837D6"/>
    <w:rsid w:val="00A837FA"/>
    <w:rsid w:val="00A83817"/>
    <w:rsid w:val="00A83854"/>
    <w:rsid w:val="00A8389E"/>
    <w:rsid w:val="00A838C4"/>
    <w:rsid w:val="00A83905"/>
    <w:rsid w:val="00A83910"/>
    <w:rsid w:val="00A83A46"/>
    <w:rsid w:val="00A83AB4"/>
    <w:rsid w:val="00A83BA6"/>
    <w:rsid w:val="00A83BB9"/>
    <w:rsid w:val="00A83C4B"/>
    <w:rsid w:val="00A83CAD"/>
    <w:rsid w:val="00A83DDD"/>
    <w:rsid w:val="00A83E6B"/>
    <w:rsid w:val="00A83FD8"/>
    <w:rsid w:val="00A83FEE"/>
    <w:rsid w:val="00A840FE"/>
    <w:rsid w:val="00A84101"/>
    <w:rsid w:val="00A8418E"/>
    <w:rsid w:val="00A84190"/>
    <w:rsid w:val="00A842B5"/>
    <w:rsid w:val="00A843DD"/>
    <w:rsid w:val="00A844E0"/>
    <w:rsid w:val="00A844E5"/>
    <w:rsid w:val="00A84511"/>
    <w:rsid w:val="00A84524"/>
    <w:rsid w:val="00A8454A"/>
    <w:rsid w:val="00A8457B"/>
    <w:rsid w:val="00A845A8"/>
    <w:rsid w:val="00A84635"/>
    <w:rsid w:val="00A84647"/>
    <w:rsid w:val="00A846AC"/>
    <w:rsid w:val="00A846D8"/>
    <w:rsid w:val="00A84755"/>
    <w:rsid w:val="00A84844"/>
    <w:rsid w:val="00A84860"/>
    <w:rsid w:val="00A848C6"/>
    <w:rsid w:val="00A8496E"/>
    <w:rsid w:val="00A849BB"/>
    <w:rsid w:val="00A849BD"/>
    <w:rsid w:val="00A84ACA"/>
    <w:rsid w:val="00A84ADF"/>
    <w:rsid w:val="00A84B0D"/>
    <w:rsid w:val="00A84B79"/>
    <w:rsid w:val="00A84CB0"/>
    <w:rsid w:val="00A84CCF"/>
    <w:rsid w:val="00A84D34"/>
    <w:rsid w:val="00A84DA6"/>
    <w:rsid w:val="00A84FD9"/>
    <w:rsid w:val="00A850CE"/>
    <w:rsid w:val="00A850CF"/>
    <w:rsid w:val="00A852C4"/>
    <w:rsid w:val="00A8534D"/>
    <w:rsid w:val="00A853FB"/>
    <w:rsid w:val="00A854D1"/>
    <w:rsid w:val="00A85503"/>
    <w:rsid w:val="00A85562"/>
    <w:rsid w:val="00A855FD"/>
    <w:rsid w:val="00A856BF"/>
    <w:rsid w:val="00A856E9"/>
    <w:rsid w:val="00A856F8"/>
    <w:rsid w:val="00A857A7"/>
    <w:rsid w:val="00A8594D"/>
    <w:rsid w:val="00A859B0"/>
    <w:rsid w:val="00A85A5C"/>
    <w:rsid w:val="00A85ACB"/>
    <w:rsid w:val="00A85B34"/>
    <w:rsid w:val="00A85BFB"/>
    <w:rsid w:val="00A85C49"/>
    <w:rsid w:val="00A85CD9"/>
    <w:rsid w:val="00A85D04"/>
    <w:rsid w:val="00A85ECF"/>
    <w:rsid w:val="00A85F69"/>
    <w:rsid w:val="00A86040"/>
    <w:rsid w:val="00A86053"/>
    <w:rsid w:val="00A86076"/>
    <w:rsid w:val="00A8608A"/>
    <w:rsid w:val="00A86100"/>
    <w:rsid w:val="00A861A0"/>
    <w:rsid w:val="00A861A7"/>
    <w:rsid w:val="00A861CF"/>
    <w:rsid w:val="00A861EF"/>
    <w:rsid w:val="00A8622F"/>
    <w:rsid w:val="00A8630E"/>
    <w:rsid w:val="00A86453"/>
    <w:rsid w:val="00A8646B"/>
    <w:rsid w:val="00A86473"/>
    <w:rsid w:val="00A864A1"/>
    <w:rsid w:val="00A864C8"/>
    <w:rsid w:val="00A86513"/>
    <w:rsid w:val="00A865AC"/>
    <w:rsid w:val="00A8661D"/>
    <w:rsid w:val="00A868E7"/>
    <w:rsid w:val="00A86953"/>
    <w:rsid w:val="00A8699F"/>
    <w:rsid w:val="00A869A1"/>
    <w:rsid w:val="00A86A2E"/>
    <w:rsid w:val="00A86B2B"/>
    <w:rsid w:val="00A86BF5"/>
    <w:rsid w:val="00A86C4C"/>
    <w:rsid w:val="00A86D3A"/>
    <w:rsid w:val="00A86DA2"/>
    <w:rsid w:val="00A86DA3"/>
    <w:rsid w:val="00A86E96"/>
    <w:rsid w:val="00A86FCB"/>
    <w:rsid w:val="00A87003"/>
    <w:rsid w:val="00A87060"/>
    <w:rsid w:val="00A870AB"/>
    <w:rsid w:val="00A8710B"/>
    <w:rsid w:val="00A874C2"/>
    <w:rsid w:val="00A874F7"/>
    <w:rsid w:val="00A8762A"/>
    <w:rsid w:val="00A876D6"/>
    <w:rsid w:val="00A87878"/>
    <w:rsid w:val="00A87921"/>
    <w:rsid w:val="00A87937"/>
    <w:rsid w:val="00A87946"/>
    <w:rsid w:val="00A8796B"/>
    <w:rsid w:val="00A879F4"/>
    <w:rsid w:val="00A87ADE"/>
    <w:rsid w:val="00A87BB1"/>
    <w:rsid w:val="00A87BB5"/>
    <w:rsid w:val="00A87D04"/>
    <w:rsid w:val="00A87D4A"/>
    <w:rsid w:val="00A87DC2"/>
    <w:rsid w:val="00A87DFA"/>
    <w:rsid w:val="00A87E91"/>
    <w:rsid w:val="00A87EAC"/>
    <w:rsid w:val="00A87FE2"/>
    <w:rsid w:val="00A87FE5"/>
    <w:rsid w:val="00A87FE9"/>
    <w:rsid w:val="00A9002A"/>
    <w:rsid w:val="00A90031"/>
    <w:rsid w:val="00A90166"/>
    <w:rsid w:val="00A901E0"/>
    <w:rsid w:val="00A901EE"/>
    <w:rsid w:val="00A90378"/>
    <w:rsid w:val="00A905A0"/>
    <w:rsid w:val="00A90640"/>
    <w:rsid w:val="00A90659"/>
    <w:rsid w:val="00A90748"/>
    <w:rsid w:val="00A907E1"/>
    <w:rsid w:val="00A907E7"/>
    <w:rsid w:val="00A90859"/>
    <w:rsid w:val="00A90866"/>
    <w:rsid w:val="00A908E3"/>
    <w:rsid w:val="00A90952"/>
    <w:rsid w:val="00A909CF"/>
    <w:rsid w:val="00A90A01"/>
    <w:rsid w:val="00A90A83"/>
    <w:rsid w:val="00A90AA7"/>
    <w:rsid w:val="00A90B80"/>
    <w:rsid w:val="00A90B90"/>
    <w:rsid w:val="00A90BF7"/>
    <w:rsid w:val="00A90C33"/>
    <w:rsid w:val="00A90C9D"/>
    <w:rsid w:val="00A90DC3"/>
    <w:rsid w:val="00A90E1A"/>
    <w:rsid w:val="00A90E41"/>
    <w:rsid w:val="00A90E5C"/>
    <w:rsid w:val="00A90EA5"/>
    <w:rsid w:val="00A90EB6"/>
    <w:rsid w:val="00A90F14"/>
    <w:rsid w:val="00A90F31"/>
    <w:rsid w:val="00A9100B"/>
    <w:rsid w:val="00A910F3"/>
    <w:rsid w:val="00A91169"/>
    <w:rsid w:val="00A9120A"/>
    <w:rsid w:val="00A91250"/>
    <w:rsid w:val="00A91273"/>
    <w:rsid w:val="00A912CA"/>
    <w:rsid w:val="00A9132A"/>
    <w:rsid w:val="00A91384"/>
    <w:rsid w:val="00A9140B"/>
    <w:rsid w:val="00A91416"/>
    <w:rsid w:val="00A91457"/>
    <w:rsid w:val="00A91469"/>
    <w:rsid w:val="00A91552"/>
    <w:rsid w:val="00A91574"/>
    <w:rsid w:val="00A91585"/>
    <w:rsid w:val="00A91599"/>
    <w:rsid w:val="00A916D7"/>
    <w:rsid w:val="00A916F1"/>
    <w:rsid w:val="00A916F8"/>
    <w:rsid w:val="00A91723"/>
    <w:rsid w:val="00A91847"/>
    <w:rsid w:val="00A91892"/>
    <w:rsid w:val="00A9192B"/>
    <w:rsid w:val="00A91988"/>
    <w:rsid w:val="00A919AF"/>
    <w:rsid w:val="00A919F3"/>
    <w:rsid w:val="00A91A40"/>
    <w:rsid w:val="00A91A63"/>
    <w:rsid w:val="00A91B3B"/>
    <w:rsid w:val="00A91BDB"/>
    <w:rsid w:val="00A91BE9"/>
    <w:rsid w:val="00A91C95"/>
    <w:rsid w:val="00A91CF8"/>
    <w:rsid w:val="00A91E45"/>
    <w:rsid w:val="00A91E8A"/>
    <w:rsid w:val="00A91EE7"/>
    <w:rsid w:val="00A91F09"/>
    <w:rsid w:val="00A91F3B"/>
    <w:rsid w:val="00A91F56"/>
    <w:rsid w:val="00A91F8E"/>
    <w:rsid w:val="00A9200C"/>
    <w:rsid w:val="00A9204B"/>
    <w:rsid w:val="00A920FA"/>
    <w:rsid w:val="00A921A6"/>
    <w:rsid w:val="00A921B5"/>
    <w:rsid w:val="00A92219"/>
    <w:rsid w:val="00A922BB"/>
    <w:rsid w:val="00A9230C"/>
    <w:rsid w:val="00A9256F"/>
    <w:rsid w:val="00A926E5"/>
    <w:rsid w:val="00A926FE"/>
    <w:rsid w:val="00A927AC"/>
    <w:rsid w:val="00A927CB"/>
    <w:rsid w:val="00A92915"/>
    <w:rsid w:val="00A92991"/>
    <w:rsid w:val="00A92A27"/>
    <w:rsid w:val="00A92AB1"/>
    <w:rsid w:val="00A92BBC"/>
    <w:rsid w:val="00A92C19"/>
    <w:rsid w:val="00A92C57"/>
    <w:rsid w:val="00A92D03"/>
    <w:rsid w:val="00A92D8A"/>
    <w:rsid w:val="00A92DA3"/>
    <w:rsid w:val="00A92DFE"/>
    <w:rsid w:val="00A92E3A"/>
    <w:rsid w:val="00A92E3D"/>
    <w:rsid w:val="00A92EFB"/>
    <w:rsid w:val="00A92F6D"/>
    <w:rsid w:val="00A93063"/>
    <w:rsid w:val="00A930FB"/>
    <w:rsid w:val="00A9313F"/>
    <w:rsid w:val="00A9320E"/>
    <w:rsid w:val="00A93240"/>
    <w:rsid w:val="00A932D0"/>
    <w:rsid w:val="00A933C5"/>
    <w:rsid w:val="00A93401"/>
    <w:rsid w:val="00A93479"/>
    <w:rsid w:val="00A935DC"/>
    <w:rsid w:val="00A935EB"/>
    <w:rsid w:val="00A9364D"/>
    <w:rsid w:val="00A93674"/>
    <w:rsid w:val="00A93722"/>
    <w:rsid w:val="00A93778"/>
    <w:rsid w:val="00A9390C"/>
    <w:rsid w:val="00A93915"/>
    <w:rsid w:val="00A939C1"/>
    <w:rsid w:val="00A93BF4"/>
    <w:rsid w:val="00A93C0C"/>
    <w:rsid w:val="00A93CAC"/>
    <w:rsid w:val="00A93E2A"/>
    <w:rsid w:val="00A93E51"/>
    <w:rsid w:val="00A93EE0"/>
    <w:rsid w:val="00A93EF4"/>
    <w:rsid w:val="00A93F04"/>
    <w:rsid w:val="00A93FA2"/>
    <w:rsid w:val="00A94028"/>
    <w:rsid w:val="00A94202"/>
    <w:rsid w:val="00A943DB"/>
    <w:rsid w:val="00A943E9"/>
    <w:rsid w:val="00A94442"/>
    <w:rsid w:val="00A945A7"/>
    <w:rsid w:val="00A945CA"/>
    <w:rsid w:val="00A94648"/>
    <w:rsid w:val="00A94676"/>
    <w:rsid w:val="00A9467B"/>
    <w:rsid w:val="00A946A2"/>
    <w:rsid w:val="00A9477B"/>
    <w:rsid w:val="00A94A55"/>
    <w:rsid w:val="00A94B53"/>
    <w:rsid w:val="00A94CE5"/>
    <w:rsid w:val="00A94CEB"/>
    <w:rsid w:val="00A94D19"/>
    <w:rsid w:val="00A94DD2"/>
    <w:rsid w:val="00A94DE8"/>
    <w:rsid w:val="00A94E7F"/>
    <w:rsid w:val="00A94EE6"/>
    <w:rsid w:val="00A94FAF"/>
    <w:rsid w:val="00A94FE5"/>
    <w:rsid w:val="00A94FE9"/>
    <w:rsid w:val="00A95059"/>
    <w:rsid w:val="00A95142"/>
    <w:rsid w:val="00A9516F"/>
    <w:rsid w:val="00A95222"/>
    <w:rsid w:val="00A95266"/>
    <w:rsid w:val="00A955B2"/>
    <w:rsid w:val="00A955E6"/>
    <w:rsid w:val="00A95754"/>
    <w:rsid w:val="00A95848"/>
    <w:rsid w:val="00A95987"/>
    <w:rsid w:val="00A959D6"/>
    <w:rsid w:val="00A95A09"/>
    <w:rsid w:val="00A95A2A"/>
    <w:rsid w:val="00A95A39"/>
    <w:rsid w:val="00A95A4A"/>
    <w:rsid w:val="00A95B12"/>
    <w:rsid w:val="00A95B15"/>
    <w:rsid w:val="00A95C81"/>
    <w:rsid w:val="00A95D60"/>
    <w:rsid w:val="00A95DD9"/>
    <w:rsid w:val="00A95EDE"/>
    <w:rsid w:val="00A95EE2"/>
    <w:rsid w:val="00A95FBD"/>
    <w:rsid w:val="00A9606D"/>
    <w:rsid w:val="00A9619D"/>
    <w:rsid w:val="00A96216"/>
    <w:rsid w:val="00A962AB"/>
    <w:rsid w:val="00A962E1"/>
    <w:rsid w:val="00A96308"/>
    <w:rsid w:val="00A96398"/>
    <w:rsid w:val="00A9639C"/>
    <w:rsid w:val="00A96485"/>
    <w:rsid w:val="00A9653A"/>
    <w:rsid w:val="00A9653F"/>
    <w:rsid w:val="00A9662D"/>
    <w:rsid w:val="00A966AE"/>
    <w:rsid w:val="00A9679E"/>
    <w:rsid w:val="00A96886"/>
    <w:rsid w:val="00A968B7"/>
    <w:rsid w:val="00A96AC9"/>
    <w:rsid w:val="00A96C54"/>
    <w:rsid w:val="00A96E32"/>
    <w:rsid w:val="00A96E4E"/>
    <w:rsid w:val="00A96E5F"/>
    <w:rsid w:val="00A96EE1"/>
    <w:rsid w:val="00A96F4C"/>
    <w:rsid w:val="00A96F84"/>
    <w:rsid w:val="00A9709B"/>
    <w:rsid w:val="00A970A0"/>
    <w:rsid w:val="00A97188"/>
    <w:rsid w:val="00A97302"/>
    <w:rsid w:val="00A973FE"/>
    <w:rsid w:val="00A9742B"/>
    <w:rsid w:val="00A9757A"/>
    <w:rsid w:val="00A9760A"/>
    <w:rsid w:val="00A976D7"/>
    <w:rsid w:val="00A9773E"/>
    <w:rsid w:val="00A97755"/>
    <w:rsid w:val="00A977E2"/>
    <w:rsid w:val="00A97800"/>
    <w:rsid w:val="00A97806"/>
    <w:rsid w:val="00A978A2"/>
    <w:rsid w:val="00A97A9D"/>
    <w:rsid w:val="00A97A9F"/>
    <w:rsid w:val="00A97B88"/>
    <w:rsid w:val="00A97BA0"/>
    <w:rsid w:val="00A97BC9"/>
    <w:rsid w:val="00A97C6C"/>
    <w:rsid w:val="00A97D7F"/>
    <w:rsid w:val="00A97DF1"/>
    <w:rsid w:val="00A97E21"/>
    <w:rsid w:val="00A97E78"/>
    <w:rsid w:val="00A97E79"/>
    <w:rsid w:val="00A97F26"/>
    <w:rsid w:val="00A97F76"/>
    <w:rsid w:val="00A97FC7"/>
    <w:rsid w:val="00AA0145"/>
    <w:rsid w:val="00AA018C"/>
    <w:rsid w:val="00AA01AD"/>
    <w:rsid w:val="00AA0361"/>
    <w:rsid w:val="00AA0488"/>
    <w:rsid w:val="00AA0504"/>
    <w:rsid w:val="00AA0515"/>
    <w:rsid w:val="00AA059A"/>
    <w:rsid w:val="00AA05E9"/>
    <w:rsid w:val="00AA0628"/>
    <w:rsid w:val="00AA0739"/>
    <w:rsid w:val="00AA0773"/>
    <w:rsid w:val="00AA0859"/>
    <w:rsid w:val="00AA089E"/>
    <w:rsid w:val="00AA08D8"/>
    <w:rsid w:val="00AA0974"/>
    <w:rsid w:val="00AA09E9"/>
    <w:rsid w:val="00AA09F8"/>
    <w:rsid w:val="00AA0B17"/>
    <w:rsid w:val="00AA0B21"/>
    <w:rsid w:val="00AA0B66"/>
    <w:rsid w:val="00AA0CC8"/>
    <w:rsid w:val="00AA0D8A"/>
    <w:rsid w:val="00AA0DE0"/>
    <w:rsid w:val="00AA0E28"/>
    <w:rsid w:val="00AA0E75"/>
    <w:rsid w:val="00AA0EE4"/>
    <w:rsid w:val="00AA0F07"/>
    <w:rsid w:val="00AA0F0B"/>
    <w:rsid w:val="00AA0FB3"/>
    <w:rsid w:val="00AA100D"/>
    <w:rsid w:val="00AA1024"/>
    <w:rsid w:val="00AA1036"/>
    <w:rsid w:val="00AA105C"/>
    <w:rsid w:val="00AA107E"/>
    <w:rsid w:val="00AA10BE"/>
    <w:rsid w:val="00AA10D6"/>
    <w:rsid w:val="00AA113F"/>
    <w:rsid w:val="00AA1284"/>
    <w:rsid w:val="00AA12BC"/>
    <w:rsid w:val="00AA12D8"/>
    <w:rsid w:val="00AA13BC"/>
    <w:rsid w:val="00AA13FE"/>
    <w:rsid w:val="00AA15B2"/>
    <w:rsid w:val="00AA15BD"/>
    <w:rsid w:val="00AA15E7"/>
    <w:rsid w:val="00AA15E9"/>
    <w:rsid w:val="00AA17C5"/>
    <w:rsid w:val="00AA1905"/>
    <w:rsid w:val="00AA19EF"/>
    <w:rsid w:val="00AA1B17"/>
    <w:rsid w:val="00AA1BBC"/>
    <w:rsid w:val="00AA1BF6"/>
    <w:rsid w:val="00AA1C63"/>
    <w:rsid w:val="00AA1CD6"/>
    <w:rsid w:val="00AA1DFC"/>
    <w:rsid w:val="00AA1F48"/>
    <w:rsid w:val="00AA1F85"/>
    <w:rsid w:val="00AA20CA"/>
    <w:rsid w:val="00AA21D7"/>
    <w:rsid w:val="00AA221C"/>
    <w:rsid w:val="00AA2225"/>
    <w:rsid w:val="00AA23F2"/>
    <w:rsid w:val="00AA23FA"/>
    <w:rsid w:val="00AA250B"/>
    <w:rsid w:val="00AA2568"/>
    <w:rsid w:val="00AA2753"/>
    <w:rsid w:val="00AA2807"/>
    <w:rsid w:val="00AA2875"/>
    <w:rsid w:val="00AA28F9"/>
    <w:rsid w:val="00AA2A0D"/>
    <w:rsid w:val="00AA2A2D"/>
    <w:rsid w:val="00AA2A91"/>
    <w:rsid w:val="00AA2A9E"/>
    <w:rsid w:val="00AA2B8D"/>
    <w:rsid w:val="00AA2B97"/>
    <w:rsid w:val="00AA2C93"/>
    <w:rsid w:val="00AA2CC5"/>
    <w:rsid w:val="00AA2D33"/>
    <w:rsid w:val="00AA2D9C"/>
    <w:rsid w:val="00AA2DC0"/>
    <w:rsid w:val="00AA2E23"/>
    <w:rsid w:val="00AA2EA1"/>
    <w:rsid w:val="00AA2F06"/>
    <w:rsid w:val="00AA2FD7"/>
    <w:rsid w:val="00AA300D"/>
    <w:rsid w:val="00AA3118"/>
    <w:rsid w:val="00AA31A6"/>
    <w:rsid w:val="00AA3359"/>
    <w:rsid w:val="00AA355A"/>
    <w:rsid w:val="00AA35E7"/>
    <w:rsid w:val="00AA3647"/>
    <w:rsid w:val="00AA3698"/>
    <w:rsid w:val="00AA36E5"/>
    <w:rsid w:val="00AA36EF"/>
    <w:rsid w:val="00AA3724"/>
    <w:rsid w:val="00AA3849"/>
    <w:rsid w:val="00AA3907"/>
    <w:rsid w:val="00AA3984"/>
    <w:rsid w:val="00AA39BB"/>
    <w:rsid w:val="00AA3A65"/>
    <w:rsid w:val="00AA3C4C"/>
    <w:rsid w:val="00AA3D49"/>
    <w:rsid w:val="00AA3D54"/>
    <w:rsid w:val="00AA3DEE"/>
    <w:rsid w:val="00AA3F1A"/>
    <w:rsid w:val="00AA3FBF"/>
    <w:rsid w:val="00AA40AC"/>
    <w:rsid w:val="00AA4321"/>
    <w:rsid w:val="00AA44C0"/>
    <w:rsid w:val="00AA477E"/>
    <w:rsid w:val="00AA48DB"/>
    <w:rsid w:val="00AA4910"/>
    <w:rsid w:val="00AA4A94"/>
    <w:rsid w:val="00AA4AED"/>
    <w:rsid w:val="00AA4AF2"/>
    <w:rsid w:val="00AA4AF9"/>
    <w:rsid w:val="00AA4B08"/>
    <w:rsid w:val="00AA4BA2"/>
    <w:rsid w:val="00AA4C5D"/>
    <w:rsid w:val="00AA4D35"/>
    <w:rsid w:val="00AA4DF1"/>
    <w:rsid w:val="00AA5053"/>
    <w:rsid w:val="00AA50AB"/>
    <w:rsid w:val="00AA51E0"/>
    <w:rsid w:val="00AA5312"/>
    <w:rsid w:val="00AA540E"/>
    <w:rsid w:val="00AA5421"/>
    <w:rsid w:val="00AA5467"/>
    <w:rsid w:val="00AA54B6"/>
    <w:rsid w:val="00AA54D4"/>
    <w:rsid w:val="00AA54E4"/>
    <w:rsid w:val="00AA5542"/>
    <w:rsid w:val="00AA55A5"/>
    <w:rsid w:val="00AA55EE"/>
    <w:rsid w:val="00AA55F2"/>
    <w:rsid w:val="00AA56E2"/>
    <w:rsid w:val="00AA5801"/>
    <w:rsid w:val="00AA58DB"/>
    <w:rsid w:val="00AA59FC"/>
    <w:rsid w:val="00AA5A7A"/>
    <w:rsid w:val="00AA5A86"/>
    <w:rsid w:val="00AA5AB5"/>
    <w:rsid w:val="00AA5ADF"/>
    <w:rsid w:val="00AA5B40"/>
    <w:rsid w:val="00AA5DD1"/>
    <w:rsid w:val="00AA5E88"/>
    <w:rsid w:val="00AA5E9A"/>
    <w:rsid w:val="00AA5EE4"/>
    <w:rsid w:val="00AA5FB0"/>
    <w:rsid w:val="00AA6028"/>
    <w:rsid w:val="00AA6055"/>
    <w:rsid w:val="00AA61C4"/>
    <w:rsid w:val="00AA6202"/>
    <w:rsid w:val="00AA633C"/>
    <w:rsid w:val="00AA63F5"/>
    <w:rsid w:val="00AA6490"/>
    <w:rsid w:val="00AA656D"/>
    <w:rsid w:val="00AA663F"/>
    <w:rsid w:val="00AA6718"/>
    <w:rsid w:val="00AA6767"/>
    <w:rsid w:val="00AA681D"/>
    <w:rsid w:val="00AA6851"/>
    <w:rsid w:val="00AA68C9"/>
    <w:rsid w:val="00AA6949"/>
    <w:rsid w:val="00AA6A0D"/>
    <w:rsid w:val="00AA6B0E"/>
    <w:rsid w:val="00AA6C40"/>
    <w:rsid w:val="00AA6C72"/>
    <w:rsid w:val="00AA6D01"/>
    <w:rsid w:val="00AA6D50"/>
    <w:rsid w:val="00AA6D83"/>
    <w:rsid w:val="00AA6E61"/>
    <w:rsid w:val="00AA6F54"/>
    <w:rsid w:val="00AA6F8C"/>
    <w:rsid w:val="00AA71CB"/>
    <w:rsid w:val="00AA722D"/>
    <w:rsid w:val="00AA725D"/>
    <w:rsid w:val="00AA72FC"/>
    <w:rsid w:val="00AA7325"/>
    <w:rsid w:val="00AA7336"/>
    <w:rsid w:val="00AA73A8"/>
    <w:rsid w:val="00AA73DD"/>
    <w:rsid w:val="00AA73F9"/>
    <w:rsid w:val="00AA7406"/>
    <w:rsid w:val="00AA7419"/>
    <w:rsid w:val="00AA7422"/>
    <w:rsid w:val="00AA74DC"/>
    <w:rsid w:val="00AA7551"/>
    <w:rsid w:val="00AA7667"/>
    <w:rsid w:val="00AA76E0"/>
    <w:rsid w:val="00AA77EF"/>
    <w:rsid w:val="00AA781A"/>
    <w:rsid w:val="00AA7855"/>
    <w:rsid w:val="00AA78D3"/>
    <w:rsid w:val="00AA7900"/>
    <w:rsid w:val="00AA7997"/>
    <w:rsid w:val="00AA7A30"/>
    <w:rsid w:val="00AA7AE4"/>
    <w:rsid w:val="00AA7AF6"/>
    <w:rsid w:val="00AA7B2D"/>
    <w:rsid w:val="00AA7B35"/>
    <w:rsid w:val="00AA7F24"/>
    <w:rsid w:val="00AB013E"/>
    <w:rsid w:val="00AB0212"/>
    <w:rsid w:val="00AB0250"/>
    <w:rsid w:val="00AB02AB"/>
    <w:rsid w:val="00AB0371"/>
    <w:rsid w:val="00AB0391"/>
    <w:rsid w:val="00AB03F4"/>
    <w:rsid w:val="00AB0450"/>
    <w:rsid w:val="00AB04A2"/>
    <w:rsid w:val="00AB0576"/>
    <w:rsid w:val="00AB05FF"/>
    <w:rsid w:val="00AB0647"/>
    <w:rsid w:val="00AB06DB"/>
    <w:rsid w:val="00AB0703"/>
    <w:rsid w:val="00AB0779"/>
    <w:rsid w:val="00AB087C"/>
    <w:rsid w:val="00AB0942"/>
    <w:rsid w:val="00AB0954"/>
    <w:rsid w:val="00AB0991"/>
    <w:rsid w:val="00AB0993"/>
    <w:rsid w:val="00AB0A22"/>
    <w:rsid w:val="00AB0A67"/>
    <w:rsid w:val="00AB0AE8"/>
    <w:rsid w:val="00AB0B9D"/>
    <w:rsid w:val="00AB0D8A"/>
    <w:rsid w:val="00AB0EE4"/>
    <w:rsid w:val="00AB0EFA"/>
    <w:rsid w:val="00AB0FE2"/>
    <w:rsid w:val="00AB1051"/>
    <w:rsid w:val="00AB10BB"/>
    <w:rsid w:val="00AB10CC"/>
    <w:rsid w:val="00AB11EB"/>
    <w:rsid w:val="00AB1268"/>
    <w:rsid w:val="00AB13D1"/>
    <w:rsid w:val="00AB13EC"/>
    <w:rsid w:val="00AB13F6"/>
    <w:rsid w:val="00AB1435"/>
    <w:rsid w:val="00AB14C0"/>
    <w:rsid w:val="00AB14F4"/>
    <w:rsid w:val="00AB154C"/>
    <w:rsid w:val="00AB1598"/>
    <w:rsid w:val="00AB15B0"/>
    <w:rsid w:val="00AB166A"/>
    <w:rsid w:val="00AB166C"/>
    <w:rsid w:val="00AB1739"/>
    <w:rsid w:val="00AB17B9"/>
    <w:rsid w:val="00AB1861"/>
    <w:rsid w:val="00AB1A20"/>
    <w:rsid w:val="00AB1A6B"/>
    <w:rsid w:val="00AB1A97"/>
    <w:rsid w:val="00AB1AC1"/>
    <w:rsid w:val="00AB1AF9"/>
    <w:rsid w:val="00AB1B72"/>
    <w:rsid w:val="00AB1B82"/>
    <w:rsid w:val="00AB1BB9"/>
    <w:rsid w:val="00AB1BBF"/>
    <w:rsid w:val="00AB1C47"/>
    <w:rsid w:val="00AB1C64"/>
    <w:rsid w:val="00AB1C96"/>
    <w:rsid w:val="00AB1CC1"/>
    <w:rsid w:val="00AB1D20"/>
    <w:rsid w:val="00AB1D62"/>
    <w:rsid w:val="00AB1DD9"/>
    <w:rsid w:val="00AB1DE7"/>
    <w:rsid w:val="00AB1E81"/>
    <w:rsid w:val="00AB1F0D"/>
    <w:rsid w:val="00AB1F42"/>
    <w:rsid w:val="00AB1FF4"/>
    <w:rsid w:val="00AB200A"/>
    <w:rsid w:val="00AB2066"/>
    <w:rsid w:val="00AB214F"/>
    <w:rsid w:val="00AB225A"/>
    <w:rsid w:val="00AB232C"/>
    <w:rsid w:val="00AB243F"/>
    <w:rsid w:val="00AB258A"/>
    <w:rsid w:val="00AB25DE"/>
    <w:rsid w:val="00AB2654"/>
    <w:rsid w:val="00AB26B8"/>
    <w:rsid w:val="00AB26F4"/>
    <w:rsid w:val="00AB2775"/>
    <w:rsid w:val="00AB27ED"/>
    <w:rsid w:val="00AB28BB"/>
    <w:rsid w:val="00AB2AD5"/>
    <w:rsid w:val="00AB2B12"/>
    <w:rsid w:val="00AB2EDC"/>
    <w:rsid w:val="00AB2F30"/>
    <w:rsid w:val="00AB2F70"/>
    <w:rsid w:val="00AB2F8C"/>
    <w:rsid w:val="00AB2FCB"/>
    <w:rsid w:val="00AB316F"/>
    <w:rsid w:val="00AB318A"/>
    <w:rsid w:val="00AB31F9"/>
    <w:rsid w:val="00AB3242"/>
    <w:rsid w:val="00AB3263"/>
    <w:rsid w:val="00AB3298"/>
    <w:rsid w:val="00AB329B"/>
    <w:rsid w:val="00AB32EE"/>
    <w:rsid w:val="00AB333D"/>
    <w:rsid w:val="00AB3408"/>
    <w:rsid w:val="00AB3549"/>
    <w:rsid w:val="00AB35C8"/>
    <w:rsid w:val="00AB364D"/>
    <w:rsid w:val="00AB3660"/>
    <w:rsid w:val="00AB36B0"/>
    <w:rsid w:val="00AB36FD"/>
    <w:rsid w:val="00AB37E5"/>
    <w:rsid w:val="00AB3833"/>
    <w:rsid w:val="00AB386D"/>
    <w:rsid w:val="00AB393B"/>
    <w:rsid w:val="00AB3983"/>
    <w:rsid w:val="00AB39C4"/>
    <w:rsid w:val="00AB3A2A"/>
    <w:rsid w:val="00AB3A95"/>
    <w:rsid w:val="00AB3AA5"/>
    <w:rsid w:val="00AB3AB2"/>
    <w:rsid w:val="00AB3ABC"/>
    <w:rsid w:val="00AB3C58"/>
    <w:rsid w:val="00AB3CC3"/>
    <w:rsid w:val="00AB3CFF"/>
    <w:rsid w:val="00AB3D0C"/>
    <w:rsid w:val="00AB3D68"/>
    <w:rsid w:val="00AB3D6C"/>
    <w:rsid w:val="00AB3F02"/>
    <w:rsid w:val="00AB3FEE"/>
    <w:rsid w:val="00AB4146"/>
    <w:rsid w:val="00AB417D"/>
    <w:rsid w:val="00AB4228"/>
    <w:rsid w:val="00AB422D"/>
    <w:rsid w:val="00AB4306"/>
    <w:rsid w:val="00AB436C"/>
    <w:rsid w:val="00AB438B"/>
    <w:rsid w:val="00AB4398"/>
    <w:rsid w:val="00AB441F"/>
    <w:rsid w:val="00AB44B3"/>
    <w:rsid w:val="00AB44BF"/>
    <w:rsid w:val="00AB4574"/>
    <w:rsid w:val="00AB4633"/>
    <w:rsid w:val="00AB4648"/>
    <w:rsid w:val="00AB4658"/>
    <w:rsid w:val="00AB46D8"/>
    <w:rsid w:val="00AB475E"/>
    <w:rsid w:val="00AB476F"/>
    <w:rsid w:val="00AB4799"/>
    <w:rsid w:val="00AB47AE"/>
    <w:rsid w:val="00AB4820"/>
    <w:rsid w:val="00AB4840"/>
    <w:rsid w:val="00AB485B"/>
    <w:rsid w:val="00AB493F"/>
    <w:rsid w:val="00AB49B6"/>
    <w:rsid w:val="00AB49C2"/>
    <w:rsid w:val="00AB4A29"/>
    <w:rsid w:val="00AB4A65"/>
    <w:rsid w:val="00AB4B41"/>
    <w:rsid w:val="00AB4B4C"/>
    <w:rsid w:val="00AB4BB2"/>
    <w:rsid w:val="00AB4BC2"/>
    <w:rsid w:val="00AB4C76"/>
    <w:rsid w:val="00AB4CB1"/>
    <w:rsid w:val="00AB4D70"/>
    <w:rsid w:val="00AB4D72"/>
    <w:rsid w:val="00AB4F1F"/>
    <w:rsid w:val="00AB4F74"/>
    <w:rsid w:val="00AB4FE2"/>
    <w:rsid w:val="00AB5078"/>
    <w:rsid w:val="00AB50A0"/>
    <w:rsid w:val="00AB50E5"/>
    <w:rsid w:val="00AB50E9"/>
    <w:rsid w:val="00AB5260"/>
    <w:rsid w:val="00AB5278"/>
    <w:rsid w:val="00AB5365"/>
    <w:rsid w:val="00AB5527"/>
    <w:rsid w:val="00AB5574"/>
    <w:rsid w:val="00AB559B"/>
    <w:rsid w:val="00AB5654"/>
    <w:rsid w:val="00AB5684"/>
    <w:rsid w:val="00AB5751"/>
    <w:rsid w:val="00AB575C"/>
    <w:rsid w:val="00AB577B"/>
    <w:rsid w:val="00AB5788"/>
    <w:rsid w:val="00AB57AD"/>
    <w:rsid w:val="00AB57B0"/>
    <w:rsid w:val="00AB57BC"/>
    <w:rsid w:val="00AB588C"/>
    <w:rsid w:val="00AB58C2"/>
    <w:rsid w:val="00AB58E5"/>
    <w:rsid w:val="00AB592B"/>
    <w:rsid w:val="00AB592E"/>
    <w:rsid w:val="00AB5A9E"/>
    <w:rsid w:val="00AB5C5F"/>
    <w:rsid w:val="00AB5CA2"/>
    <w:rsid w:val="00AB5D28"/>
    <w:rsid w:val="00AB5D34"/>
    <w:rsid w:val="00AB5D63"/>
    <w:rsid w:val="00AB5D65"/>
    <w:rsid w:val="00AB5DFD"/>
    <w:rsid w:val="00AB5E93"/>
    <w:rsid w:val="00AB607B"/>
    <w:rsid w:val="00AB6116"/>
    <w:rsid w:val="00AB61A5"/>
    <w:rsid w:val="00AB61F2"/>
    <w:rsid w:val="00AB6214"/>
    <w:rsid w:val="00AB6231"/>
    <w:rsid w:val="00AB6237"/>
    <w:rsid w:val="00AB62E3"/>
    <w:rsid w:val="00AB641E"/>
    <w:rsid w:val="00AB6503"/>
    <w:rsid w:val="00AB6527"/>
    <w:rsid w:val="00AB6568"/>
    <w:rsid w:val="00AB6583"/>
    <w:rsid w:val="00AB664D"/>
    <w:rsid w:val="00AB66C4"/>
    <w:rsid w:val="00AB6751"/>
    <w:rsid w:val="00AB687A"/>
    <w:rsid w:val="00AB6899"/>
    <w:rsid w:val="00AB68B5"/>
    <w:rsid w:val="00AB68C0"/>
    <w:rsid w:val="00AB69CC"/>
    <w:rsid w:val="00AB6A55"/>
    <w:rsid w:val="00AB6B51"/>
    <w:rsid w:val="00AB6B6D"/>
    <w:rsid w:val="00AB6BB2"/>
    <w:rsid w:val="00AB6BC1"/>
    <w:rsid w:val="00AB6BE2"/>
    <w:rsid w:val="00AB6C70"/>
    <w:rsid w:val="00AB6C7B"/>
    <w:rsid w:val="00AB6CB3"/>
    <w:rsid w:val="00AB6E72"/>
    <w:rsid w:val="00AB6E7C"/>
    <w:rsid w:val="00AB6F88"/>
    <w:rsid w:val="00AB6FB4"/>
    <w:rsid w:val="00AB6FFD"/>
    <w:rsid w:val="00AB7013"/>
    <w:rsid w:val="00AB715B"/>
    <w:rsid w:val="00AB72E8"/>
    <w:rsid w:val="00AB7404"/>
    <w:rsid w:val="00AB7406"/>
    <w:rsid w:val="00AB750D"/>
    <w:rsid w:val="00AB766C"/>
    <w:rsid w:val="00AB76E9"/>
    <w:rsid w:val="00AB77D4"/>
    <w:rsid w:val="00AB7849"/>
    <w:rsid w:val="00AB786E"/>
    <w:rsid w:val="00AB78A2"/>
    <w:rsid w:val="00AB78CF"/>
    <w:rsid w:val="00AB78ED"/>
    <w:rsid w:val="00AB7911"/>
    <w:rsid w:val="00AB79BF"/>
    <w:rsid w:val="00AB79FC"/>
    <w:rsid w:val="00AB7A34"/>
    <w:rsid w:val="00AB7A5B"/>
    <w:rsid w:val="00AB7B11"/>
    <w:rsid w:val="00AB7B94"/>
    <w:rsid w:val="00AB7BD9"/>
    <w:rsid w:val="00AB7E02"/>
    <w:rsid w:val="00AB7E23"/>
    <w:rsid w:val="00AB7F80"/>
    <w:rsid w:val="00AB7FAF"/>
    <w:rsid w:val="00AB7FB6"/>
    <w:rsid w:val="00AC014A"/>
    <w:rsid w:val="00AC01C2"/>
    <w:rsid w:val="00AC01D8"/>
    <w:rsid w:val="00AC02C5"/>
    <w:rsid w:val="00AC0385"/>
    <w:rsid w:val="00AC0432"/>
    <w:rsid w:val="00AC0443"/>
    <w:rsid w:val="00AC045E"/>
    <w:rsid w:val="00AC0504"/>
    <w:rsid w:val="00AC0587"/>
    <w:rsid w:val="00AC0599"/>
    <w:rsid w:val="00AC05B1"/>
    <w:rsid w:val="00AC0612"/>
    <w:rsid w:val="00AC068C"/>
    <w:rsid w:val="00AC0803"/>
    <w:rsid w:val="00AC08CD"/>
    <w:rsid w:val="00AC0902"/>
    <w:rsid w:val="00AC091D"/>
    <w:rsid w:val="00AC0A30"/>
    <w:rsid w:val="00AC0B0F"/>
    <w:rsid w:val="00AC0B79"/>
    <w:rsid w:val="00AC0BDA"/>
    <w:rsid w:val="00AC0BDC"/>
    <w:rsid w:val="00AC0C57"/>
    <w:rsid w:val="00AC0D63"/>
    <w:rsid w:val="00AC0F02"/>
    <w:rsid w:val="00AC0F57"/>
    <w:rsid w:val="00AC10D2"/>
    <w:rsid w:val="00AC10E4"/>
    <w:rsid w:val="00AC1115"/>
    <w:rsid w:val="00AC12E7"/>
    <w:rsid w:val="00AC143B"/>
    <w:rsid w:val="00AC16FC"/>
    <w:rsid w:val="00AC1744"/>
    <w:rsid w:val="00AC181A"/>
    <w:rsid w:val="00AC18C0"/>
    <w:rsid w:val="00AC18E8"/>
    <w:rsid w:val="00AC19E9"/>
    <w:rsid w:val="00AC1A0F"/>
    <w:rsid w:val="00AC1C5E"/>
    <w:rsid w:val="00AC1C81"/>
    <w:rsid w:val="00AC1CD4"/>
    <w:rsid w:val="00AC1D0A"/>
    <w:rsid w:val="00AC1D1E"/>
    <w:rsid w:val="00AC1D5E"/>
    <w:rsid w:val="00AC1E18"/>
    <w:rsid w:val="00AC1E28"/>
    <w:rsid w:val="00AC1FD9"/>
    <w:rsid w:val="00AC1FF2"/>
    <w:rsid w:val="00AC2066"/>
    <w:rsid w:val="00AC2191"/>
    <w:rsid w:val="00AC21C7"/>
    <w:rsid w:val="00AC2275"/>
    <w:rsid w:val="00AC2291"/>
    <w:rsid w:val="00AC22B4"/>
    <w:rsid w:val="00AC22CA"/>
    <w:rsid w:val="00AC22D1"/>
    <w:rsid w:val="00AC24AD"/>
    <w:rsid w:val="00AC2565"/>
    <w:rsid w:val="00AC2577"/>
    <w:rsid w:val="00AC25D6"/>
    <w:rsid w:val="00AC2698"/>
    <w:rsid w:val="00AC281E"/>
    <w:rsid w:val="00AC281F"/>
    <w:rsid w:val="00AC28FA"/>
    <w:rsid w:val="00AC2A59"/>
    <w:rsid w:val="00AC2AB9"/>
    <w:rsid w:val="00AC2C93"/>
    <w:rsid w:val="00AC2CE2"/>
    <w:rsid w:val="00AC2D45"/>
    <w:rsid w:val="00AC2D58"/>
    <w:rsid w:val="00AC2DB8"/>
    <w:rsid w:val="00AC2F9E"/>
    <w:rsid w:val="00AC2FB9"/>
    <w:rsid w:val="00AC30A0"/>
    <w:rsid w:val="00AC30A8"/>
    <w:rsid w:val="00AC315C"/>
    <w:rsid w:val="00AC3179"/>
    <w:rsid w:val="00AC3183"/>
    <w:rsid w:val="00AC3196"/>
    <w:rsid w:val="00AC3197"/>
    <w:rsid w:val="00AC320E"/>
    <w:rsid w:val="00AC323F"/>
    <w:rsid w:val="00AC330D"/>
    <w:rsid w:val="00AC34B2"/>
    <w:rsid w:val="00AC3579"/>
    <w:rsid w:val="00AC35F0"/>
    <w:rsid w:val="00AC35F2"/>
    <w:rsid w:val="00AC3625"/>
    <w:rsid w:val="00AC362D"/>
    <w:rsid w:val="00AC369D"/>
    <w:rsid w:val="00AC36AD"/>
    <w:rsid w:val="00AC37C5"/>
    <w:rsid w:val="00AC3820"/>
    <w:rsid w:val="00AC3872"/>
    <w:rsid w:val="00AC389B"/>
    <w:rsid w:val="00AC3957"/>
    <w:rsid w:val="00AC3981"/>
    <w:rsid w:val="00AC3983"/>
    <w:rsid w:val="00AC3B05"/>
    <w:rsid w:val="00AC3B19"/>
    <w:rsid w:val="00AC3D32"/>
    <w:rsid w:val="00AC3D80"/>
    <w:rsid w:val="00AC3F71"/>
    <w:rsid w:val="00AC40E5"/>
    <w:rsid w:val="00AC4200"/>
    <w:rsid w:val="00AC428F"/>
    <w:rsid w:val="00AC4341"/>
    <w:rsid w:val="00AC4511"/>
    <w:rsid w:val="00AC4558"/>
    <w:rsid w:val="00AC460B"/>
    <w:rsid w:val="00AC46E8"/>
    <w:rsid w:val="00AC4718"/>
    <w:rsid w:val="00AC47E4"/>
    <w:rsid w:val="00AC487C"/>
    <w:rsid w:val="00AC488F"/>
    <w:rsid w:val="00AC489B"/>
    <w:rsid w:val="00AC48A5"/>
    <w:rsid w:val="00AC49F0"/>
    <w:rsid w:val="00AC4AE1"/>
    <w:rsid w:val="00AC4C2B"/>
    <w:rsid w:val="00AC4C61"/>
    <w:rsid w:val="00AC4C99"/>
    <w:rsid w:val="00AC4D92"/>
    <w:rsid w:val="00AC4DC1"/>
    <w:rsid w:val="00AC4E31"/>
    <w:rsid w:val="00AC4E36"/>
    <w:rsid w:val="00AC4F46"/>
    <w:rsid w:val="00AC50F3"/>
    <w:rsid w:val="00AC514A"/>
    <w:rsid w:val="00AC51CF"/>
    <w:rsid w:val="00AC5253"/>
    <w:rsid w:val="00AC5375"/>
    <w:rsid w:val="00AC53AE"/>
    <w:rsid w:val="00AC5418"/>
    <w:rsid w:val="00AC5445"/>
    <w:rsid w:val="00AC54B8"/>
    <w:rsid w:val="00AC54D0"/>
    <w:rsid w:val="00AC54F1"/>
    <w:rsid w:val="00AC5618"/>
    <w:rsid w:val="00AC56CF"/>
    <w:rsid w:val="00AC571F"/>
    <w:rsid w:val="00AC5753"/>
    <w:rsid w:val="00AC57A4"/>
    <w:rsid w:val="00AC5ABE"/>
    <w:rsid w:val="00AC5AD8"/>
    <w:rsid w:val="00AC5AD9"/>
    <w:rsid w:val="00AC5B39"/>
    <w:rsid w:val="00AC5BEC"/>
    <w:rsid w:val="00AC5C34"/>
    <w:rsid w:val="00AC5C94"/>
    <w:rsid w:val="00AC5D70"/>
    <w:rsid w:val="00AC5DF2"/>
    <w:rsid w:val="00AC5EA2"/>
    <w:rsid w:val="00AC5ED5"/>
    <w:rsid w:val="00AC5F41"/>
    <w:rsid w:val="00AC5FED"/>
    <w:rsid w:val="00AC5FFD"/>
    <w:rsid w:val="00AC60B8"/>
    <w:rsid w:val="00AC6165"/>
    <w:rsid w:val="00AC61D9"/>
    <w:rsid w:val="00AC61FF"/>
    <w:rsid w:val="00AC6233"/>
    <w:rsid w:val="00AC6351"/>
    <w:rsid w:val="00AC636A"/>
    <w:rsid w:val="00AC64A3"/>
    <w:rsid w:val="00AC6584"/>
    <w:rsid w:val="00AC6639"/>
    <w:rsid w:val="00AC66B5"/>
    <w:rsid w:val="00AC66E8"/>
    <w:rsid w:val="00AC6709"/>
    <w:rsid w:val="00AC68E2"/>
    <w:rsid w:val="00AC693D"/>
    <w:rsid w:val="00AC698E"/>
    <w:rsid w:val="00AC6996"/>
    <w:rsid w:val="00AC6A9F"/>
    <w:rsid w:val="00AC6ABA"/>
    <w:rsid w:val="00AC6CDD"/>
    <w:rsid w:val="00AC6E9C"/>
    <w:rsid w:val="00AC6F22"/>
    <w:rsid w:val="00AC6FA4"/>
    <w:rsid w:val="00AC6FD4"/>
    <w:rsid w:val="00AC7051"/>
    <w:rsid w:val="00AC70DF"/>
    <w:rsid w:val="00AC711B"/>
    <w:rsid w:val="00AC7129"/>
    <w:rsid w:val="00AC7173"/>
    <w:rsid w:val="00AC71FD"/>
    <w:rsid w:val="00AC7335"/>
    <w:rsid w:val="00AC7349"/>
    <w:rsid w:val="00AC7363"/>
    <w:rsid w:val="00AC7496"/>
    <w:rsid w:val="00AC74D0"/>
    <w:rsid w:val="00AC75BB"/>
    <w:rsid w:val="00AC7675"/>
    <w:rsid w:val="00AC7676"/>
    <w:rsid w:val="00AC76E0"/>
    <w:rsid w:val="00AC781A"/>
    <w:rsid w:val="00AC7825"/>
    <w:rsid w:val="00AC7829"/>
    <w:rsid w:val="00AC7902"/>
    <w:rsid w:val="00AC79A9"/>
    <w:rsid w:val="00AC7B1F"/>
    <w:rsid w:val="00AC7BC8"/>
    <w:rsid w:val="00AC7BDB"/>
    <w:rsid w:val="00AC7C23"/>
    <w:rsid w:val="00AC7D0F"/>
    <w:rsid w:val="00AC7D1B"/>
    <w:rsid w:val="00AC7D81"/>
    <w:rsid w:val="00AC7D82"/>
    <w:rsid w:val="00AC7DC9"/>
    <w:rsid w:val="00AC7DCF"/>
    <w:rsid w:val="00AC7E0B"/>
    <w:rsid w:val="00AD015D"/>
    <w:rsid w:val="00AD0291"/>
    <w:rsid w:val="00AD0315"/>
    <w:rsid w:val="00AD031C"/>
    <w:rsid w:val="00AD04A9"/>
    <w:rsid w:val="00AD04E6"/>
    <w:rsid w:val="00AD069E"/>
    <w:rsid w:val="00AD06FC"/>
    <w:rsid w:val="00AD070F"/>
    <w:rsid w:val="00AD07EE"/>
    <w:rsid w:val="00AD0857"/>
    <w:rsid w:val="00AD098C"/>
    <w:rsid w:val="00AD098D"/>
    <w:rsid w:val="00AD09B3"/>
    <w:rsid w:val="00AD09F3"/>
    <w:rsid w:val="00AD0A6F"/>
    <w:rsid w:val="00AD0B06"/>
    <w:rsid w:val="00AD0BD3"/>
    <w:rsid w:val="00AD0BFE"/>
    <w:rsid w:val="00AD0C17"/>
    <w:rsid w:val="00AD0C1B"/>
    <w:rsid w:val="00AD0C2E"/>
    <w:rsid w:val="00AD0C92"/>
    <w:rsid w:val="00AD0D60"/>
    <w:rsid w:val="00AD0F6A"/>
    <w:rsid w:val="00AD0FAF"/>
    <w:rsid w:val="00AD0FB2"/>
    <w:rsid w:val="00AD10AD"/>
    <w:rsid w:val="00AD1115"/>
    <w:rsid w:val="00AD11DC"/>
    <w:rsid w:val="00AD1242"/>
    <w:rsid w:val="00AD1288"/>
    <w:rsid w:val="00AD129E"/>
    <w:rsid w:val="00AD12D8"/>
    <w:rsid w:val="00AD1321"/>
    <w:rsid w:val="00AD1343"/>
    <w:rsid w:val="00AD14B8"/>
    <w:rsid w:val="00AD1552"/>
    <w:rsid w:val="00AD157A"/>
    <w:rsid w:val="00AD16C4"/>
    <w:rsid w:val="00AD16D8"/>
    <w:rsid w:val="00AD177F"/>
    <w:rsid w:val="00AD17D3"/>
    <w:rsid w:val="00AD18CD"/>
    <w:rsid w:val="00AD1947"/>
    <w:rsid w:val="00AD1978"/>
    <w:rsid w:val="00AD1A1C"/>
    <w:rsid w:val="00AD1A9B"/>
    <w:rsid w:val="00AD1B3E"/>
    <w:rsid w:val="00AD1B49"/>
    <w:rsid w:val="00AD1B57"/>
    <w:rsid w:val="00AD1C48"/>
    <w:rsid w:val="00AD1CA4"/>
    <w:rsid w:val="00AD1D43"/>
    <w:rsid w:val="00AD1DED"/>
    <w:rsid w:val="00AD1E25"/>
    <w:rsid w:val="00AD1E2C"/>
    <w:rsid w:val="00AD1EA0"/>
    <w:rsid w:val="00AD1EDE"/>
    <w:rsid w:val="00AD204F"/>
    <w:rsid w:val="00AD21C0"/>
    <w:rsid w:val="00AD222E"/>
    <w:rsid w:val="00AD23F7"/>
    <w:rsid w:val="00AD245E"/>
    <w:rsid w:val="00AD2537"/>
    <w:rsid w:val="00AD2681"/>
    <w:rsid w:val="00AD2758"/>
    <w:rsid w:val="00AD2992"/>
    <w:rsid w:val="00AD2A22"/>
    <w:rsid w:val="00AD2AFE"/>
    <w:rsid w:val="00AD2B00"/>
    <w:rsid w:val="00AD2B64"/>
    <w:rsid w:val="00AD2B79"/>
    <w:rsid w:val="00AD2BA6"/>
    <w:rsid w:val="00AD2BE6"/>
    <w:rsid w:val="00AD2E43"/>
    <w:rsid w:val="00AD2F59"/>
    <w:rsid w:val="00AD3030"/>
    <w:rsid w:val="00AD3037"/>
    <w:rsid w:val="00AD30BC"/>
    <w:rsid w:val="00AD3174"/>
    <w:rsid w:val="00AD31EB"/>
    <w:rsid w:val="00AD3387"/>
    <w:rsid w:val="00AD347A"/>
    <w:rsid w:val="00AD347E"/>
    <w:rsid w:val="00AD3510"/>
    <w:rsid w:val="00AD3545"/>
    <w:rsid w:val="00AD35FB"/>
    <w:rsid w:val="00AD3671"/>
    <w:rsid w:val="00AD3732"/>
    <w:rsid w:val="00AD381B"/>
    <w:rsid w:val="00AD3859"/>
    <w:rsid w:val="00AD38A8"/>
    <w:rsid w:val="00AD38B8"/>
    <w:rsid w:val="00AD38EC"/>
    <w:rsid w:val="00AD391E"/>
    <w:rsid w:val="00AD3936"/>
    <w:rsid w:val="00AD397F"/>
    <w:rsid w:val="00AD39FD"/>
    <w:rsid w:val="00AD3B1D"/>
    <w:rsid w:val="00AD3BCB"/>
    <w:rsid w:val="00AD3C48"/>
    <w:rsid w:val="00AD3D18"/>
    <w:rsid w:val="00AD3E04"/>
    <w:rsid w:val="00AD40AA"/>
    <w:rsid w:val="00AD4134"/>
    <w:rsid w:val="00AD42E3"/>
    <w:rsid w:val="00AD42FE"/>
    <w:rsid w:val="00AD454C"/>
    <w:rsid w:val="00AD459D"/>
    <w:rsid w:val="00AD460B"/>
    <w:rsid w:val="00AD4683"/>
    <w:rsid w:val="00AD473C"/>
    <w:rsid w:val="00AD4763"/>
    <w:rsid w:val="00AD4808"/>
    <w:rsid w:val="00AD484B"/>
    <w:rsid w:val="00AD4895"/>
    <w:rsid w:val="00AD4A88"/>
    <w:rsid w:val="00AD4AD3"/>
    <w:rsid w:val="00AD4B4E"/>
    <w:rsid w:val="00AD4B56"/>
    <w:rsid w:val="00AD4BD1"/>
    <w:rsid w:val="00AD4BE0"/>
    <w:rsid w:val="00AD4C0D"/>
    <w:rsid w:val="00AD4C1D"/>
    <w:rsid w:val="00AD4DEF"/>
    <w:rsid w:val="00AD4E10"/>
    <w:rsid w:val="00AD4E82"/>
    <w:rsid w:val="00AD4E8C"/>
    <w:rsid w:val="00AD4F0A"/>
    <w:rsid w:val="00AD4F26"/>
    <w:rsid w:val="00AD4F9B"/>
    <w:rsid w:val="00AD501C"/>
    <w:rsid w:val="00AD507D"/>
    <w:rsid w:val="00AD50D8"/>
    <w:rsid w:val="00AD51A9"/>
    <w:rsid w:val="00AD51B2"/>
    <w:rsid w:val="00AD51DC"/>
    <w:rsid w:val="00AD51F8"/>
    <w:rsid w:val="00AD52BF"/>
    <w:rsid w:val="00AD5349"/>
    <w:rsid w:val="00AD5354"/>
    <w:rsid w:val="00AD539E"/>
    <w:rsid w:val="00AD53E9"/>
    <w:rsid w:val="00AD540B"/>
    <w:rsid w:val="00AD5416"/>
    <w:rsid w:val="00AD5425"/>
    <w:rsid w:val="00AD5481"/>
    <w:rsid w:val="00AD54A6"/>
    <w:rsid w:val="00AD55D3"/>
    <w:rsid w:val="00AD5601"/>
    <w:rsid w:val="00AD5617"/>
    <w:rsid w:val="00AD5700"/>
    <w:rsid w:val="00AD5780"/>
    <w:rsid w:val="00AD57C1"/>
    <w:rsid w:val="00AD5810"/>
    <w:rsid w:val="00AD58EC"/>
    <w:rsid w:val="00AD5A02"/>
    <w:rsid w:val="00AD5AAC"/>
    <w:rsid w:val="00AD5B13"/>
    <w:rsid w:val="00AD5B52"/>
    <w:rsid w:val="00AD5D55"/>
    <w:rsid w:val="00AD5E3C"/>
    <w:rsid w:val="00AD5FC3"/>
    <w:rsid w:val="00AD5FE0"/>
    <w:rsid w:val="00AD6025"/>
    <w:rsid w:val="00AD61BB"/>
    <w:rsid w:val="00AD627D"/>
    <w:rsid w:val="00AD62E9"/>
    <w:rsid w:val="00AD633C"/>
    <w:rsid w:val="00AD6380"/>
    <w:rsid w:val="00AD640A"/>
    <w:rsid w:val="00AD643D"/>
    <w:rsid w:val="00AD648F"/>
    <w:rsid w:val="00AD6551"/>
    <w:rsid w:val="00AD66C1"/>
    <w:rsid w:val="00AD673F"/>
    <w:rsid w:val="00AD682F"/>
    <w:rsid w:val="00AD68F3"/>
    <w:rsid w:val="00AD6957"/>
    <w:rsid w:val="00AD69E1"/>
    <w:rsid w:val="00AD6AF2"/>
    <w:rsid w:val="00AD6AFD"/>
    <w:rsid w:val="00AD6B67"/>
    <w:rsid w:val="00AD6B8F"/>
    <w:rsid w:val="00AD6BFB"/>
    <w:rsid w:val="00AD6C0E"/>
    <w:rsid w:val="00AD6C5C"/>
    <w:rsid w:val="00AD6C60"/>
    <w:rsid w:val="00AD6D17"/>
    <w:rsid w:val="00AD6DDB"/>
    <w:rsid w:val="00AD6EC8"/>
    <w:rsid w:val="00AD6F3C"/>
    <w:rsid w:val="00AD6F92"/>
    <w:rsid w:val="00AD6FA0"/>
    <w:rsid w:val="00AD70AF"/>
    <w:rsid w:val="00AD719E"/>
    <w:rsid w:val="00AD7227"/>
    <w:rsid w:val="00AD7454"/>
    <w:rsid w:val="00AD74A0"/>
    <w:rsid w:val="00AD7512"/>
    <w:rsid w:val="00AD75F9"/>
    <w:rsid w:val="00AD7674"/>
    <w:rsid w:val="00AD76B4"/>
    <w:rsid w:val="00AD7700"/>
    <w:rsid w:val="00AD7741"/>
    <w:rsid w:val="00AD775E"/>
    <w:rsid w:val="00AD78E9"/>
    <w:rsid w:val="00AD7A12"/>
    <w:rsid w:val="00AD7A42"/>
    <w:rsid w:val="00AD7B6E"/>
    <w:rsid w:val="00AD7BC0"/>
    <w:rsid w:val="00AD7BFB"/>
    <w:rsid w:val="00AD7C1B"/>
    <w:rsid w:val="00AD7C28"/>
    <w:rsid w:val="00AD7C2C"/>
    <w:rsid w:val="00AD7D69"/>
    <w:rsid w:val="00AD7D86"/>
    <w:rsid w:val="00AD7DA1"/>
    <w:rsid w:val="00AD7DB4"/>
    <w:rsid w:val="00AD7E3B"/>
    <w:rsid w:val="00AD7E75"/>
    <w:rsid w:val="00AD7EC3"/>
    <w:rsid w:val="00AD7ED6"/>
    <w:rsid w:val="00AD7F27"/>
    <w:rsid w:val="00AE0087"/>
    <w:rsid w:val="00AE00C0"/>
    <w:rsid w:val="00AE0109"/>
    <w:rsid w:val="00AE012E"/>
    <w:rsid w:val="00AE013F"/>
    <w:rsid w:val="00AE016C"/>
    <w:rsid w:val="00AE02B5"/>
    <w:rsid w:val="00AE03C9"/>
    <w:rsid w:val="00AE03DA"/>
    <w:rsid w:val="00AE0402"/>
    <w:rsid w:val="00AE0468"/>
    <w:rsid w:val="00AE0498"/>
    <w:rsid w:val="00AE0516"/>
    <w:rsid w:val="00AE05C8"/>
    <w:rsid w:val="00AE05DD"/>
    <w:rsid w:val="00AE063C"/>
    <w:rsid w:val="00AE0647"/>
    <w:rsid w:val="00AE0718"/>
    <w:rsid w:val="00AE0855"/>
    <w:rsid w:val="00AE0894"/>
    <w:rsid w:val="00AE0949"/>
    <w:rsid w:val="00AE0B9F"/>
    <w:rsid w:val="00AE0C05"/>
    <w:rsid w:val="00AE0C5B"/>
    <w:rsid w:val="00AE0CF5"/>
    <w:rsid w:val="00AE0D4A"/>
    <w:rsid w:val="00AE0D4F"/>
    <w:rsid w:val="00AE0DB2"/>
    <w:rsid w:val="00AE0DCA"/>
    <w:rsid w:val="00AE0E36"/>
    <w:rsid w:val="00AE0E50"/>
    <w:rsid w:val="00AE0E7D"/>
    <w:rsid w:val="00AE0F47"/>
    <w:rsid w:val="00AE10B9"/>
    <w:rsid w:val="00AE10FB"/>
    <w:rsid w:val="00AE1129"/>
    <w:rsid w:val="00AE11D5"/>
    <w:rsid w:val="00AE125A"/>
    <w:rsid w:val="00AE134E"/>
    <w:rsid w:val="00AE13D0"/>
    <w:rsid w:val="00AE14A7"/>
    <w:rsid w:val="00AE1511"/>
    <w:rsid w:val="00AE170D"/>
    <w:rsid w:val="00AE171D"/>
    <w:rsid w:val="00AE1765"/>
    <w:rsid w:val="00AE1826"/>
    <w:rsid w:val="00AE184A"/>
    <w:rsid w:val="00AE1873"/>
    <w:rsid w:val="00AE1903"/>
    <w:rsid w:val="00AE1918"/>
    <w:rsid w:val="00AE1A45"/>
    <w:rsid w:val="00AE1B80"/>
    <w:rsid w:val="00AE1B98"/>
    <w:rsid w:val="00AE1C1E"/>
    <w:rsid w:val="00AE1C6D"/>
    <w:rsid w:val="00AE1CE3"/>
    <w:rsid w:val="00AE1ECD"/>
    <w:rsid w:val="00AE1EEF"/>
    <w:rsid w:val="00AE1F6F"/>
    <w:rsid w:val="00AE1F99"/>
    <w:rsid w:val="00AE1FAC"/>
    <w:rsid w:val="00AE20AA"/>
    <w:rsid w:val="00AE20F5"/>
    <w:rsid w:val="00AE2136"/>
    <w:rsid w:val="00AE2227"/>
    <w:rsid w:val="00AE2233"/>
    <w:rsid w:val="00AE2358"/>
    <w:rsid w:val="00AE241E"/>
    <w:rsid w:val="00AE2448"/>
    <w:rsid w:val="00AE24C1"/>
    <w:rsid w:val="00AE2602"/>
    <w:rsid w:val="00AE2610"/>
    <w:rsid w:val="00AE2673"/>
    <w:rsid w:val="00AE2790"/>
    <w:rsid w:val="00AE287C"/>
    <w:rsid w:val="00AE28DA"/>
    <w:rsid w:val="00AE28EC"/>
    <w:rsid w:val="00AE2971"/>
    <w:rsid w:val="00AE298D"/>
    <w:rsid w:val="00AE29EF"/>
    <w:rsid w:val="00AE2A24"/>
    <w:rsid w:val="00AE2A26"/>
    <w:rsid w:val="00AE2AE0"/>
    <w:rsid w:val="00AE2BB1"/>
    <w:rsid w:val="00AE2C22"/>
    <w:rsid w:val="00AE2E16"/>
    <w:rsid w:val="00AE2E81"/>
    <w:rsid w:val="00AE2F3B"/>
    <w:rsid w:val="00AE2F90"/>
    <w:rsid w:val="00AE2FFB"/>
    <w:rsid w:val="00AE3334"/>
    <w:rsid w:val="00AE34EA"/>
    <w:rsid w:val="00AE3520"/>
    <w:rsid w:val="00AE3545"/>
    <w:rsid w:val="00AE3605"/>
    <w:rsid w:val="00AE3633"/>
    <w:rsid w:val="00AE3668"/>
    <w:rsid w:val="00AE3696"/>
    <w:rsid w:val="00AE36F4"/>
    <w:rsid w:val="00AE37AA"/>
    <w:rsid w:val="00AE38F0"/>
    <w:rsid w:val="00AE391A"/>
    <w:rsid w:val="00AE3920"/>
    <w:rsid w:val="00AE39BA"/>
    <w:rsid w:val="00AE39DA"/>
    <w:rsid w:val="00AE3A1D"/>
    <w:rsid w:val="00AE3A59"/>
    <w:rsid w:val="00AE3A75"/>
    <w:rsid w:val="00AE3BB7"/>
    <w:rsid w:val="00AE3C15"/>
    <w:rsid w:val="00AE3C89"/>
    <w:rsid w:val="00AE3C8E"/>
    <w:rsid w:val="00AE3CB1"/>
    <w:rsid w:val="00AE3DFF"/>
    <w:rsid w:val="00AE3E36"/>
    <w:rsid w:val="00AE3EAB"/>
    <w:rsid w:val="00AE402D"/>
    <w:rsid w:val="00AE414E"/>
    <w:rsid w:val="00AE42EF"/>
    <w:rsid w:val="00AE4341"/>
    <w:rsid w:val="00AE4354"/>
    <w:rsid w:val="00AE4388"/>
    <w:rsid w:val="00AE4434"/>
    <w:rsid w:val="00AE4470"/>
    <w:rsid w:val="00AE46A5"/>
    <w:rsid w:val="00AE46D1"/>
    <w:rsid w:val="00AE4758"/>
    <w:rsid w:val="00AE4807"/>
    <w:rsid w:val="00AE483C"/>
    <w:rsid w:val="00AE49D1"/>
    <w:rsid w:val="00AE4AA8"/>
    <w:rsid w:val="00AE4AD4"/>
    <w:rsid w:val="00AE4BE8"/>
    <w:rsid w:val="00AE4BEA"/>
    <w:rsid w:val="00AE4D1D"/>
    <w:rsid w:val="00AE4D25"/>
    <w:rsid w:val="00AE4DCC"/>
    <w:rsid w:val="00AE4E47"/>
    <w:rsid w:val="00AE5015"/>
    <w:rsid w:val="00AE5068"/>
    <w:rsid w:val="00AE528A"/>
    <w:rsid w:val="00AE5309"/>
    <w:rsid w:val="00AE535E"/>
    <w:rsid w:val="00AE53A7"/>
    <w:rsid w:val="00AE53AF"/>
    <w:rsid w:val="00AE5443"/>
    <w:rsid w:val="00AE54C4"/>
    <w:rsid w:val="00AE5530"/>
    <w:rsid w:val="00AE57C2"/>
    <w:rsid w:val="00AE5841"/>
    <w:rsid w:val="00AE58C9"/>
    <w:rsid w:val="00AE59BA"/>
    <w:rsid w:val="00AE5A28"/>
    <w:rsid w:val="00AE5AF0"/>
    <w:rsid w:val="00AE5C1A"/>
    <w:rsid w:val="00AE5C64"/>
    <w:rsid w:val="00AE5D1C"/>
    <w:rsid w:val="00AE5DBC"/>
    <w:rsid w:val="00AE5E24"/>
    <w:rsid w:val="00AE5EDA"/>
    <w:rsid w:val="00AE5F0B"/>
    <w:rsid w:val="00AE5FAC"/>
    <w:rsid w:val="00AE5FBC"/>
    <w:rsid w:val="00AE6155"/>
    <w:rsid w:val="00AE6157"/>
    <w:rsid w:val="00AE61FE"/>
    <w:rsid w:val="00AE6277"/>
    <w:rsid w:val="00AE62B2"/>
    <w:rsid w:val="00AE62F1"/>
    <w:rsid w:val="00AE6519"/>
    <w:rsid w:val="00AE6520"/>
    <w:rsid w:val="00AE65FB"/>
    <w:rsid w:val="00AE664C"/>
    <w:rsid w:val="00AE6768"/>
    <w:rsid w:val="00AE6836"/>
    <w:rsid w:val="00AE6894"/>
    <w:rsid w:val="00AE68F1"/>
    <w:rsid w:val="00AE69DF"/>
    <w:rsid w:val="00AE69E0"/>
    <w:rsid w:val="00AE6B71"/>
    <w:rsid w:val="00AE6C6E"/>
    <w:rsid w:val="00AE6D05"/>
    <w:rsid w:val="00AE6DE9"/>
    <w:rsid w:val="00AE6E18"/>
    <w:rsid w:val="00AE6E82"/>
    <w:rsid w:val="00AE6ECC"/>
    <w:rsid w:val="00AE6F47"/>
    <w:rsid w:val="00AE707E"/>
    <w:rsid w:val="00AE7273"/>
    <w:rsid w:val="00AE732B"/>
    <w:rsid w:val="00AE7382"/>
    <w:rsid w:val="00AE73B2"/>
    <w:rsid w:val="00AE7423"/>
    <w:rsid w:val="00AE742C"/>
    <w:rsid w:val="00AE7457"/>
    <w:rsid w:val="00AE753C"/>
    <w:rsid w:val="00AE754F"/>
    <w:rsid w:val="00AE7636"/>
    <w:rsid w:val="00AE765B"/>
    <w:rsid w:val="00AE76C9"/>
    <w:rsid w:val="00AE7713"/>
    <w:rsid w:val="00AE7792"/>
    <w:rsid w:val="00AE7796"/>
    <w:rsid w:val="00AE77C4"/>
    <w:rsid w:val="00AE7836"/>
    <w:rsid w:val="00AE78A6"/>
    <w:rsid w:val="00AE78DF"/>
    <w:rsid w:val="00AE796B"/>
    <w:rsid w:val="00AE7980"/>
    <w:rsid w:val="00AE79DA"/>
    <w:rsid w:val="00AE7A8F"/>
    <w:rsid w:val="00AE7AE6"/>
    <w:rsid w:val="00AE7C4D"/>
    <w:rsid w:val="00AE7CBB"/>
    <w:rsid w:val="00AE7F8A"/>
    <w:rsid w:val="00AE7FFD"/>
    <w:rsid w:val="00AF000F"/>
    <w:rsid w:val="00AF0086"/>
    <w:rsid w:val="00AF00D7"/>
    <w:rsid w:val="00AF00DE"/>
    <w:rsid w:val="00AF00E1"/>
    <w:rsid w:val="00AF014E"/>
    <w:rsid w:val="00AF0185"/>
    <w:rsid w:val="00AF01BB"/>
    <w:rsid w:val="00AF022C"/>
    <w:rsid w:val="00AF0406"/>
    <w:rsid w:val="00AF05DD"/>
    <w:rsid w:val="00AF0621"/>
    <w:rsid w:val="00AF0631"/>
    <w:rsid w:val="00AF0649"/>
    <w:rsid w:val="00AF0698"/>
    <w:rsid w:val="00AF06D5"/>
    <w:rsid w:val="00AF0798"/>
    <w:rsid w:val="00AF08BF"/>
    <w:rsid w:val="00AF090A"/>
    <w:rsid w:val="00AF09FA"/>
    <w:rsid w:val="00AF0A15"/>
    <w:rsid w:val="00AF0B2B"/>
    <w:rsid w:val="00AF0B60"/>
    <w:rsid w:val="00AF0B6C"/>
    <w:rsid w:val="00AF0BFF"/>
    <w:rsid w:val="00AF0C4E"/>
    <w:rsid w:val="00AF0CC5"/>
    <w:rsid w:val="00AF0DE6"/>
    <w:rsid w:val="00AF0EF2"/>
    <w:rsid w:val="00AF0EFD"/>
    <w:rsid w:val="00AF101E"/>
    <w:rsid w:val="00AF10E1"/>
    <w:rsid w:val="00AF11B6"/>
    <w:rsid w:val="00AF11C7"/>
    <w:rsid w:val="00AF1271"/>
    <w:rsid w:val="00AF129B"/>
    <w:rsid w:val="00AF12DC"/>
    <w:rsid w:val="00AF1362"/>
    <w:rsid w:val="00AF14D5"/>
    <w:rsid w:val="00AF1778"/>
    <w:rsid w:val="00AF17D8"/>
    <w:rsid w:val="00AF1930"/>
    <w:rsid w:val="00AF1A7B"/>
    <w:rsid w:val="00AF1B3D"/>
    <w:rsid w:val="00AF1BCD"/>
    <w:rsid w:val="00AF1C61"/>
    <w:rsid w:val="00AF1C94"/>
    <w:rsid w:val="00AF1D32"/>
    <w:rsid w:val="00AF1D99"/>
    <w:rsid w:val="00AF1E8F"/>
    <w:rsid w:val="00AF1F92"/>
    <w:rsid w:val="00AF1FC2"/>
    <w:rsid w:val="00AF208D"/>
    <w:rsid w:val="00AF20AB"/>
    <w:rsid w:val="00AF21F3"/>
    <w:rsid w:val="00AF2344"/>
    <w:rsid w:val="00AF23DD"/>
    <w:rsid w:val="00AF2439"/>
    <w:rsid w:val="00AF2679"/>
    <w:rsid w:val="00AF273C"/>
    <w:rsid w:val="00AF2790"/>
    <w:rsid w:val="00AF2939"/>
    <w:rsid w:val="00AF2960"/>
    <w:rsid w:val="00AF29A9"/>
    <w:rsid w:val="00AF2A2D"/>
    <w:rsid w:val="00AF2A7A"/>
    <w:rsid w:val="00AF2A7B"/>
    <w:rsid w:val="00AF2ADB"/>
    <w:rsid w:val="00AF2B04"/>
    <w:rsid w:val="00AF2F05"/>
    <w:rsid w:val="00AF2FBA"/>
    <w:rsid w:val="00AF30A7"/>
    <w:rsid w:val="00AF30CF"/>
    <w:rsid w:val="00AF3115"/>
    <w:rsid w:val="00AF3126"/>
    <w:rsid w:val="00AF31E6"/>
    <w:rsid w:val="00AF31F1"/>
    <w:rsid w:val="00AF3349"/>
    <w:rsid w:val="00AF3378"/>
    <w:rsid w:val="00AF338D"/>
    <w:rsid w:val="00AF3443"/>
    <w:rsid w:val="00AF35A9"/>
    <w:rsid w:val="00AF35D1"/>
    <w:rsid w:val="00AF3667"/>
    <w:rsid w:val="00AF3671"/>
    <w:rsid w:val="00AF3760"/>
    <w:rsid w:val="00AF3846"/>
    <w:rsid w:val="00AF391A"/>
    <w:rsid w:val="00AF393E"/>
    <w:rsid w:val="00AF3973"/>
    <w:rsid w:val="00AF39A2"/>
    <w:rsid w:val="00AF3A49"/>
    <w:rsid w:val="00AF3ADF"/>
    <w:rsid w:val="00AF3AEA"/>
    <w:rsid w:val="00AF3B21"/>
    <w:rsid w:val="00AF3C0C"/>
    <w:rsid w:val="00AF3C43"/>
    <w:rsid w:val="00AF3CF1"/>
    <w:rsid w:val="00AF3D11"/>
    <w:rsid w:val="00AF3D74"/>
    <w:rsid w:val="00AF3D77"/>
    <w:rsid w:val="00AF3DD9"/>
    <w:rsid w:val="00AF3E55"/>
    <w:rsid w:val="00AF403E"/>
    <w:rsid w:val="00AF410D"/>
    <w:rsid w:val="00AF4403"/>
    <w:rsid w:val="00AF4501"/>
    <w:rsid w:val="00AF4508"/>
    <w:rsid w:val="00AF471A"/>
    <w:rsid w:val="00AF485B"/>
    <w:rsid w:val="00AF4A41"/>
    <w:rsid w:val="00AF4A7D"/>
    <w:rsid w:val="00AF4B73"/>
    <w:rsid w:val="00AF4CB6"/>
    <w:rsid w:val="00AF4CCC"/>
    <w:rsid w:val="00AF4DC5"/>
    <w:rsid w:val="00AF4DF3"/>
    <w:rsid w:val="00AF4DFA"/>
    <w:rsid w:val="00AF4EF4"/>
    <w:rsid w:val="00AF5104"/>
    <w:rsid w:val="00AF51BF"/>
    <w:rsid w:val="00AF51D6"/>
    <w:rsid w:val="00AF51E7"/>
    <w:rsid w:val="00AF5200"/>
    <w:rsid w:val="00AF522F"/>
    <w:rsid w:val="00AF5468"/>
    <w:rsid w:val="00AF5525"/>
    <w:rsid w:val="00AF5553"/>
    <w:rsid w:val="00AF55D1"/>
    <w:rsid w:val="00AF5654"/>
    <w:rsid w:val="00AF5710"/>
    <w:rsid w:val="00AF5734"/>
    <w:rsid w:val="00AF57BE"/>
    <w:rsid w:val="00AF5857"/>
    <w:rsid w:val="00AF58EC"/>
    <w:rsid w:val="00AF59F4"/>
    <w:rsid w:val="00AF5AA7"/>
    <w:rsid w:val="00AF5ACE"/>
    <w:rsid w:val="00AF5BC9"/>
    <w:rsid w:val="00AF5BCA"/>
    <w:rsid w:val="00AF5CD8"/>
    <w:rsid w:val="00AF5D45"/>
    <w:rsid w:val="00AF5E38"/>
    <w:rsid w:val="00AF5EE6"/>
    <w:rsid w:val="00AF616A"/>
    <w:rsid w:val="00AF6180"/>
    <w:rsid w:val="00AF6193"/>
    <w:rsid w:val="00AF6232"/>
    <w:rsid w:val="00AF628D"/>
    <w:rsid w:val="00AF6429"/>
    <w:rsid w:val="00AF642C"/>
    <w:rsid w:val="00AF6485"/>
    <w:rsid w:val="00AF649B"/>
    <w:rsid w:val="00AF6555"/>
    <w:rsid w:val="00AF65F0"/>
    <w:rsid w:val="00AF6614"/>
    <w:rsid w:val="00AF6680"/>
    <w:rsid w:val="00AF6702"/>
    <w:rsid w:val="00AF6709"/>
    <w:rsid w:val="00AF67F6"/>
    <w:rsid w:val="00AF6917"/>
    <w:rsid w:val="00AF6C77"/>
    <w:rsid w:val="00AF6CBF"/>
    <w:rsid w:val="00AF6D12"/>
    <w:rsid w:val="00AF6D20"/>
    <w:rsid w:val="00AF6D3D"/>
    <w:rsid w:val="00AF6D46"/>
    <w:rsid w:val="00AF6D53"/>
    <w:rsid w:val="00AF6D65"/>
    <w:rsid w:val="00AF6DEE"/>
    <w:rsid w:val="00AF6E1C"/>
    <w:rsid w:val="00AF6E73"/>
    <w:rsid w:val="00AF6E9A"/>
    <w:rsid w:val="00AF703E"/>
    <w:rsid w:val="00AF70B7"/>
    <w:rsid w:val="00AF710D"/>
    <w:rsid w:val="00AF7232"/>
    <w:rsid w:val="00AF72A6"/>
    <w:rsid w:val="00AF72C7"/>
    <w:rsid w:val="00AF73CB"/>
    <w:rsid w:val="00AF73EC"/>
    <w:rsid w:val="00AF7529"/>
    <w:rsid w:val="00AF7548"/>
    <w:rsid w:val="00AF7649"/>
    <w:rsid w:val="00AF76AB"/>
    <w:rsid w:val="00AF7798"/>
    <w:rsid w:val="00AF7876"/>
    <w:rsid w:val="00AF78F7"/>
    <w:rsid w:val="00AF7931"/>
    <w:rsid w:val="00AF79A3"/>
    <w:rsid w:val="00AF79C1"/>
    <w:rsid w:val="00AF79C6"/>
    <w:rsid w:val="00AF7A67"/>
    <w:rsid w:val="00AF7AB4"/>
    <w:rsid w:val="00AF7B65"/>
    <w:rsid w:val="00AF7B9F"/>
    <w:rsid w:val="00AF7BB9"/>
    <w:rsid w:val="00AF7C81"/>
    <w:rsid w:val="00AF7CDA"/>
    <w:rsid w:val="00AF7F15"/>
    <w:rsid w:val="00AF7F56"/>
    <w:rsid w:val="00AF7FCC"/>
    <w:rsid w:val="00B00001"/>
    <w:rsid w:val="00B0000C"/>
    <w:rsid w:val="00B00093"/>
    <w:rsid w:val="00B000B8"/>
    <w:rsid w:val="00B000E5"/>
    <w:rsid w:val="00B001E0"/>
    <w:rsid w:val="00B0027C"/>
    <w:rsid w:val="00B003A4"/>
    <w:rsid w:val="00B00480"/>
    <w:rsid w:val="00B004DD"/>
    <w:rsid w:val="00B00500"/>
    <w:rsid w:val="00B00515"/>
    <w:rsid w:val="00B006DA"/>
    <w:rsid w:val="00B00785"/>
    <w:rsid w:val="00B00839"/>
    <w:rsid w:val="00B008C4"/>
    <w:rsid w:val="00B009A7"/>
    <w:rsid w:val="00B00AA7"/>
    <w:rsid w:val="00B00B1F"/>
    <w:rsid w:val="00B00BE9"/>
    <w:rsid w:val="00B00D40"/>
    <w:rsid w:val="00B00D4E"/>
    <w:rsid w:val="00B00D6A"/>
    <w:rsid w:val="00B00DBB"/>
    <w:rsid w:val="00B00E46"/>
    <w:rsid w:val="00B00E7B"/>
    <w:rsid w:val="00B01013"/>
    <w:rsid w:val="00B01037"/>
    <w:rsid w:val="00B0116D"/>
    <w:rsid w:val="00B0117B"/>
    <w:rsid w:val="00B01224"/>
    <w:rsid w:val="00B01257"/>
    <w:rsid w:val="00B013AE"/>
    <w:rsid w:val="00B015EA"/>
    <w:rsid w:val="00B0165D"/>
    <w:rsid w:val="00B018A4"/>
    <w:rsid w:val="00B0194C"/>
    <w:rsid w:val="00B019E0"/>
    <w:rsid w:val="00B01A6B"/>
    <w:rsid w:val="00B01A92"/>
    <w:rsid w:val="00B01BD4"/>
    <w:rsid w:val="00B01BE3"/>
    <w:rsid w:val="00B01C44"/>
    <w:rsid w:val="00B01CBF"/>
    <w:rsid w:val="00B01DBA"/>
    <w:rsid w:val="00B01DBC"/>
    <w:rsid w:val="00B01F2B"/>
    <w:rsid w:val="00B01FB7"/>
    <w:rsid w:val="00B020A1"/>
    <w:rsid w:val="00B02151"/>
    <w:rsid w:val="00B02257"/>
    <w:rsid w:val="00B0225A"/>
    <w:rsid w:val="00B023D1"/>
    <w:rsid w:val="00B024A4"/>
    <w:rsid w:val="00B02548"/>
    <w:rsid w:val="00B0256B"/>
    <w:rsid w:val="00B02577"/>
    <w:rsid w:val="00B025B3"/>
    <w:rsid w:val="00B025F0"/>
    <w:rsid w:val="00B0268C"/>
    <w:rsid w:val="00B026C0"/>
    <w:rsid w:val="00B026EF"/>
    <w:rsid w:val="00B0271B"/>
    <w:rsid w:val="00B02797"/>
    <w:rsid w:val="00B02824"/>
    <w:rsid w:val="00B028CE"/>
    <w:rsid w:val="00B02967"/>
    <w:rsid w:val="00B02B9E"/>
    <w:rsid w:val="00B02E94"/>
    <w:rsid w:val="00B02EA4"/>
    <w:rsid w:val="00B02EFB"/>
    <w:rsid w:val="00B03129"/>
    <w:rsid w:val="00B03165"/>
    <w:rsid w:val="00B031A4"/>
    <w:rsid w:val="00B03274"/>
    <w:rsid w:val="00B032D7"/>
    <w:rsid w:val="00B032EF"/>
    <w:rsid w:val="00B0333E"/>
    <w:rsid w:val="00B03471"/>
    <w:rsid w:val="00B03555"/>
    <w:rsid w:val="00B0358B"/>
    <w:rsid w:val="00B035C4"/>
    <w:rsid w:val="00B03797"/>
    <w:rsid w:val="00B03834"/>
    <w:rsid w:val="00B03875"/>
    <w:rsid w:val="00B03898"/>
    <w:rsid w:val="00B03904"/>
    <w:rsid w:val="00B0394C"/>
    <w:rsid w:val="00B03978"/>
    <w:rsid w:val="00B03979"/>
    <w:rsid w:val="00B03A30"/>
    <w:rsid w:val="00B03AF3"/>
    <w:rsid w:val="00B03BE2"/>
    <w:rsid w:val="00B03BE3"/>
    <w:rsid w:val="00B03CBB"/>
    <w:rsid w:val="00B03CC8"/>
    <w:rsid w:val="00B03CEE"/>
    <w:rsid w:val="00B03D2C"/>
    <w:rsid w:val="00B03D3D"/>
    <w:rsid w:val="00B03DD6"/>
    <w:rsid w:val="00B03DEE"/>
    <w:rsid w:val="00B03DF2"/>
    <w:rsid w:val="00B03E28"/>
    <w:rsid w:val="00B03F84"/>
    <w:rsid w:val="00B0400E"/>
    <w:rsid w:val="00B04081"/>
    <w:rsid w:val="00B04195"/>
    <w:rsid w:val="00B04210"/>
    <w:rsid w:val="00B04286"/>
    <w:rsid w:val="00B04346"/>
    <w:rsid w:val="00B04404"/>
    <w:rsid w:val="00B0448D"/>
    <w:rsid w:val="00B04491"/>
    <w:rsid w:val="00B044BC"/>
    <w:rsid w:val="00B044D2"/>
    <w:rsid w:val="00B04564"/>
    <w:rsid w:val="00B046E7"/>
    <w:rsid w:val="00B04745"/>
    <w:rsid w:val="00B04760"/>
    <w:rsid w:val="00B047FD"/>
    <w:rsid w:val="00B04955"/>
    <w:rsid w:val="00B04995"/>
    <w:rsid w:val="00B04A7B"/>
    <w:rsid w:val="00B04C8D"/>
    <w:rsid w:val="00B04D7F"/>
    <w:rsid w:val="00B04DFA"/>
    <w:rsid w:val="00B050FE"/>
    <w:rsid w:val="00B0510D"/>
    <w:rsid w:val="00B05135"/>
    <w:rsid w:val="00B05195"/>
    <w:rsid w:val="00B051DC"/>
    <w:rsid w:val="00B0522D"/>
    <w:rsid w:val="00B05251"/>
    <w:rsid w:val="00B05270"/>
    <w:rsid w:val="00B05274"/>
    <w:rsid w:val="00B052BD"/>
    <w:rsid w:val="00B05341"/>
    <w:rsid w:val="00B05347"/>
    <w:rsid w:val="00B05350"/>
    <w:rsid w:val="00B0538E"/>
    <w:rsid w:val="00B053C2"/>
    <w:rsid w:val="00B05433"/>
    <w:rsid w:val="00B05587"/>
    <w:rsid w:val="00B055E2"/>
    <w:rsid w:val="00B0567B"/>
    <w:rsid w:val="00B057F9"/>
    <w:rsid w:val="00B0586F"/>
    <w:rsid w:val="00B05930"/>
    <w:rsid w:val="00B059A4"/>
    <w:rsid w:val="00B059DA"/>
    <w:rsid w:val="00B05A2C"/>
    <w:rsid w:val="00B05AA7"/>
    <w:rsid w:val="00B05AAB"/>
    <w:rsid w:val="00B05AC8"/>
    <w:rsid w:val="00B05BBD"/>
    <w:rsid w:val="00B05C21"/>
    <w:rsid w:val="00B05D05"/>
    <w:rsid w:val="00B05D16"/>
    <w:rsid w:val="00B05DA3"/>
    <w:rsid w:val="00B05E2D"/>
    <w:rsid w:val="00B05ECA"/>
    <w:rsid w:val="00B05F89"/>
    <w:rsid w:val="00B05FF7"/>
    <w:rsid w:val="00B05FFC"/>
    <w:rsid w:val="00B0606A"/>
    <w:rsid w:val="00B0609B"/>
    <w:rsid w:val="00B0614B"/>
    <w:rsid w:val="00B06166"/>
    <w:rsid w:val="00B06240"/>
    <w:rsid w:val="00B06281"/>
    <w:rsid w:val="00B062B8"/>
    <w:rsid w:val="00B063B6"/>
    <w:rsid w:val="00B063F6"/>
    <w:rsid w:val="00B0647A"/>
    <w:rsid w:val="00B064B3"/>
    <w:rsid w:val="00B06644"/>
    <w:rsid w:val="00B06676"/>
    <w:rsid w:val="00B06724"/>
    <w:rsid w:val="00B06760"/>
    <w:rsid w:val="00B0694B"/>
    <w:rsid w:val="00B06A2A"/>
    <w:rsid w:val="00B06A30"/>
    <w:rsid w:val="00B06A6F"/>
    <w:rsid w:val="00B06ACE"/>
    <w:rsid w:val="00B06B55"/>
    <w:rsid w:val="00B06BFE"/>
    <w:rsid w:val="00B06C12"/>
    <w:rsid w:val="00B06C5D"/>
    <w:rsid w:val="00B06C7F"/>
    <w:rsid w:val="00B06D95"/>
    <w:rsid w:val="00B06DAB"/>
    <w:rsid w:val="00B06DB9"/>
    <w:rsid w:val="00B06E3D"/>
    <w:rsid w:val="00B06F39"/>
    <w:rsid w:val="00B0708A"/>
    <w:rsid w:val="00B070DE"/>
    <w:rsid w:val="00B070F6"/>
    <w:rsid w:val="00B07195"/>
    <w:rsid w:val="00B07375"/>
    <w:rsid w:val="00B07469"/>
    <w:rsid w:val="00B076A0"/>
    <w:rsid w:val="00B07713"/>
    <w:rsid w:val="00B07741"/>
    <w:rsid w:val="00B07769"/>
    <w:rsid w:val="00B077F3"/>
    <w:rsid w:val="00B07A4C"/>
    <w:rsid w:val="00B07A6F"/>
    <w:rsid w:val="00B07AC3"/>
    <w:rsid w:val="00B07ACD"/>
    <w:rsid w:val="00B07AF6"/>
    <w:rsid w:val="00B07B0E"/>
    <w:rsid w:val="00B07B21"/>
    <w:rsid w:val="00B07BC5"/>
    <w:rsid w:val="00B07C2A"/>
    <w:rsid w:val="00B07CCC"/>
    <w:rsid w:val="00B07D5B"/>
    <w:rsid w:val="00B07DA8"/>
    <w:rsid w:val="00B07F1A"/>
    <w:rsid w:val="00B07F63"/>
    <w:rsid w:val="00B07FD5"/>
    <w:rsid w:val="00B10044"/>
    <w:rsid w:val="00B10059"/>
    <w:rsid w:val="00B10135"/>
    <w:rsid w:val="00B10165"/>
    <w:rsid w:val="00B10189"/>
    <w:rsid w:val="00B10257"/>
    <w:rsid w:val="00B102DC"/>
    <w:rsid w:val="00B1034E"/>
    <w:rsid w:val="00B10350"/>
    <w:rsid w:val="00B10470"/>
    <w:rsid w:val="00B10528"/>
    <w:rsid w:val="00B105AF"/>
    <w:rsid w:val="00B1062C"/>
    <w:rsid w:val="00B10652"/>
    <w:rsid w:val="00B1067D"/>
    <w:rsid w:val="00B106D9"/>
    <w:rsid w:val="00B10705"/>
    <w:rsid w:val="00B108B7"/>
    <w:rsid w:val="00B108F5"/>
    <w:rsid w:val="00B108F9"/>
    <w:rsid w:val="00B109A1"/>
    <w:rsid w:val="00B109E4"/>
    <w:rsid w:val="00B10A7D"/>
    <w:rsid w:val="00B10B22"/>
    <w:rsid w:val="00B10B5A"/>
    <w:rsid w:val="00B10C81"/>
    <w:rsid w:val="00B10D4E"/>
    <w:rsid w:val="00B10DAF"/>
    <w:rsid w:val="00B10DF1"/>
    <w:rsid w:val="00B10F67"/>
    <w:rsid w:val="00B10FA8"/>
    <w:rsid w:val="00B10FE6"/>
    <w:rsid w:val="00B11012"/>
    <w:rsid w:val="00B11062"/>
    <w:rsid w:val="00B1107A"/>
    <w:rsid w:val="00B11104"/>
    <w:rsid w:val="00B1112A"/>
    <w:rsid w:val="00B11181"/>
    <w:rsid w:val="00B111C7"/>
    <w:rsid w:val="00B111FB"/>
    <w:rsid w:val="00B11267"/>
    <w:rsid w:val="00B11286"/>
    <w:rsid w:val="00B1129D"/>
    <w:rsid w:val="00B11332"/>
    <w:rsid w:val="00B11423"/>
    <w:rsid w:val="00B11453"/>
    <w:rsid w:val="00B1146E"/>
    <w:rsid w:val="00B1151E"/>
    <w:rsid w:val="00B11543"/>
    <w:rsid w:val="00B11545"/>
    <w:rsid w:val="00B11671"/>
    <w:rsid w:val="00B116CA"/>
    <w:rsid w:val="00B11713"/>
    <w:rsid w:val="00B1184F"/>
    <w:rsid w:val="00B11901"/>
    <w:rsid w:val="00B119B8"/>
    <w:rsid w:val="00B11AD3"/>
    <w:rsid w:val="00B11B9C"/>
    <w:rsid w:val="00B11EFA"/>
    <w:rsid w:val="00B12018"/>
    <w:rsid w:val="00B12051"/>
    <w:rsid w:val="00B12082"/>
    <w:rsid w:val="00B120B7"/>
    <w:rsid w:val="00B120D2"/>
    <w:rsid w:val="00B12174"/>
    <w:rsid w:val="00B12297"/>
    <w:rsid w:val="00B122AD"/>
    <w:rsid w:val="00B122C2"/>
    <w:rsid w:val="00B12491"/>
    <w:rsid w:val="00B1261A"/>
    <w:rsid w:val="00B12624"/>
    <w:rsid w:val="00B12691"/>
    <w:rsid w:val="00B127F7"/>
    <w:rsid w:val="00B12942"/>
    <w:rsid w:val="00B12969"/>
    <w:rsid w:val="00B12976"/>
    <w:rsid w:val="00B129C4"/>
    <w:rsid w:val="00B12B38"/>
    <w:rsid w:val="00B12C59"/>
    <w:rsid w:val="00B12CB7"/>
    <w:rsid w:val="00B12D43"/>
    <w:rsid w:val="00B12D4B"/>
    <w:rsid w:val="00B12DF0"/>
    <w:rsid w:val="00B12DF8"/>
    <w:rsid w:val="00B12E45"/>
    <w:rsid w:val="00B12E4E"/>
    <w:rsid w:val="00B12E84"/>
    <w:rsid w:val="00B1302B"/>
    <w:rsid w:val="00B1304F"/>
    <w:rsid w:val="00B1316B"/>
    <w:rsid w:val="00B13173"/>
    <w:rsid w:val="00B131A6"/>
    <w:rsid w:val="00B13224"/>
    <w:rsid w:val="00B13230"/>
    <w:rsid w:val="00B13233"/>
    <w:rsid w:val="00B13289"/>
    <w:rsid w:val="00B132FE"/>
    <w:rsid w:val="00B13367"/>
    <w:rsid w:val="00B133DA"/>
    <w:rsid w:val="00B1340F"/>
    <w:rsid w:val="00B13534"/>
    <w:rsid w:val="00B13537"/>
    <w:rsid w:val="00B1355F"/>
    <w:rsid w:val="00B135EC"/>
    <w:rsid w:val="00B13669"/>
    <w:rsid w:val="00B1373E"/>
    <w:rsid w:val="00B13942"/>
    <w:rsid w:val="00B13986"/>
    <w:rsid w:val="00B13A04"/>
    <w:rsid w:val="00B13A1E"/>
    <w:rsid w:val="00B13A41"/>
    <w:rsid w:val="00B13AA3"/>
    <w:rsid w:val="00B13CB2"/>
    <w:rsid w:val="00B13CBA"/>
    <w:rsid w:val="00B13CF4"/>
    <w:rsid w:val="00B13CF8"/>
    <w:rsid w:val="00B13D24"/>
    <w:rsid w:val="00B13D46"/>
    <w:rsid w:val="00B13E20"/>
    <w:rsid w:val="00B13E43"/>
    <w:rsid w:val="00B13E46"/>
    <w:rsid w:val="00B13FF0"/>
    <w:rsid w:val="00B141A4"/>
    <w:rsid w:val="00B141B6"/>
    <w:rsid w:val="00B14242"/>
    <w:rsid w:val="00B14337"/>
    <w:rsid w:val="00B143D1"/>
    <w:rsid w:val="00B143D3"/>
    <w:rsid w:val="00B14440"/>
    <w:rsid w:val="00B145B2"/>
    <w:rsid w:val="00B145DF"/>
    <w:rsid w:val="00B1469F"/>
    <w:rsid w:val="00B146E7"/>
    <w:rsid w:val="00B1479F"/>
    <w:rsid w:val="00B147E2"/>
    <w:rsid w:val="00B14829"/>
    <w:rsid w:val="00B1482C"/>
    <w:rsid w:val="00B14985"/>
    <w:rsid w:val="00B14A07"/>
    <w:rsid w:val="00B14ACC"/>
    <w:rsid w:val="00B14B7E"/>
    <w:rsid w:val="00B14BB0"/>
    <w:rsid w:val="00B14C47"/>
    <w:rsid w:val="00B14DA7"/>
    <w:rsid w:val="00B14E35"/>
    <w:rsid w:val="00B14E3C"/>
    <w:rsid w:val="00B14E8A"/>
    <w:rsid w:val="00B14F90"/>
    <w:rsid w:val="00B14FD4"/>
    <w:rsid w:val="00B150A0"/>
    <w:rsid w:val="00B151D3"/>
    <w:rsid w:val="00B151E4"/>
    <w:rsid w:val="00B15210"/>
    <w:rsid w:val="00B1525B"/>
    <w:rsid w:val="00B152ED"/>
    <w:rsid w:val="00B15382"/>
    <w:rsid w:val="00B15437"/>
    <w:rsid w:val="00B154E2"/>
    <w:rsid w:val="00B154EE"/>
    <w:rsid w:val="00B1558F"/>
    <w:rsid w:val="00B155E6"/>
    <w:rsid w:val="00B156F3"/>
    <w:rsid w:val="00B15742"/>
    <w:rsid w:val="00B15745"/>
    <w:rsid w:val="00B1582C"/>
    <w:rsid w:val="00B1590A"/>
    <w:rsid w:val="00B15910"/>
    <w:rsid w:val="00B15AAE"/>
    <w:rsid w:val="00B15BD1"/>
    <w:rsid w:val="00B15C1F"/>
    <w:rsid w:val="00B15CE0"/>
    <w:rsid w:val="00B15E0F"/>
    <w:rsid w:val="00B15E1A"/>
    <w:rsid w:val="00B15EA1"/>
    <w:rsid w:val="00B15ED6"/>
    <w:rsid w:val="00B15FF1"/>
    <w:rsid w:val="00B1605B"/>
    <w:rsid w:val="00B160B8"/>
    <w:rsid w:val="00B161C4"/>
    <w:rsid w:val="00B1622D"/>
    <w:rsid w:val="00B16232"/>
    <w:rsid w:val="00B16270"/>
    <w:rsid w:val="00B163E5"/>
    <w:rsid w:val="00B1641E"/>
    <w:rsid w:val="00B1641F"/>
    <w:rsid w:val="00B1651C"/>
    <w:rsid w:val="00B16542"/>
    <w:rsid w:val="00B1656B"/>
    <w:rsid w:val="00B16674"/>
    <w:rsid w:val="00B166E5"/>
    <w:rsid w:val="00B1673C"/>
    <w:rsid w:val="00B16752"/>
    <w:rsid w:val="00B1676E"/>
    <w:rsid w:val="00B167A4"/>
    <w:rsid w:val="00B167AA"/>
    <w:rsid w:val="00B167F8"/>
    <w:rsid w:val="00B1682A"/>
    <w:rsid w:val="00B16BFB"/>
    <w:rsid w:val="00B16C59"/>
    <w:rsid w:val="00B16D31"/>
    <w:rsid w:val="00B16E56"/>
    <w:rsid w:val="00B16F3E"/>
    <w:rsid w:val="00B16FBA"/>
    <w:rsid w:val="00B16FED"/>
    <w:rsid w:val="00B170B8"/>
    <w:rsid w:val="00B1710E"/>
    <w:rsid w:val="00B17124"/>
    <w:rsid w:val="00B17329"/>
    <w:rsid w:val="00B174E8"/>
    <w:rsid w:val="00B175D8"/>
    <w:rsid w:val="00B17865"/>
    <w:rsid w:val="00B1789E"/>
    <w:rsid w:val="00B17902"/>
    <w:rsid w:val="00B17A9A"/>
    <w:rsid w:val="00B17B36"/>
    <w:rsid w:val="00B17B73"/>
    <w:rsid w:val="00B17C05"/>
    <w:rsid w:val="00B17C6E"/>
    <w:rsid w:val="00B17C94"/>
    <w:rsid w:val="00B17CE7"/>
    <w:rsid w:val="00B17D33"/>
    <w:rsid w:val="00B17D96"/>
    <w:rsid w:val="00B17E63"/>
    <w:rsid w:val="00B17ED8"/>
    <w:rsid w:val="00B17F14"/>
    <w:rsid w:val="00B17F74"/>
    <w:rsid w:val="00B17FF9"/>
    <w:rsid w:val="00B20009"/>
    <w:rsid w:val="00B20052"/>
    <w:rsid w:val="00B2006B"/>
    <w:rsid w:val="00B20155"/>
    <w:rsid w:val="00B2015B"/>
    <w:rsid w:val="00B20319"/>
    <w:rsid w:val="00B203BB"/>
    <w:rsid w:val="00B203CD"/>
    <w:rsid w:val="00B20416"/>
    <w:rsid w:val="00B20434"/>
    <w:rsid w:val="00B2047F"/>
    <w:rsid w:val="00B2056A"/>
    <w:rsid w:val="00B205D7"/>
    <w:rsid w:val="00B20805"/>
    <w:rsid w:val="00B209A9"/>
    <w:rsid w:val="00B20AC6"/>
    <w:rsid w:val="00B20AEF"/>
    <w:rsid w:val="00B20AFB"/>
    <w:rsid w:val="00B20B45"/>
    <w:rsid w:val="00B20C79"/>
    <w:rsid w:val="00B20CD9"/>
    <w:rsid w:val="00B20DAE"/>
    <w:rsid w:val="00B20DEE"/>
    <w:rsid w:val="00B20E44"/>
    <w:rsid w:val="00B20F5F"/>
    <w:rsid w:val="00B20F85"/>
    <w:rsid w:val="00B20FAC"/>
    <w:rsid w:val="00B210DC"/>
    <w:rsid w:val="00B21102"/>
    <w:rsid w:val="00B21162"/>
    <w:rsid w:val="00B213FC"/>
    <w:rsid w:val="00B2161C"/>
    <w:rsid w:val="00B216F8"/>
    <w:rsid w:val="00B21700"/>
    <w:rsid w:val="00B217D2"/>
    <w:rsid w:val="00B2184C"/>
    <w:rsid w:val="00B219F8"/>
    <w:rsid w:val="00B21A26"/>
    <w:rsid w:val="00B21AB2"/>
    <w:rsid w:val="00B21B07"/>
    <w:rsid w:val="00B21B0D"/>
    <w:rsid w:val="00B21C6E"/>
    <w:rsid w:val="00B21C91"/>
    <w:rsid w:val="00B21D1F"/>
    <w:rsid w:val="00B21DCC"/>
    <w:rsid w:val="00B21DFF"/>
    <w:rsid w:val="00B21EDF"/>
    <w:rsid w:val="00B21F99"/>
    <w:rsid w:val="00B220C9"/>
    <w:rsid w:val="00B220CC"/>
    <w:rsid w:val="00B2219A"/>
    <w:rsid w:val="00B221C5"/>
    <w:rsid w:val="00B221E1"/>
    <w:rsid w:val="00B22200"/>
    <w:rsid w:val="00B22397"/>
    <w:rsid w:val="00B223C5"/>
    <w:rsid w:val="00B2254A"/>
    <w:rsid w:val="00B225B4"/>
    <w:rsid w:val="00B2284E"/>
    <w:rsid w:val="00B2286B"/>
    <w:rsid w:val="00B22877"/>
    <w:rsid w:val="00B22A14"/>
    <w:rsid w:val="00B22A38"/>
    <w:rsid w:val="00B22A70"/>
    <w:rsid w:val="00B22AD0"/>
    <w:rsid w:val="00B22B2E"/>
    <w:rsid w:val="00B22D15"/>
    <w:rsid w:val="00B22F27"/>
    <w:rsid w:val="00B23007"/>
    <w:rsid w:val="00B2312B"/>
    <w:rsid w:val="00B23264"/>
    <w:rsid w:val="00B23321"/>
    <w:rsid w:val="00B2343F"/>
    <w:rsid w:val="00B23710"/>
    <w:rsid w:val="00B2372C"/>
    <w:rsid w:val="00B23771"/>
    <w:rsid w:val="00B23790"/>
    <w:rsid w:val="00B23844"/>
    <w:rsid w:val="00B2385E"/>
    <w:rsid w:val="00B23882"/>
    <w:rsid w:val="00B23891"/>
    <w:rsid w:val="00B238E8"/>
    <w:rsid w:val="00B23958"/>
    <w:rsid w:val="00B239D5"/>
    <w:rsid w:val="00B23A50"/>
    <w:rsid w:val="00B23A6A"/>
    <w:rsid w:val="00B23A9C"/>
    <w:rsid w:val="00B23AC5"/>
    <w:rsid w:val="00B23AE7"/>
    <w:rsid w:val="00B23B73"/>
    <w:rsid w:val="00B23BA5"/>
    <w:rsid w:val="00B23BB0"/>
    <w:rsid w:val="00B23C19"/>
    <w:rsid w:val="00B23CE1"/>
    <w:rsid w:val="00B23CF9"/>
    <w:rsid w:val="00B23D37"/>
    <w:rsid w:val="00B23F06"/>
    <w:rsid w:val="00B24049"/>
    <w:rsid w:val="00B24065"/>
    <w:rsid w:val="00B240A5"/>
    <w:rsid w:val="00B24138"/>
    <w:rsid w:val="00B242CA"/>
    <w:rsid w:val="00B243FE"/>
    <w:rsid w:val="00B24434"/>
    <w:rsid w:val="00B244AE"/>
    <w:rsid w:val="00B244CE"/>
    <w:rsid w:val="00B24504"/>
    <w:rsid w:val="00B2462A"/>
    <w:rsid w:val="00B24664"/>
    <w:rsid w:val="00B246A6"/>
    <w:rsid w:val="00B24731"/>
    <w:rsid w:val="00B24750"/>
    <w:rsid w:val="00B24814"/>
    <w:rsid w:val="00B24954"/>
    <w:rsid w:val="00B249B8"/>
    <w:rsid w:val="00B249D3"/>
    <w:rsid w:val="00B24C64"/>
    <w:rsid w:val="00B24C7A"/>
    <w:rsid w:val="00B24D51"/>
    <w:rsid w:val="00B24F87"/>
    <w:rsid w:val="00B2518A"/>
    <w:rsid w:val="00B251F2"/>
    <w:rsid w:val="00B25225"/>
    <w:rsid w:val="00B252B1"/>
    <w:rsid w:val="00B252C6"/>
    <w:rsid w:val="00B25393"/>
    <w:rsid w:val="00B2548E"/>
    <w:rsid w:val="00B254AD"/>
    <w:rsid w:val="00B256CF"/>
    <w:rsid w:val="00B2572C"/>
    <w:rsid w:val="00B2574D"/>
    <w:rsid w:val="00B25772"/>
    <w:rsid w:val="00B258A6"/>
    <w:rsid w:val="00B2590B"/>
    <w:rsid w:val="00B25AFB"/>
    <w:rsid w:val="00B25B35"/>
    <w:rsid w:val="00B25C4A"/>
    <w:rsid w:val="00B25C9D"/>
    <w:rsid w:val="00B25D77"/>
    <w:rsid w:val="00B25DB6"/>
    <w:rsid w:val="00B25DFD"/>
    <w:rsid w:val="00B25E19"/>
    <w:rsid w:val="00B25F2B"/>
    <w:rsid w:val="00B25FC6"/>
    <w:rsid w:val="00B26127"/>
    <w:rsid w:val="00B26154"/>
    <w:rsid w:val="00B2616F"/>
    <w:rsid w:val="00B261FE"/>
    <w:rsid w:val="00B26283"/>
    <w:rsid w:val="00B26288"/>
    <w:rsid w:val="00B262FE"/>
    <w:rsid w:val="00B2635C"/>
    <w:rsid w:val="00B263E6"/>
    <w:rsid w:val="00B26431"/>
    <w:rsid w:val="00B264CB"/>
    <w:rsid w:val="00B26591"/>
    <w:rsid w:val="00B265CB"/>
    <w:rsid w:val="00B265F5"/>
    <w:rsid w:val="00B2664C"/>
    <w:rsid w:val="00B26805"/>
    <w:rsid w:val="00B2691A"/>
    <w:rsid w:val="00B269A2"/>
    <w:rsid w:val="00B269C5"/>
    <w:rsid w:val="00B269C7"/>
    <w:rsid w:val="00B26A49"/>
    <w:rsid w:val="00B26A88"/>
    <w:rsid w:val="00B26B36"/>
    <w:rsid w:val="00B26C14"/>
    <w:rsid w:val="00B26C8C"/>
    <w:rsid w:val="00B26CAE"/>
    <w:rsid w:val="00B26D34"/>
    <w:rsid w:val="00B26EB6"/>
    <w:rsid w:val="00B26F3C"/>
    <w:rsid w:val="00B26FF0"/>
    <w:rsid w:val="00B270E0"/>
    <w:rsid w:val="00B27332"/>
    <w:rsid w:val="00B27464"/>
    <w:rsid w:val="00B274B1"/>
    <w:rsid w:val="00B274ED"/>
    <w:rsid w:val="00B275EA"/>
    <w:rsid w:val="00B2769B"/>
    <w:rsid w:val="00B277D3"/>
    <w:rsid w:val="00B278E3"/>
    <w:rsid w:val="00B2797F"/>
    <w:rsid w:val="00B27991"/>
    <w:rsid w:val="00B279F5"/>
    <w:rsid w:val="00B27A12"/>
    <w:rsid w:val="00B27BDF"/>
    <w:rsid w:val="00B27C52"/>
    <w:rsid w:val="00B27C5B"/>
    <w:rsid w:val="00B27C68"/>
    <w:rsid w:val="00B27CD8"/>
    <w:rsid w:val="00B27CE8"/>
    <w:rsid w:val="00B27D69"/>
    <w:rsid w:val="00B27E9C"/>
    <w:rsid w:val="00B27F47"/>
    <w:rsid w:val="00B27F6F"/>
    <w:rsid w:val="00B30060"/>
    <w:rsid w:val="00B300BF"/>
    <w:rsid w:val="00B30119"/>
    <w:rsid w:val="00B30143"/>
    <w:rsid w:val="00B30225"/>
    <w:rsid w:val="00B30273"/>
    <w:rsid w:val="00B302FE"/>
    <w:rsid w:val="00B3033C"/>
    <w:rsid w:val="00B3035B"/>
    <w:rsid w:val="00B30380"/>
    <w:rsid w:val="00B3039D"/>
    <w:rsid w:val="00B303D2"/>
    <w:rsid w:val="00B30451"/>
    <w:rsid w:val="00B30489"/>
    <w:rsid w:val="00B3058D"/>
    <w:rsid w:val="00B306C8"/>
    <w:rsid w:val="00B30746"/>
    <w:rsid w:val="00B3078B"/>
    <w:rsid w:val="00B307DB"/>
    <w:rsid w:val="00B307E9"/>
    <w:rsid w:val="00B30803"/>
    <w:rsid w:val="00B3083F"/>
    <w:rsid w:val="00B30920"/>
    <w:rsid w:val="00B30963"/>
    <w:rsid w:val="00B309E3"/>
    <w:rsid w:val="00B30A99"/>
    <w:rsid w:val="00B30AD3"/>
    <w:rsid w:val="00B30B2E"/>
    <w:rsid w:val="00B30B92"/>
    <w:rsid w:val="00B30BC5"/>
    <w:rsid w:val="00B30BE0"/>
    <w:rsid w:val="00B30C42"/>
    <w:rsid w:val="00B30C48"/>
    <w:rsid w:val="00B30CB0"/>
    <w:rsid w:val="00B30CF1"/>
    <w:rsid w:val="00B30D85"/>
    <w:rsid w:val="00B30DD1"/>
    <w:rsid w:val="00B30E89"/>
    <w:rsid w:val="00B30F20"/>
    <w:rsid w:val="00B30F65"/>
    <w:rsid w:val="00B30F68"/>
    <w:rsid w:val="00B31041"/>
    <w:rsid w:val="00B310E9"/>
    <w:rsid w:val="00B311AE"/>
    <w:rsid w:val="00B3128F"/>
    <w:rsid w:val="00B312A1"/>
    <w:rsid w:val="00B312E6"/>
    <w:rsid w:val="00B31403"/>
    <w:rsid w:val="00B3149D"/>
    <w:rsid w:val="00B3158C"/>
    <w:rsid w:val="00B315EB"/>
    <w:rsid w:val="00B3179A"/>
    <w:rsid w:val="00B3188A"/>
    <w:rsid w:val="00B3192D"/>
    <w:rsid w:val="00B31AD1"/>
    <w:rsid w:val="00B31AEA"/>
    <w:rsid w:val="00B31B32"/>
    <w:rsid w:val="00B31B35"/>
    <w:rsid w:val="00B31BB1"/>
    <w:rsid w:val="00B31BD8"/>
    <w:rsid w:val="00B31D56"/>
    <w:rsid w:val="00B31D6A"/>
    <w:rsid w:val="00B31DA9"/>
    <w:rsid w:val="00B31DD1"/>
    <w:rsid w:val="00B31DE2"/>
    <w:rsid w:val="00B31DF9"/>
    <w:rsid w:val="00B31EBF"/>
    <w:rsid w:val="00B32041"/>
    <w:rsid w:val="00B3214A"/>
    <w:rsid w:val="00B3225C"/>
    <w:rsid w:val="00B322CD"/>
    <w:rsid w:val="00B3230E"/>
    <w:rsid w:val="00B32424"/>
    <w:rsid w:val="00B32426"/>
    <w:rsid w:val="00B324EB"/>
    <w:rsid w:val="00B325AB"/>
    <w:rsid w:val="00B325C8"/>
    <w:rsid w:val="00B326C5"/>
    <w:rsid w:val="00B326EA"/>
    <w:rsid w:val="00B32767"/>
    <w:rsid w:val="00B327AD"/>
    <w:rsid w:val="00B327CA"/>
    <w:rsid w:val="00B328D7"/>
    <w:rsid w:val="00B3294F"/>
    <w:rsid w:val="00B32A80"/>
    <w:rsid w:val="00B32B32"/>
    <w:rsid w:val="00B32B8D"/>
    <w:rsid w:val="00B32CE3"/>
    <w:rsid w:val="00B32CF8"/>
    <w:rsid w:val="00B32D68"/>
    <w:rsid w:val="00B32D8D"/>
    <w:rsid w:val="00B32D95"/>
    <w:rsid w:val="00B32E26"/>
    <w:rsid w:val="00B32F11"/>
    <w:rsid w:val="00B32FC2"/>
    <w:rsid w:val="00B3304D"/>
    <w:rsid w:val="00B33115"/>
    <w:rsid w:val="00B331DA"/>
    <w:rsid w:val="00B33206"/>
    <w:rsid w:val="00B3332A"/>
    <w:rsid w:val="00B3333C"/>
    <w:rsid w:val="00B33446"/>
    <w:rsid w:val="00B334A4"/>
    <w:rsid w:val="00B334B1"/>
    <w:rsid w:val="00B335C8"/>
    <w:rsid w:val="00B335FA"/>
    <w:rsid w:val="00B3362D"/>
    <w:rsid w:val="00B3365F"/>
    <w:rsid w:val="00B3368A"/>
    <w:rsid w:val="00B336B0"/>
    <w:rsid w:val="00B336B7"/>
    <w:rsid w:val="00B337AF"/>
    <w:rsid w:val="00B337F7"/>
    <w:rsid w:val="00B339F0"/>
    <w:rsid w:val="00B33A14"/>
    <w:rsid w:val="00B33B0D"/>
    <w:rsid w:val="00B33C50"/>
    <w:rsid w:val="00B33CB5"/>
    <w:rsid w:val="00B33DB5"/>
    <w:rsid w:val="00B33DD8"/>
    <w:rsid w:val="00B33EB7"/>
    <w:rsid w:val="00B33EC3"/>
    <w:rsid w:val="00B33F01"/>
    <w:rsid w:val="00B33F1D"/>
    <w:rsid w:val="00B33F5C"/>
    <w:rsid w:val="00B33FEA"/>
    <w:rsid w:val="00B340D2"/>
    <w:rsid w:val="00B34123"/>
    <w:rsid w:val="00B3415D"/>
    <w:rsid w:val="00B3421C"/>
    <w:rsid w:val="00B343F0"/>
    <w:rsid w:val="00B34423"/>
    <w:rsid w:val="00B34459"/>
    <w:rsid w:val="00B34527"/>
    <w:rsid w:val="00B345BE"/>
    <w:rsid w:val="00B34739"/>
    <w:rsid w:val="00B34876"/>
    <w:rsid w:val="00B34936"/>
    <w:rsid w:val="00B34939"/>
    <w:rsid w:val="00B34982"/>
    <w:rsid w:val="00B349EE"/>
    <w:rsid w:val="00B34A3D"/>
    <w:rsid w:val="00B34ACF"/>
    <w:rsid w:val="00B34B0C"/>
    <w:rsid w:val="00B34B7B"/>
    <w:rsid w:val="00B34BB3"/>
    <w:rsid w:val="00B34BB5"/>
    <w:rsid w:val="00B34BF4"/>
    <w:rsid w:val="00B34C5C"/>
    <w:rsid w:val="00B34C6C"/>
    <w:rsid w:val="00B34C85"/>
    <w:rsid w:val="00B34C9B"/>
    <w:rsid w:val="00B34D26"/>
    <w:rsid w:val="00B34D5A"/>
    <w:rsid w:val="00B34E11"/>
    <w:rsid w:val="00B34E63"/>
    <w:rsid w:val="00B34E6F"/>
    <w:rsid w:val="00B34ED6"/>
    <w:rsid w:val="00B34F59"/>
    <w:rsid w:val="00B34F76"/>
    <w:rsid w:val="00B350BD"/>
    <w:rsid w:val="00B350F7"/>
    <w:rsid w:val="00B351F6"/>
    <w:rsid w:val="00B35272"/>
    <w:rsid w:val="00B352B8"/>
    <w:rsid w:val="00B3530A"/>
    <w:rsid w:val="00B35341"/>
    <w:rsid w:val="00B35393"/>
    <w:rsid w:val="00B3539C"/>
    <w:rsid w:val="00B353A9"/>
    <w:rsid w:val="00B353DD"/>
    <w:rsid w:val="00B353FF"/>
    <w:rsid w:val="00B35438"/>
    <w:rsid w:val="00B35448"/>
    <w:rsid w:val="00B354DB"/>
    <w:rsid w:val="00B354E0"/>
    <w:rsid w:val="00B3557D"/>
    <w:rsid w:val="00B355C1"/>
    <w:rsid w:val="00B3567F"/>
    <w:rsid w:val="00B35816"/>
    <w:rsid w:val="00B3582E"/>
    <w:rsid w:val="00B3583B"/>
    <w:rsid w:val="00B35841"/>
    <w:rsid w:val="00B3585B"/>
    <w:rsid w:val="00B35962"/>
    <w:rsid w:val="00B35A85"/>
    <w:rsid w:val="00B35ADA"/>
    <w:rsid w:val="00B35B60"/>
    <w:rsid w:val="00B35B64"/>
    <w:rsid w:val="00B35B96"/>
    <w:rsid w:val="00B35BDA"/>
    <w:rsid w:val="00B35BF6"/>
    <w:rsid w:val="00B35C48"/>
    <w:rsid w:val="00B35DAD"/>
    <w:rsid w:val="00B35E03"/>
    <w:rsid w:val="00B35E84"/>
    <w:rsid w:val="00B35EA2"/>
    <w:rsid w:val="00B35EC6"/>
    <w:rsid w:val="00B35ED3"/>
    <w:rsid w:val="00B35EDF"/>
    <w:rsid w:val="00B35FAE"/>
    <w:rsid w:val="00B35FD4"/>
    <w:rsid w:val="00B35FF8"/>
    <w:rsid w:val="00B36032"/>
    <w:rsid w:val="00B36307"/>
    <w:rsid w:val="00B3635C"/>
    <w:rsid w:val="00B363E7"/>
    <w:rsid w:val="00B3644E"/>
    <w:rsid w:val="00B3644F"/>
    <w:rsid w:val="00B36450"/>
    <w:rsid w:val="00B366C9"/>
    <w:rsid w:val="00B36772"/>
    <w:rsid w:val="00B367C2"/>
    <w:rsid w:val="00B367E2"/>
    <w:rsid w:val="00B367F9"/>
    <w:rsid w:val="00B368BB"/>
    <w:rsid w:val="00B36928"/>
    <w:rsid w:val="00B3697A"/>
    <w:rsid w:val="00B369C6"/>
    <w:rsid w:val="00B36B3B"/>
    <w:rsid w:val="00B36B72"/>
    <w:rsid w:val="00B36BB5"/>
    <w:rsid w:val="00B36BB8"/>
    <w:rsid w:val="00B36C5E"/>
    <w:rsid w:val="00B36D58"/>
    <w:rsid w:val="00B36DD5"/>
    <w:rsid w:val="00B36E2D"/>
    <w:rsid w:val="00B36EBB"/>
    <w:rsid w:val="00B36EE0"/>
    <w:rsid w:val="00B36F5A"/>
    <w:rsid w:val="00B36FBE"/>
    <w:rsid w:val="00B3701C"/>
    <w:rsid w:val="00B3703A"/>
    <w:rsid w:val="00B370F0"/>
    <w:rsid w:val="00B371C4"/>
    <w:rsid w:val="00B372D8"/>
    <w:rsid w:val="00B37311"/>
    <w:rsid w:val="00B373B7"/>
    <w:rsid w:val="00B3743E"/>
    <w:rsid w:val="00B3744E"/>
    <w:rsid w:val="00B374C3"/>
    <w:rsid w:val="00B374C9"/>
    <w:rsid w:val="00B374D9"/>
    <w:rsid w:val="00B375DA"/>
    <w:rsid w:val="00B376C6"/>
    <w:rsid w:val="00B37935"/>
    <w:rsid w:val="00B37A8F"/>
    <w:rsid w:val="00B37ADE"/>
    <w:rsid w:val="00B37AE5"/>
    <w:rsid w:val="00B37C00"/>
    <w:rsid w:val="00B37C9C"/>
    <w:rsid w:val="00B37CFC"/>
    <w:rsid w:val="00B37E0A"/>
    <w:rsid w:val="00B37E13"/>
    <w:rsid w:val="00B37EED"/>
    <w:rsid w:val="00B37F4C"/>
    <w:rsid w:val="00B37F66"/>
    <w:rsid w:val="00B40014"/>
    <w:rsid w:val="00B401A1"/>
    <w:rsid w:val="00B401EB"/>
    <w:rsid w:val="00B4026D"/>
    <w:rsid w:val="00B403E9"/>
    <w:rsid w:val="00B4041A"/>
    <w:rsid w:val="00B40450"/>
    <w:rsid w:val="00B40465"/>
    <w:rsid w:val="00B4059B"/>
    <w:rsid w:val="00B4062F"/>
    <w:rsid w:val="00B406D1"/>
    <w:rsid w:val="00B406F4"/>
    <w:rsid w:val="00B40722"/>
    <w:rsid w:val="00B40738"/>
    <w:rsid w:val="00B4084A"/>
    <w:rsid w:val="00B4089C"/>
    <w:rsid w:val="00B408BA"/>
    <w:rsid w:val="00B40922"/>
    <w:rsid w:val="00B4093F"/>
    <w:rsid w:val="00B40974"/>
    <w:rsid w:val="00B409E7"/>
    <w:rsid w:val="00B40A56"/>
    <w:rsid w:val="00B40A6A"/>
    <w:rsid w:val="00B40BDC"/>
    <w:rsid w:val="00B40BFD"/>
    <w:rsid w:val="00B40C17"/>
    <w:rsid w:val="00B40C41"/>
    <w:rsid w:val="00B40C42"/>
    <w:rsid w:val="00B40CF2"/>
    <w:rsid w:val="00B40D27"/>
    <w:rsid w:val="00B40D79"/>
    <w:rsid w:val="00B40D88"/>
    <w:rsid w:val="00B40DE0"/>
    <w:rsid w:val="00B40FB4"/>
    <w:rsid w:val="00B40FC6"/>
    <w:rsid w:val="00B40FF3"/>
    <w:rsid w:val="00B410B3"/>
    <w:rsid w:val="00B41116"/>
    <w:rsid w:val="00B4114D"/>
    <w:rsid w:val="00B4117D"/>
    <w:rsid w:val="00B411A9"/>
    <w:rsid w:val="00B4133B"/>
    <w:rsid w:val="00B41362"/>
    <w:rsid w:val="00B4136C"/>
    <w:rsid w:val="00B414E6"/>
    <w:rsid w:val="00B41506"/>
    <w:rsid w:val="00B4151B"/>
    <w:rsid w:val="00B4154B"/>
    <w:rsid w:val="00B41580"/>
    <w:rsid w:val="00B415FD"/>
    <w:rsid w:val="00B41688"/>
    <w:rsid w:val="00B417EE"/>
    <w:rsid w:val="00B41851"/>
    <w:rsid w:val="00B4190D"/>
    <w:rsid w:val="00B4193F"/>
    <w:rsid w:val="00B4198E"/>
    <w:rsid w:val="00B41A03"/>
    <w:rsid w:val="00B41A89"/>
    <w:rsid w:val="00B41A9A"/>
    <w:rsid w:val="00B41BEB"/>
    <w:rsid w:val="00B41D3A"/>
    <w:rsid w:val="00B41E79"/>
    <w:rsid w:val="00B41EEE"/>
    <w:rsid w:val="00B41EFD"/>
    <w:rsid w:val="00B41F61"/>
    <w:rsid w:val="00B4201D"/>
    <w:rsid w:val="00B4202B"/>
    <w:rsid w:val="00B4203D"/>
    <w:rsid w:val="00B4219D"/>
    <w:rsid w:val="00B42200"/>
    <w:rsid w:val="00B42268"/>
    <w:rsid w:val="00B4226C"/>
    <w:rsid w:val="00B42323"/>
    <w:rsid w:val="00B42468"/>
    <w:rsid w:val="00B424F3"/>
    <w:rsid w:val="00B42630"/>
    <w:rsid w:val="00B42638"/>
    <w:rsid w:val="00B4265B"/>
    <w:rsid w:val="00B42731"/>
    <w:rsid w:val="00B42751"/>
    <w:rsid w:val="00B427AE"/>
    <w:rsid w:val="00B4287B"/>
    <w:rsid w:val="00B428A5"/>
    <w:rsid w:val="00B428EE"/>
    <w:rsid w:val="00B428F7"/>
    <w:rsid w:val="00B429DE"/>
    <w:rsid w:val="00B42AF8"/>
    <w:rsid w:val="00B42CDA"/>
    <w:rsid w:val="00B42D20"/>
    <w:rsid w:val="00B42D80"/>
    <w:rsid w:val="00B42FF0"/>
    <w:rsid w:val="00B4311B"/>
    <w:rsid w:val="00B4314C"/>
    <w:rsid w:val="00B43302"/>
    <w:rsid w:val="00B433F4"/>
    <w:rsid w:val="00B4344B"/>
    <w:rsid w:val="00B434E6"/>
    <w:rsid w:val="00B43544"/>
    <w:rsid w:val="00B435D2"/>
    <w:rsid w:val="00B43680"/>
    <w:rsid w:val="00B436E9"/>
    <w:rsid w:val="00B4370A"/>
    <w:rsid w:val="00B4371C"/>
    <w:rsid w:val="00B43725"/>
    <w:rsid w:val="00B437B4"/>
    <w:rsid w:val="00B43815"/>
    <w:rsid w:val="00B43837"/>
    <w:rsid w:val="00B438F4"/>
    <w:rsid w:val="00B43923"/>
    <w:rsid w:val="00B43CC3"/>
    <w:rsid w:val="00B43DF4"/>
    <w:rsid w:val="00B43ECC"/>
    <w:rsid w:val="00B440A1"/>
    <w:rsid w:val="00B441A8"/>
    <w:rsid w:val="00B44226"/>
    <w:rsid w:val="00B442F2"/>
    <w:rsid w:val="00B44302"/>
    <w:rsid w:val="00B44391"/>
    <w:rsid w:val="00B4439F"/>
    <w:rsid w:val="00B4459F"/>
    <w:rsid w:val="00B44627"/>
    <w:rsid w:val="00B4464D"/>
    <w:rsid w:val="00B4468F"/>
    <w:rsid w:val="00B446A3"/>
    <w:rsid w:val="00B44807"/>
    <w:rsid w:val="00B44981"/>
    <w:rsid w:val="00B4499B"/>
    <w:rsid w:val="00B44A22"/>
    <w:rsid w:val="00B44A7E"/>
    <w:rsid w:val="00B44AC3"/>
    <w:rsid w:val="00B44C2B"/>
    <w:rsid w:val="00B44D15"/>
    <w:rsid w:val="00B44DFE"/>
    <w:rsid w:val="00B44E5B"/>
    <w:rsid w:val="00B4508D"/>
    <w:rsid w:val="00B4516F"/>
    <w:rsid w:val="00B45332"/>
    <w:rsid w:val="00B453B3"/>
    <w:rsid w:val="00B4541B"/>
    <w:rsid w:val="00B454C0"/>
    <w:rsid w:val="00B454FA"/>
    <w:rsid w:val="00B454FD"/>
    <w:rsid w:val="00B455C7"/>
    <w:rsid w:val="00B4567E"/>
    <w:rsid w:val="00B4576E"/>
    <w:rsid w:val="00B458D4"/>
    <w:rsid w:val="00B458EC"/>
    <w:rsid w:val="00B45960"/>
    <w:rsid w:val="00B45B18"/>
    <w:rsid w:val="00B45C89"/>
    <w:rsid w:val="00B45D4F"/>
    <w:rsid w:val="00B45D97"/>
    <w:rsid w:val="00B45E34"/>
    <w:rsid w:val="00B45E35"/>
    <w:rsid w:val="00B45EA1"/>
    <w:rsid w:val="00B45EDC"/>
    <w:rsid w:val="00B45F53"/>
    <w:rsid w:val="00B45F97"/>
    <w:rsid w:val="00B4605C"/>
    <w:rsid w:val="00B460B8"/>
    <w:rsid w:val="00B460F4"/>
    <w:rsid w:val="00B461B8"/>
    <w:rsid w:val="00B461D2"/>
    <w:rsid w:val="00B462A5"/>
    <w:rsid w:val="00B46318"/>
    <w:rsid w:val="00B46337"/>
    <w:rsid w:val="00B463ED"/>
    <w:rsid w:val="00B46442"/>
    <w:rsid w:val="00B464EF"/>
    <w:rsid w:val="00B464FE"/>
    <w:rsid w:val="00B46516"/>
    <w:rsid w:val="00B465F4"/>
    <w:rsid w:val="00B465F7"/>
    <w:rsid w:val="00B4660A"/>
    <w:rsid w:val="00B46655"/>
    <w:rsid w:val="00B4666E"/>
    <w:rsid w:val="00B466F3"/>
    <w:rsid w:val="00B46730"/>
    <w:rsid w:val="00B468AF"/>
    <w:rsid w:val="00B468D3"/>
    <w:rsid w:val="00B469F5"/>
    <w:rsid w:val="00B469FB"/>
    <w:rsid w:val="00B46A73"/>
    <w:rsid w:val="00B46B12"/>
    <w:rsid w:val="00B46B1B"/>
    <w:rsid w:val="00B46B52"/>
    <w:rsid w:val="00B46B8D"/>
    <w:rsid w:val="00B46B90"/>
    <w:rsid w:val="00B46C25"/>
    <w:rsid w:val="00B46C6C"/>
    <w:rsid w:val="00B46C6D"/>
    <w:rsid w:val="00B46E2D"/>
    <w:rsid w:val="00B46EFE"/>
    <w:rsid w:val="00B46F0B"/>
    <w:rsid w:val="00B470B8"/>
    <w:rsid w:val="00B470D7"/>
    <w:rsid w:val="00B47129"/>
    <w:rsid w:val="00B47143"/>
    <w:rsid w:val="00B47178"/>
    <w:rsid w:val="00B47242"/>
    <w:rsid w:val="00B4724A"/>
    <w:rsid w:val="00B4724E"/>
    <w:rsid w:val="00B47357"/>
    <w:rsid w:val="00B47364"/>
    <w:rsid w:val="00B473D9"/>
    <w:rsid w:val="00B47526"/>
    <w:rsid w:val="00B47584"/>
    <w:rsid w:val="00B475D5"/>
    <w:rsid w:val="00B47677"/>
    <w:rsid w:val="00B476FB"/>
    <w:rsid w:val="00B477C0"/>
    <w:rsid w:val="00B47807"/>
    <w:rsid w:val="00B479C4"/>
    <w:rsid w:val="00B47A7E"/>
    <w:rsid w:val="00B47AC8"/>
    <w:rsid w:val="00B47AD9"/>
    <w:rsid w:val="00B47B06"/>
    <w:rsid w:val="00B47B8D"/>
    <w:rsid w:val="00B47D25"/>
    <w:rsid w:val="00B47D7E"/>
    <w:rsid w:val="00B47D81"/>
    <w:rsid w:val="00B47F5B"/>
    <w:rsid w:val="00B50013"/>
    <w:rsid w:val="00B50029"/>
    <w:rsid w:val="00B5008D"/>
    <w:rsid w:val="00B501D1"/>
    <w:rsid w:val="00B502B2"/>
    <w:rsid w:val="00B50350"/>
    <w:rsid w:val="00B5040F"/>
    <w:rsid w:val="00B50418"/>
    <w:rsid w:val="00B5060C"/>
    <w:rsid w:val="00B50667"/>
    <w:rsid w:val="00B507BA"/>
    <w:rsid w:val="00B50805"/>
    <w:rsid w:val="00B50837"/>
    <w:rsid w:val="00B5093C"/>
    <w:rsid w:val="00B50A44"/>
    <w:rsid w:val="00B50A60"/>
    <w:rsid w:val="00B50A80"/>
    <w:rsid w:val="00B50A82"/>
    <w:rsid w:val="00B50A92"/>
    <w:rsid w:val="00B50ACB"/>
    <w:rsid w:val="00B50B73"/>
    <w:rsid w:val="00B50B93"/>
    <w:rsid w:val="00B50CB8"/>
    <w:rsid w:val="00B50CE7"/>
    <w:rsid w:val="00B50E42"/>
    <w:rsid w:val="00B50E74"/>
    <w:rsid w:val="00B50EA2"/>
    <w:rsid w:val="00B50EF8"/>
    <w:rsid w:val="00B50F65"/>
    <w:rsid w:val="00B50F76"/>
    <w:rsid w:val="00B50F93"/>
    <w:rsid w:val="00B5100C"/>
    <w:rsid w:val="00B51084"/>
    <w:rsid w:val="00B510AE"/>
    <w:rsid w:val="00B510FA"/>
    <w:rsid w:val="00B511CD"/>
    <w:rsid w:val="00B511E1"/>
    <w:rsid w:val="00B51201"/>
    <w:rsid w:val="00B5121D"/>
    <w:rsid w:val="00B512D6"/>
    <w:rsid w:val="00B513CA"/>
    <w:rsid w:val="00B513CF"/>
    <w:rsid w:val="00B513F7"/>
    <w:rsid w:val="00B51411"/>
    <w:rsid w:val="00B5143C"/>
    <w:rsid w:val="00B51493"/>
    <w:rsid w:val="00B515C1"/>
    <w:rsid w:val="00B51613"/>
    <w:rsid w:val="00B5179F"/>
    <w:rsid w:val="00B5187B"/>
    <w:rsid w:val="00B518D9"/>
    <w:rsid w:val="00B519B9"/>
    <w:rsid w:val="00B51AE6"/>
    <w:rsid w:val="00B51B38"/>
    <w:rsid w:val="00B51C22"/>
    <w:rsid w:val="00B51C83"/>
    <w:rsid w:val="00B51C8F"/>
    <w:rsid w:val="00B51CFB"/>
    <w:rsid w:val="00B51D7F"/>
    <w:rsid w:val="00B51E97"/>
    <w:rsid w:val="00B51F11"/>
    <w:rsid w:val="00B51F32"/>
    <w:rsid w:val="00B520BD"/>
    <w:rsid w:val="00B521A5"/>
    <w:rsid w:val="00B52219"/>
    <w:rsid w:val="00B52254"/>
    <w:rsid w:val="00B522B0"/>
    <w:rsid w:val="00B5230B"/>
    <w:rsid w:val="00B52348"/>
    <w:rsid w:val="00B526EF"/>
    <w:rsid w:val="00B527DB"/>
    <w:rsid w:val="00B5285F"/>
    <w:rsid w:val="00B52918"/>
    <w:rsid w:val="00B5295B"/>
    <w:rsid w:val="00B52A03"/>
    <w:rsid w:val="00B52A14"/>
    <w:rsid w:val="00B52A78"/>
    <w:rsid w:val="00B52B13"/>
    <w:rsid w:val="00B52B1F"/>
    <w:rsid w:val="00B52B6A"/>
    <w:rsid w:val="00B52CB8"/>
    <w:rsid w:val="00B52D05"/>
    <w:rsid w:val="00B52E5E"/>
    <w:rsid w:val="00B52FC8"/>
    <w:rsid w:val="00B53095"/>
    <w:rsid w:val="00B531CC"/>
    <w:rsid w:val="00B5328F"/>
    <w:rsid w:val="00B532A4"/>
    <w:rsid w:val="00B5332D"/>
    <w:rsid w:val="00B5335F"/>
    <w:rsid w:val="00B53372"/>
    <w:rsid w:val="00B533D4"/>
    <w:rsid w:val="00B533FE"/>
    <w:rsid w:val="00B534C8"/>
    <w:rsid w:val="00B534F1"/>
    <w:rsid w:val="00B53598"/>
    <w:rsid w:val="00B535E0"/>
    <w:rsid w:val="00B536DC"/>
    <w:rsid w:val="00B537F3"/>
    <w:rsid w:val="00B5380C"/>
    <w:rsid w:val="00B53849"/>
    <w:rsid w:val="00B53907"/>
    <w:rsid w:val="00B53926"/>
    <w:rsid w:val="00B5395A"/>
    <w:rsid w:val="00B539E9"/>
    <w:rsid w:val="00B53BD5"/>
    <w:rsid w:val="00B53C0E"/>
    <w:rsid w:val="00B53C10"/>
    <w:rsid w:val="00B53CF4"/>
    <w:rsid w:val="00B53D84"/>
    <w:rsid w:val="00B53DA6"/>
    <w:rsid w:val="00B53DBC"/>
    <w:rsid w:val="00B53E09"/>
    <w:rsid w:val="00B53ED8"/>
    <w:rsid w:val="00B53FE8"/>
    <w:rsid w:val="00B53FF9"/>
    <w:rsid w:val="00B54021"/>
    <w:rsid w:val="00B5407C"/>
    <w:rsid w:val="00B540B8"/>
    <w:rsid w:val="00B540E8"/>
    <w:rsid w:val="00B5431A"/>
    <w:rsid w:val="00B54563"/>
    <w:rsid w:val="00B545EF"/>
    <w:rsid w:val="00B546C6"/>
    <w:rsid w:val="00B548D1"/>
    <w:rsid w:val="00B54918"/>
    <w:rsid w:val="00B54985"/>
    <w:rsid w:val="00B549A2"/>
    <w:rsid w:val="00B549AB"/>
    <w:rsid w:val="00B54AD4"/>
    <w:rsid w:val="00B54B70"/>
    <w:rsid w:val="00B54BBA"/>
    <w:rsid w:val="00B54BC5"/>
    <w:rsid w:val="00B54C89"/>
    <w:rsid w:val="00B54DED"/>
    <w:rsid w:val="00B54E17"/>
    <w:rsid w:val="00B54E70"/>
    <w:rsid w:val="00B54E86"/>
    <w:rsid w:val="00B54EBF"/>
    <w:rsid w:val="00B54F2E"/>
    <w:rsid w:val="00B5502F"/>
    <w:rsid w:val="00B55045"/>
    <w:rsid w:val="00B5504F"/>
    <w:rsid w:val="00B55060"/>
    <w:rsid w:val="00B550F4"/>
    <w:rsid w:val="00B550F7"/>
    <w:rsid w:val="00B5514B"/>
    <w:rsid w:val="00B55158"/>
    <w:rsid w:val="00B5516A"/>
    <w:rsid w:val="00B55212"/>
    <w:rsid w:val="00B55242"/>
    <w:rsid w:val="00B55428"/>
    <w:rsid w:val="00B5552A"/>
    <w:rsid w:val="00B55588"/>
    <w:rsid w:val="00B555DD"/>
    <w:rsid w:val="00B55645"/>
    <w:rsid w:val="00B55673"/>
    <w:rsid w:val="00B5568F"/>
    <w:rsid w:val="00B55798"/>
    <w:rsid w:val="00B557E0"/>
    <w:rsid w:val="00B55845"/>
    <w:rsid w:val="00B5586B"/>
    <w:rsid w:val="00B55883"/>
    <w:rsid w:val="00B5596C"/>
    <w:rsid w:val="00B55990"/>
    <w:rsid w:val="00B55A0F"/>
    <w:rsid w:val="00B55AEE"/>
    <w:rsid w:val="00B55B0E"/>
    <w:rsid w:val="00B55BE5"/>
    <w:rsid w:val="00B55D11"/>
    <w:rsid w:val="00B55D43"/>
    <w:rsid w:val="00B55DF0"/>
    <w:rsid w:val="00B55E3C"/>
    <w:rsid w:val="00B55E8A"/>
    <w:rsid w:val="00B55F72"/>
    <w:rsid w:val="00B55FF8"/>
    <w:rsid w:val="00B560B4"/>
    <w:rsid w:val="00B561BB"/>
    <w:rsid w:val="00B561C3"/>
    <w:rsid w:val="00B5636E"/>
    <w:rsid w:val="00B56383"/>
    <w:rsid w:val="00B563B8"/>
    <w:rsid w:val="00B56512"/>
    <w:rsid w:val="00B5662A"/>
    <w:rsid w:val="00B5662E"/>
    <w:rsid w:val="00B56781"/>
    <w:rsid w:val="00B567A8"/>
    <w:rsid w:val="00B567C7"/>
    <w:rsid w:val="00B568E4"/>
    <w:rsid w:val="00B56966"/>
    <w:rsid w:val="00B56997"/>
    <w:rsid w:val="00B56A23"/>
    <w:rsid w:val="00B56A73"/>
    <w:rsid w:val="00B56AD3"/>
    <w:rsid w:val="00B56B87"/>
    <w:rsid w:val="00B56B93"/>
    <w:rsid w:val="00B56BDD"/>
    <w:rsid w:val="00B56C4C"/>
    <w:rsid w:val="00B56C87"/>
    <w:rsid w:val="00B56C99"/>
    <w:rsid w:val="00B56C9D"/>
    <w:rsid w:val="00B56CBF"/>
    <w:rsid w:val="00B56CE7"/>
    <w:rsid w:val="00B56D9A"/>
    <w:rsid w:val="00B56DD2"/>
    <w:rsid w:val="00B56E3D"/>
    <w:rsid w:val="00B56F95"/>
    <w:rsid w:val="00B57098"/>
    <w:rsid w:val="00B570D3"/>
    <w:rsid w:val="00B570DA"/>
    <w:rsid w:val="00B57124"/>
    <w:rsid w:val="00B57167"/>
    <w:rsid w:val="00B57206"/>
    <w:rsid w:val="00B57236"/>
    <w:rsid w:val="00B57287"/>
    <w:rsid w:val="00B572A6"/>
    <w:rsid w:val="00B572B5"/>
    <w:rsid w:val="00B57339"/>
    <w:rsid w:val="00B57488"/>
    <w:rsid w:val="00B5755F"/>
    <w:rsid w:val="00B575CB"/>
    <w:rsid w:val="00B57631"/>
    <w:rsid w:val="00B57686"/>
    <w:rsid w:val="00B5778D"/>
    <w:rsid w:val="00B577E1"/>
    <w:rsid w:val="00B57815"/>
    <w:rsid w:val="00B5783D"/>
    <w:rsid w:val="00B57912"/>
    <w:rsid w:val="00B57938"/>
    <w:rsid w:val="00B57A70"/>
    <w:rsid w:val="00B57B0A"/>
    <w:rsid w:val="00B57BCD"/>
    <w:rsid w:val="00B57CBB"/>
    <w:rsid w:val="00B57CF3"/>
    <w:rsid w:val="00B57CFA"/>
    <w:rsid w:val="00B57D6F"/>
    <w:rsid w:val="00B60047"/>
    <w:rsid w:val="00B60131"/>
    <w:rsid w:val="00B6016D"/>
    <w:rsid w:val="00B601CD"/>
    <w:rsid w:val="00B601D6"/>
    <w:rsid w:val="00B60241"/>
    <w:rsid w:val="00B602C1"/>
    <w:rsid w:val="00B60346"/>
    <w:rsid w:val="00B6037C"/>
    <w:rsid w:val="00B606FF"/>
    <w:rsid w:val="00B60765"/>
    <w:rsid w:val="00B607C3"/>
    <w:rsid w:val="00B608EB"/>
    <w:rsid w:val="00B608ED"/>
    <w:rsid w:val="00B6094B"/>
    <w:rsid w:val="00B609C2"/>
    <w:rsid w:val="00B60A5E"/>
    <w:rsid w:val="00B60A64"/>
    <w:rsid w:val="00B60AA3"/>
    <w:rsid w:val="00B60AD5"/>
    <w:rsid w:val="00B60B42"/>
    <w:rsid w:val="00B60B7F"/>
    <w:rsid w:val="00B60BEC"/>
    <w:rsid w:val="00B60CDA"/>
    <w:rsid w:val="00B60CFC"/>
    <w:rsid w:val="00B60D48"/>
    <w:rsid w:val="00B60E0B"/>
    <w:rsid w:val="00B60F44"/>
    <w:rsid w:val="00B61049"/>
    <w:rsid w:val="00B610BF"/>
    <w:rsid w:val="00B610CD"/>
    <w:rsid w:val="00B610DB"/>
    <w:rsid w:val="00B611A0"/>
    <w:rsid w:val="00B611AB"/>
    <w:rsid w:val="00B61231"/>
    <w:rsid w:val="00B61240"/>
    <w:rsid w:val="00B612A8"/>
    <w:rsid w:val="00B61362"/>
    <w:rsid w:val="00B6145F"/>
    <w:rsid w:val="00B61499"/>
    <w:rsid w:val="00B61569"/>
    <w:rsid w:val="00B6157B"/>
    <w:rsid w:val="00B615CC"/>
    <w:rsid w:val="00B61621"/>
    <w:rsid w:val="00B61672"/>
    <w:rsid w:val="00B61715"/>
    <w:rsid w:val="00B61725"/>
    <w:rsid w:val="00B61882"/>
    <w:rsid w:val="00B61920"/>
    <w:rsid w:val="00B619FC"/>
    <w:rsid w:val="00B61A10"/>
    <w:rsid w:val="00B61A43"/>
    <w:rsid w:val="00B61AE2"/>
    <w:rsid w:val="00B61B91"/>
    <w:rsid w:val="00B61BF7"/>
    <w:rsid w:val="00B61D4C"/>
    <w:rsid w:val="00B61DAA"/>
    <w:rsid w:val="00B61EB2"/>
    <w:rsid w:val="00B61F3C"/>
    <w:rsid w:val="00B6202B"/>
    <w:rsid w:val="00B62046"/>
    <w:rsid w:val="00B6209B"/>
    <w:rsid w:val="00B621DD"/>
    <w:rsid w:val="00B621FB"/>
    <w:rsid w:val="00B622AC"/>
    <w:rsid w:val="00B62383"/>
    <w:rsid w:val="00B6250B"/>
    <w:rsid w:val="00B62592"/>
    <w:rsid w:val="00B62716"/>
    <w:rsid w:val="00B628C2"/>
    <w:rsid w:val="00B62923"/>
    <w:rsid w:val="00B62B65"/>
    <w:rsid w:val="00B62BAA"/>
    <w:rsid w:val="00B62BE4"/>
    <w:rsid w:val="00B62C23"/>
    <w:rsid w:val="00B62CBB"/>
    <w:rsid w:val="00B62D07"/>
    <w:rsid w:val="00B62D4A"/>
    <w:rsid w:val="00B62D4C"/>
    <w:rsid w:val="00B62DF4"/>
    <w:rsid w:val="00B62E0C"/>
    <w:rsid w:val="00B62E9F"/>
    <w:rsid w:val="00B62F1C"/>
    <w:rsid w:val="00B63055"/>
    <w:rsid w:val="00B63090"/>
    <w:rsid w:val="00B630AD"/>
    <w:rsid w:val="00B63103"/>
    <w:rsid w:val="00B63137"/>
    <w:rsid w:val="00B6330D"/>
    <w:rsid w:val="00B633D3"/>
    <w:rsid w:val="00B63545"/>
    <w:rsid w:val="00B63561"/>
    <w:rsid w:val="00B635F5"/>
    <w:rsid w:val="00B6366D"/>
    <w:rsid w:val="00B63766"/>
    <w:rsid w:val="00B637C7"/>
    <w:rsid w:val="00B63833"/>
    <w:rsid w:val="00B63854"/>
    <w:rsid w:val="00B63A87"/>
    <w:rsid w:val="00B63A93"/>
    <w:rsid w:val="00B63BAF"/>
    <w:rsid w:val="00B63BFE"/>
    <w:rsid w:val="00B63D04"/>
    <w:rsid w:val="00B63D6F"/>
    <w:rsid w:val="00B63E2F"/>
    <w:rsid w:val="00B63EFB"/>
    <w:rsid w:val="00B63F89"/>
    <w:rsid w:val="00B64112"/>
    <w:rsid w:val="00B64203"/>
    <w:rsid w:val="00B6425B"/>
    <w:rsid w:val="00B64284"/>
    <w:rsid w:val="00B642D7"/>
    <w:rsid w:val="00B6436E"/>
    <w:rsid w:val="00B643F9"/>
    <w:rsid w:val="00B64480"/>
    <w:rsid w:val="00B644B5"/>
    <w:rsid w:val="00B644B6"/>
    <w:rsid w:val="00B644E4"/>
    <w:rsid w:val="00B64566"/>
    <w:rsid w:val="00B64587"/>
    <w:rsid w:val="00B64614"/>
    <w:rsid w:val="00B64668"/>
    <w:rsid w:val="00B64676"/>
    <w:rsid w:val="00B64689"/>
    <w:rsid w:val="00B64728"/>
    <w:rsid w:val="00B647A7"/>
    <w:rsid w:val="00B64833"/>
    <w:rsid w:val="00B64A77"/>
    <w:rsid w:val="00B64B18"/>
    <w:rsid w:val="00B64C62"/>
    <w:rsid w:val="00B64DF1"/>
    <w:rsid w:val="00B64EB5"/>
    <w:rsid w:val="00B64EE4"/>
    <w:rsid w:val="00B64FAF"/>
    <w:rsid w:val="00B6504D"/>
    <w:rsid w:val="00B6508E"/>
    <w:rsid w:val="00B65114"/>
    <w:rsid w:val="00B6519D"/>
    <w:rsid w:val="00B65217"/>
    <w:rsid w:val="00B65306"/>
    <w:rsid w:val="00B65347"/>
    <w:rsid w:val="00B653A3"/>
    <w:rsid w:val="00B653D3"/>
    <w:rsid w:val="00B6546D"/>
    <w:rsid w:val="00B65498"/>
    <w:rsid w:val="00B65612"/>
    <w:rsid w:val="00B65614"/>
    <w:rsid w:val="00B6562E"/>
    <w:rsid w:val="00B656D9"/>
    <w:rsid w:val="00B65833"/>
    <w:rsid w:val="00B65884"/>
    <w:rsid w:val="00B6588C"/>
    <w:rsid w:val="00B659C6"/>
    <w:rsid w:val="00B65ACD"/>
    <w:rsid w:val="00B65B16"/>
    <w:rsid w:val="00B65C3A"/>
    <w:rsid w:val="00B65C78"/>
    <w:rsid w:val="00B65C90"/>
    <w:rsid w:val="00B65C98"/>
    <w:rsid w:val="00B65D24"/>
    <w:rsid w:val="00B65D95"/>
    <w:rsid w:val="00B65DA0"/>
    <w:rsid w:val="00B65DAD"/>
    <w:rsid w:val="00B65DE1"/>
    <w:rsid w:val="00B65E2B"/>
    <w:rsid w:val="00B65EB5"/>
    <w:rsid w:val="00B65EC7"/>
    <w:rsid w:val="00B65FEB"/>
    <w:rsid w:val="00B66027"/>
    <w:rsid w:val="00B66029"/>
    <w:rsid w:val="00B66031"/>
    <w:rsid w:val="00B66077"/>
    <w:rsid w:val="00B66161"/>
    <w:rsid w:val="00B6617E"/>
    <w:rsid w:val="00B66305"/>
    <w:rsid w:val="00B663F0"/>
    <w:rsid w:val="00B664ED"/>
    <w:rsid w:val="00B66532"/>
    <w:rsid w:val="00B6656F"/>
    <w:rsid w:val="00B66590"/>
    <w:rsid w:val="00B665A6"/>
    <w:rsid w:val="00B665DD"/>
    <w:rsid w:val="00B666B1"/>
    <w:rsid w:val="00B66733"/>
    <w:rsid w:val="00B667E6"/>
    <w:rsid w:val="00B6686F"/>
    <w:rsid w:val="00B669FF"/>
    <w:rsid w:val="00B66A19"/>
    <w:rsid w:val="00B66B75"/>
    <w:rsid w:val="00B66C32"/>
    <w:rsid w:val="00B66CB7"/>
    <w:rsid w:val="00B66CCB"/>
    <w:rsid w:val="00B66D54"/>
    <w:rsid w:val="00B66E3C"/>
    <w:rsid w:val="00B6702B"/>
    <w:rsid w:val="00B670C2"/>
    <w:rsid w:val="00B670DC"/>
    <w:rsid w:val="00B67239"/>
    <w:rsid w:val="00B6729E"/>
    <w:rsid w:val="00B672BA"/>
    <w:rsid w:val="00B672D4"/>
    <w:rsid w:val="00B672F5"/>
    <w:rsid w:val="00B6730E"/>
    <w:rsid w:val="00B6731A"/>
    <w:rsid w:val="00B6735E"/>
    <w:rsid w:val="00B67486"/>
    <w:rsid w:val="00B67539"/>
    <w:rsid w:val="00B675A3"/>
    <w:rsid w:val="00B676F9"/>
    <w:rsid w:val="00B67725"/>
    <w:rsid w:val="00B678B4"/>
    <w:rsid w:val="00B679E0"/>
    <w:rsid w:val="00B679F3"/>
    <w:rsid w:val="00B67A2D"/>
    <w:rsid w:val="00B67A6E"/>
    <w:rsid w:val="00B67A8C"/>
    <w:rsid w:val="00B67BE3"/>
    <w:rsid w:val="00B67C82"/>
    <w:rsid w:val="00B67CE0"/>
    <w:rsid w:val="00B67D81"/>
    <w:rsid w:val="00B67DAE"/>
    <w:rsid w:val="00B67F5D"/>
    <w:rsid w:val="00B67F67"/>
    <w:rsid w:val="00B67FA1"/>
    <w:rsid w:val="00B701AA"/>
    <w:rsid w:val="00B703AD"/>
    <w:rsid w:val="00B70540"/>
    <w:rsid w:val="00B706A9"/>
    <w:rsid w:val="00B706B8"/>
    <w:rsid w:val="00B7072A"/>
    <w:rsid w:val="00B708F7"/>
    <w:rsid w:val="00B709E8"/>
    <w:rsid w:val="00B70A06"/>
    <w:rsid w:val="00B70A2B"/>
    <w:rsid w:val="00B70A3F"/>
    <w:rsid w:val="00B70B34"/>
    <w:rsid w:val="00B70CA9"/>
    <w:rsid w:val="00B70D53"/>
    <w:rsid w:val="00B70E5A"/>
    <w:rsid w:val="00B70EAA"/>
    <w:rsid w:val="00B70F09"/>
    <w:rsid w:val="00B70FA3"/>
    <w:rsid w:val="00B7105C"/>
    <w:rsid w:val="00B7106D"/>
    <w:rsid w:val="00B71088"/>
    <w:rsid w:val="00B710AA"/>
    <w:rsid w:val="00B710ED"/>
    <w:rsid w:val="00B710FF"/>
    <w:rsid w:val="00B7127A"/>
    <w:rsid w:val="00B71335"/>
    <w:rsid w:val="00B716E9"/>
    <w:rsid w:val="00B7172B"/>
    <w:rsid w:val="00B71811"/>
    <w:rsid w:val="00B71A78"/>
    <w:rsid w:val="00B71A96"/>
    <w:rsid w:val="00B71AC0"/>
    <w:rsid w:val="00B71B73"/>
    <w:rsid w:val="00B71B8A"/>
    <w:rsid w:val="00B71C2F"/>
    <w:rsid w:val="00B71C8C"/>
    <w:rsid w:val="00B71CE8"/>
    <w:rsid w:val="00B71DC2"/>
    <w:rsid w:val="00B71F06"/>
    <w:rsid w:val="00B71F99"/>
    <w:rsid w:val="00B72043"/>
    <w:rsid w:val="00B72082"/>
    <w:rsid w:val="00B720AC"/>
    <w:rsid w:val="00B720C1"/>
    <w:rsid w:val="00B7211F"/>
    <w:rsid w:val="00B72152"/>
    <w:rsid w:val="00B72187"/>
    <w:rsid w:val="00B721F8"/>
    <w:rsid w:val="00B72236"/>
    <w:rsid w:val="00B72291"/>
    <w:rsid w:val="00B72317"/>
    <w:rsid w:val="00B7261E"/>
    <w:rsid w:val="00B726F2"/>
    <w:rsid w:val="00B728D0"/>
    <w:rsid w:val="00B7299B"/>
    <w:rsid w:val="00B72A05"/>
    <w:rsid w:val="00B72A28"/>
    <w:rsid w:val="00B72A9D"/>
    <w:rsid w:val="00B72AA5"/>
    <w:rsid w:val="00B72AFC"/>
    <w:rsid w:val="00B72B2B"/>
    <w:rsid w:val="00B72BD4"/>
    <w:rsid w:val="00B72C54"/>
    <w:rsid w:val="00B72CA9"/>
    <w:rsid w:val="00B72CE5"/>
    <w:rsid w:val="00B72D17"/>
    <w:rsid w:val="00B72D2F"/>
    <w:rsid w:val="00B72D65"/>
    <w:rsid w:val="00B72E17"/>
    <w:rsid w:val="00B72E5E"/>
    <w:rsid w:val="00B72F5E"/>
    <w:rsid w:val="00B72FD8"/>
    <w:rsid w:val="00B7300B"/>
    <w:rsid w:val="00B730DB"/>
    <w:rsid w:val="00B7311F"/>
    <w:rsid w:val="00B731B9"/>
    <w:rsid w:val="00B7334E"/>
    <w:rsid w:val="00B73462"/>
    <w:rsid w:val="00B7349D"/>
    <w:rsid w:val="00B734A8"/>
    <w:rsid w:val="00B73601"/>
    <w:rsid w:val="00B7363C"/>
    <w:rsid w:val="00B736D9"/>
    <w:rsid w:val="00B7371C"/>
    <w:rsid w:val="00B737AA"/>
    <w:rsid w:val="00B737B5"/>
    <w:rsid w:val="00B737F6"/>
    <w:rsid w:val="00B7388A"/>
    <w:rsid w:val="00B738F6"/>
    <w:rsid w:val="00B739B8"/>
    <w:rsid w:val="00B739F2"/>
    <w:rsid w:val="00B73B86"/>
    <w:rsid w:val="00B73BA5"/>
    <w:rsid w:val="00B73BC9"/>
    <w:rsid w:val="00B73C54"/>
    <w:rsid w:val="00B73C5B"/>
    <w:rsid w:val="00B73CBD"/>
    <w:rsid w:val="00B73CF2"/>
    <w:rsid w:val="00B73D6E"/>
    <w:rsid w:val="00B73D89"/>
    <w:rsid w:val="00B73DB4"/>
    <w:rsid w:val="00B73DF4"/>
    <w:rsid w:val="00B73E41"/>
    <w:rsid w:val="00B73E4F"/>
    <w:rsid w:val="00B73F1F"/>
    <w:rsid w:val="00B73F81"/>
    <w:rsid w:val="00B73FBF"/>
    <w:rsid w:val="00B7408D"/>
    <w:rsid w:val="00B7409C"/>
    <w:rsid w:val="00B74121"/>
    <w:rsid w:val="00B74128"/>
    <w:rsid w:val="00B74365"/>
    <w:rsid w:val="00B74433"/>
    <w:rsid w:val="00B74479"/>
    <w:rsid w:val="00B74480"/>
    <w:rsid w:val="00B7461A"/>
    <w:rsid w:val="00B7464B"/>
    <w:rsid w:val="00B746B9"/>
    <w:rsid w:val="00B7474C"/>
    <w:rsid w:val="00B7475F"/>
    <w:rsid w:val="00B747C7"/>
    <w:rsid w:val="00B747E5"/>
    <w:rsid w:val="00B7492B"/>
    <w:rsid w:val="00B74959"/>
    <w:rsid w:val="00B749FE"/>
    <w:rsid w:val="00B74A4F"/>
    <w:rsid w:val="00B74A87"/>
    <w:rsid w:val="00B74AE7"/>
    <w:rsid w:val="00B74B46"/>
    <w:rsid w:val="00B74BCE"/>
    <w:rsid w:val="00B74C07"/>
    <w:rsid w:val="00B74C5F"/>
    <w:rsid w:val="00B74D8C"/>
    <w:rsid w:val="00B74ED7"/>
    <w:rsid w:val="00B74F1E"/>
    <w:rsid w:val="00B7501E"/>
    <w:rsid w:val="00B7509E"/>
    <w:rsid w:val="00B750A5"/>
    <w:rsid w:val="00B7519D"/>
    <w:rsid w:val="00B751D4"/>
    <w:rsid w:val="00B75283"/>
    <w:rsid w:val="00B7528A"/>
    <w:rsid w:val="00B752B1"/>
    <w:rsid w:val="00B753C0"/>
    <w:rsid w:val="00B7541C"/>
    <w:rsid w:val="00B754D6"/>
    <w:rsid w:val="00B75562"/>
    <w:rsid w:val="00B7557E"/>
    <w:rsid w:val="00B75675"/>
    <w:rsid w:val="00B7573F"/>
    <w:rsid w:val="00B75784"/>
    <w:rsid w:val="00B7587E"/>
    <w:rsid w:val="00B75A5C"/>
    <w:rsid w:val="00B75AA5"/>
    <w:rsid w:val="00B75ACD"/>
    <w:rsid w:val="00B75CB1"/>
    <w:rsid w:val="00B75D0B"/>
    <w:rsid w:val="00B75D76"/>
    <w:rsid w:val="00B75E47"/>
    <w:rsid w:val="00B75E86"/>
    <w:rsid w:val="00B75EE1"/>
    <w:rsid w:val="00B75F0B"/>
    <w:rsid w:val="00B75F39"/>
    <w:rsid w:val="00B75F6C"/>
    <w:rsid w:val="00B75FCE"/>
    <w:rsid w:val="00B760A0"/>
    <w:rsid w:val="00B7617A"/>
    <w:rsid w:val="00B76185"/>
    <w:rsid w:val="00B761DF"/>
    <w:rsid w:val="00B76236"/>
    <w:rsid w:val="00B7623A"/>
    <w:rsid w:val="00B762C6"/>
    <w:rsid w:val="00B762CC"/>
    <w:rsid w:val="00B76492"/>
    <w:rsid w:val="00B764B1"/>
    <w:rsid w:val="00B7658E"/>
    <w:rsid w:val="00B766A1"/>
    <w:rsid w:val="00B766CD"/>
    <w:rsid w:val="00B766ED"/>
    <w:rsid w:val="00B766F0"/>
    <w:rsid w:val="00B7673A"/>
    <w:rsid w:val="00B76740"/>
    <w:rsid w:val="00B767CF"/>
    <w:rsid w:val="00B768DD"/>
    <w:rsid w:val="00B76987"/>
    <w:rsid w:val="00B769A8"/>
    <w:rsid w:val="00B76A30"/>
    <w:rsid w:val="00B76AA7"/>
    <w:rsid w:val="00B76B80"/>
    <w:rsid w:val="00B76C24"/>
    <w:rsid w:val="00B76CCD"/>
    <w:rsid w:val="00B76D04"/>
    <w:rsid w:val="00B76DEA"/>
    <w:rsid w:val="00B76EEE"/>
    <w:rsid w:val="00B76F61"/>
    <w:rsid w:val="00B76F91"/>
    <w:rsid w:val="00B76FAD"/>
    <w:rsid w:val="00B7710B"/>
    <w:rsid w:val="00B77177"/>
    <w:rsid w:val="00B77193"/>
    <w:rsid w:val="00B771EF"/>
    <w:rsid w:val="00B77226"/>
    <w:rsid w:val="00B77321"/>
    <w:rsid w:val="00B773B6"/>
    <w:rsid w:val="00B773D4"/>
    <w:rsid w:val="00B773F3"/>
    <w:rsid w:val="00B7753B"/>
    <w:rsid w:val="00B77541"/>
    <w:rsid w:val="00B77560"/>
    <w:rsid w:val="00B7763E"/>
    <w:rsid w:val="00B77676"/>
    <w:rsid w:val="00B777A6"/>
    <w:rsid w:val="00B777BB"/>
    <w:rsid w:val="00B77812"/>
    <w:rsid w:val="00B77839"/>
    <w:rsid w:val="00B77866"/>
    <w:rsid w:val="00B7789C"/>
    <w:rsid w:val="00B778F6"/>
    <w:rsid w:val="00B77A65"/>
    <w:rsid w:val="00B77B74"/>
    <w:rsid w:val="00B77B9D"/>
    <w:rsid w:val="00B77C3C"/>
    <w:rsid w:val="00B77C86"/>
    <w:rsid w:val="00B77D2D"/>
    <w:rsid w:val="00B77DDA"/>
    <w:rsid w:val="00B77F11"/>
    <w:rsid w:val="00B77F43"/>
    <w:rsid w:val="00B77F6D"/>
    <w:rsid w:val="00B77FA6"/>
    <w:rsid w:val="00B77FB0"/>
    <w:rsid w:val="00B800A2"/>
    <w:rsid w:val="00B800E1"/>
    <w:rsid w:val="00B80124"/>
    <w:rsid w:val="00B805B1"/>
    <w:rsid w:val="00B805E8"/>
    <w:rsid w:val="00B80632"/>
    <w:rsid w:val="00B806B1"/>
    <w:rsid w:val="00B80790"/>
    <w:rsid w:val="00B808FF"/>
    <w:rsid w:val="00B80A80"/>
    <w:rsid w:val="00B80A8B"/>
    <w:rsid w:val="00B80AAE"/>
    <w:rsid w:val="00B80AC8"/>
    <w:rsid w:val="00B80B3B"/>
    <w:rsid w:val="00B80BC8"/>
    <w:rsid w:val="00B80CB2"/>
    <w:rsid w:val="00B80D78"/>
    <w:rsid w:val="00B80D9B"/>
    <w:rsid w:val="00B80E75"/>
    <w:rsid w:val="00B80F82"/>
    <w:rsid w:val="00B81010"/>
    <w:rsid w:val="00B8102A"/>
    <w:rsid w:val="00B810C5"/>
    <w:rsid w:val="00B81176"/>
    <w:rsid w:val="00B811D7"/>
    <w:rsid w:val="00B8123C"/>
    <w:rsid w:val="00B8123F"/>
    <w:rsid w:val="00B81443"/>
    <w:rsid w:val="00B814FA"/>
    <w:rsid w:val="00B81550"/>
    <w:rsid w:val="00B815B3"/>
    <w:rsid w:val="00B815C1"/>
    <w:rsid w:val="00B816A6"/>
    <w:rsid w:val="00B81724"/>
    <w:rsid w:val="00B8174A"/>
    <w:rsid w:val="00B81789"/>
    <w:rsid w:val="00B817AA"/>
    <w:rsid w:val="00B81899"/>
    <w:rsid w:val="00B8190C"/>
    <w:rsid w:val="00B81934"/>
    <w:rsid w:val="00B81A10"/>
    <w:rsid w:val="00B81A91"/>
    <w:rsid w:val="00B81C0B"/>
    <w:rsid w:val="00B81C31"/>
    <w:rsid w:val="00B81C66"/>
    <w:rsid w:val="00B81CA1"/>
    <w:rsid w:val="00B81CB4"/>
    <w:rsid w:val="00B81CE7"/>
    <w:rsid w:val="00B81E17"/>
    <w:rsid w:val="00B81F1B"/>
    <w:rsid w:val="00B820A2"/>
    <w:rsid w:val="00B821D5"/>
    <w:rsid w:val="00B82220"/>
    <w:rsid w:val="00B8223D"/>
    <w:rsid w:val="00B822BB"/>
    <w:rsid w:val="00B822F3"/>
    <w:rsid w:val="00B822F4"/>
    <w:rsid w:val="00B82319"/>
    <w:rsid w:val="00B8241F"/>
    <w:rsid w:val="00B82484"/>
    <w:rsid w:val="00B8248F"/>
    <w:rsid w:val="00B82493"/>
    <w:rsid w:val="00B82600"/>
    <w:rsid w:val="00B826BA"/>
    <w:rsid w:val="00B8278C"/>
    <w:rsid w:val="00B827A7"/>
    <w:rsid w:val="00B827E1"/>
    <w:rsid w:val="00B82832"/>
    <w:rsid w:val="00B8285E"/>
    <w:rsid w:val="00B82879"/>
    <w:rsid w:val="00B8287B"/>
    <w:rsid w:val="00B8297B"/>
    <w:rsid w:val="00B82BD5"/>
    <w:rsid w:val="00B82BFF"/>
    <w:rsid w:val="00B82C18"/>
    <w:rsid w:val="00B82D49"/>
    <w:rsid w:val="00B82D5D"/>
    <w:rsid w:val="00B82D68"/>
    <w:rsid w:val="00B82D7F"/>
    <w:rsid w:val="00B82DDD"/>
    <w:rsid w:val="00B82E6C"/>
    <w:rsid w:val="00B82FE4"/>
    <w:rsid w:val="00B83057"/>
    <w:rsid w:val="00B83227"/>
    <w:rsid w:val="00B83258"/>
    <w:rsid w:val="00B83291"/>
    <w:rsid w:val="00B83370"/>
    <w:rsid w:val="00B8341E"/>
    <w:rsid w:val="00B83492"/>
    <w:rsid w:val="00B83555"/>
    <w:rsid w:val="00B835C1"/>
    <w:rsid w:val="00B8381D"/>
    <w:rsid w:val="00B8385D"/>
    <w:rsid w:val="00B83898"/>
    <w:rsid w:val="00B8393B"/>
    <w:rsid w:val="00B8399E"/>
    <w:rsid w:val="00B83A50"/>
    <w:rsid w:val="00B83A64"/>
    <w:rsid w:val="00B83A99"/>
    <w:rsid w:val="00B83AC1"/>
    <w:rsid w:val="00B83B34"/>
    <w:rsid w:val="00B83BC2"/>
    <w:rsid w:val="00B83C14"/>
    <w:rsid w:val="00B83CDD"/>
    <w:rsid w:val="00B83D7F"/>
    <w:rsid w:val="00B83DCB"/>
    <w:rsid w:val="00B83DFA"/>
    <w:rsid w:val="00B83E54"/>
    <w:rsid w:val="00B83ECD"/>
    <w:rsid w:val="00B83ED7"/>
    <w:rsid w:val="00B83EFE"/>
    <w:rsid w:val="00B83FAB"/>
    <w:rsid w:val="00B83FDB"/>
    <w:rsid w:val="00B83FE5"/>
    <w:rsid w:val="00B8403F"/>
    <w:rsid w:val="00B840C4"/>
    <w:rsid w:val="00B8411D"/>
    <w:rsid w:val="00B84164"/>
    <w:rsid w:val="00B841CD"/>
    <w:rsid w:val="00B841F1"/>
    <w:rsid w:val="00B84330"/>
    <w:rsid w:val="00B8433C"/>
    <w:rsid w:val="00B84422"/>
    <w:rsid w:val="00B844CC"/>
    <w:rsid w:val="00B844F8"/>
    <w:rsid w:val="00B84546"/>
    <w:rsid w:val="00B845F2"/>
    <w:rsid w:val="00B8467F"/>
    <w:rsid w:val="00B847AA"/>
    <w:rsid w:val="00B847D8"/>
    <w:rsid w:val="00B8484B"/>
    <w:rsid w:val="00B848F1"/>
    <w:rsid w:val="00B84934"/>
    <w:rsid w:val="00B84AAD"/>
    <w:rsid w:val="00B84B0E"/>
    <w:rsid w:val="00B84B25"/>
    <w:rsid w:val="00B84C61"/>
    <w:rsid w:val="00B84D0B"/>
    <w:rsid w:val="00B84E59"/>
    <w:rsid w:val="00B850EE"/>
    <w:rsid w:val="00B8519B"/>
    <w:rsid w:val="00B851E9"/>
    <w:rsid w:val="00B8527A"/>
    <w:rsid w:val="00B85398"/>
    <w:rsid w:val="00B853F2"/>
    <w:rsid w:val="00B8545B"/>
    <w:rsid w:val="00B8554F"/>
    <w:rsid w:val="00B855E7"/>
    <w:rsid w:val="00B85619"/>
    <w:rsid w:val="00B856AF"/>
    <w:rsid w:val="00B856D7"/>
    <w:rsid w:val="00B85819"/>
    <w:rsid w:val="00B8581A"/>
    <w:rsid w:val="00B85827"/>
    <w:rsid w:val="00B85868"/>
    <w:rsid w:val="00B8594B"/>
    <w:rsid w:val="00B8595B"/>
    <w:rsid w:val="00B8596A"/>
    <w:rsid w:val="00B85A1C"/>
    <w:rsid w:val="00B85A20"/>
    <w:rsid w:val="00B85A3A"/>
    <w:rsid w:val="00B85B2C"/>
    <w:rsid w:val="00B85C74"/>
    <w:rsid w:val="00B85CA5"/>
    <w:rsid w:val="00B85CD0"/>
    <w:rsid w:val="00B85ECA"/>
    <w:rsid w:val="00B85ED1"/>
    <w:rsid w:val="00B85EE0"/>
    <w:rsid w:val="00B85F53"/>
    <w:rsid w:val="00B85FD2"/>
    <w:rsid w:val="00B860AA"/>
    <w:rsid w:val="00B861A6"/>
    <w:rsid w:val="00B8623F"/>
    <w:rsid w:val="00B86256"/>
    <w:rsid w:val="00B862E3"/>
    <w:rsid w:val="00B86457"/>
    <w:rsid w:val="00B86636"/>
    <w:rsid w:val="00B8664B"/>
    <w:rsid w:val="00B867FB"/>
    <w:rsid w:val="00B86885"/>
    <w:rsid w:val="00B86894"/>
    <w:rsid w:val="00B868E0"/>
    <w:rsid w:val="00B8690D"/>
    <w:rsid w:val="00B86924"/>
    <w:rsid w:val="00B869D5"/>
    <w:rsid w:val="00B86A72"/>
    <w:rsid w:val="00B86B2A"/>
    <w:rsid w:val="00B86B7C"/>
    <w:rsid w:val="00B86BF5"/>
    <w:rsid w:val="00B86C33"/>
    <w:rsid w:val="00B86C61"/>
    <w:rsid w:val="00B86CA5"/>
    <w:rsid w:val="00B86D3F"/>
    <w:rsid w:val="00B86E96"/>
    <w:rsid w:val="00B86F18"/>
    <w:rsid w:val="00B86F1F"/>
    <w:rsid w:val="00B86F5E"/>
    <w:rsid w:val="00B86FE8"/>
    <w:rsid w:val="00B870B7"/>
    <w:rsid w:val="00B87112"/>
    <w:rsid w:val="00B872DA"/>
    <w:rsid w:val="00B87346"/>
    <w:rsid w:val="00B8737B"/>
    <w:rsid w:val="00B874AA"/>
    <w:rsid w:val="00B8754C"/>
    <w:rsid w:val="00B875C9"/>
    <w:rsid w:val="00B875F4"/>
    <w:rsid w:val="00B875FA"/>
    <w:rsid w:val="00B87693"/>
    <w:rsid w:val="00B87790"/>
    <w:rsid w:val="00B877A6"/>
    <w:rsid w:val="00B877B2"/>
    <w:rsid w:val="00B877CE"/>
    <w:rsid w:val="00B87927"/>
    <w:rsid w:val="00B87988"/>
    <w:rsid w:val="00B879A4"/>
    <w:rsid w:val="00B879A9"/>
    <w:rsid w:val="00B879BB"/>
    <w:rsid w:val="00B879E0"/>
    <w:rsid w:val="00B879FC"/>
    <w:rsid w:val="00B87B19"/>
    <w:rsid w:val="00B87B74"/>
    <w:rsid w:val="00B87B82"/>
    <w:rsid w:val="00B87BF3"/>
    <w:rsid w:val="00B87C01"/>
    <w:rsid w:val="00B87C14"/>
    <w:rsid w:val="00B87C79"/>
    <w:rsid w:val="00B87DBA"/>
    <w:rsid w:val="00B87E08"/>
    <w:rsid w:val="00B87F18"/>
    <w:rsid w:val="00B87F6C"/>
    <w:rsid w:val="00B87F86"/>
    <w:rsid w:val="00B87FE8"/>
    <w:rsid w:val="00B90072"/>
    <w:rsid w:val="00B901A0"/>
    <w:rsid w:val="00B901B8"/>
    <w:rsid w:val="00B90221"/>
    <w:rsid w:val="00B90279"/>
    <w:rsid w:val="00B9031A"/>
    <w:rsid w:val="00B90343"/>
    <w:rsid w:val="00B9040C"/>
    <w:rsid w:val="00B90425"/>
    <w:rsid w:val="00B90449"/>
    <w:rsid w:val="00B90498"/>
    <w:rsid w:val="00B90585"/>
    <w:rsid w:val="00B90680"/>
    <w:rsid w:val="00B90738"/>
    <w:rsid w:val="00B9073B"/>
    <w:rsid w:val="00B907A9"/>
    <w:rsid w:val="00B90977"/>
    <w:rsid w:val="00B90A6B"/>
    <w:rsid w:val="00B90AC6"/>
    <w:rsid w:val="00B90B7B"/>
    <w:rsid w:val="00B90B9E"/>
    <w:rsid w:val="00B90BBA"/>
    <w:rsid w:val="00B90BE5"/>
    <w:rsid w:val="00B90C3A"/>
    <w:rsid w:val="00B90E0B"/>
    <w:rsid w:val="00B90E9E"/>
    <w:rsid w:val="00B90EC1"/>
    <w:rsid w:val="00B90F19"/>
    <w:rsid w:val="00B90F7C"/>
    <w:rsid w:val="00B90FD8"/>
    <w:rsid w:val="00B91102"/>
    <w:rsid w:val="00B91175"/>
    <w:rsid w:val="00B911CB"/>
    <w:rsid w:val="00B911F7"/>
    <w:rsid w:val="00B9120B"/>
    <w:rsid w:val="00B91246"/>
    <w:rsid w:val="00B912EB"/>
    <w:rsid w:val="00B912F7"/>
    <w:rsid w:val="00B91382"/>
    <w:rsid w:val="00B9142E"/>
    <w:rsid w:val="00B91469"/>
    <w:rsid w:val="00B91491"/>
    <w:rsid w:val="00B9150A"/>
    <w:rsid w:val="00B91527"/>
    <w:rsid w:val="00B916C6"/>
    <w:rsid w:val="00B916DF"/>
    <w:rsid w:val="00B917D0"/>
    <w:rsid w:val="00B917DA"/>
    <w:rsid w:val="00B918B8"/>
    <w:rsid w:val="00B918C5"/>
    <w:rsid w:val="00B91CB0"/>
    <w:rsid w:val="00B91FD1"/>
    <w:rsid w:val="00B92042"/>
    <w:rsid w:val="00B92088"/>
    <w:rsid w:val="00B9213C"/>
    <w:rsid w:val="00B92224"/>
    <w:rsid w:val="00B9222F"/>
    <w:rsid w:val="00B923E7"/>
    <w:rsid w:val="00B92406"/>
    <w:rsid w:val="00B92412"/>
    <w:rsid w:val="00B9244F"/>
    <w:rsid w:val="00B92515"/>
    <w:rsid w:val="00B925D3"/>
    <w:rsid w:val="00B925EA"/>
    <w:rsid w:val="00B92607"/>
    <w:rsid w:val="00B92657"/>
    <w:rsid w:val="00B927D5"/>
    <w:rsid w:val="00B92802"/>
    <w:rsid w:val="00B92812"/>
    <w:rsid w:val="00B928E2"/>
    <w:rsid w:val="00B92912"/>
    <w:rsid w:val="00B9296B"/>
    <w:rsid w:val="00B929BF"/>
    <w:rsid w:val="00B92A4D"/>
    <w:rsid w:val="00B92AA3"/>
    <w:rsid w:val="00B92BDC"/>
    <w:rsid w:val="00B92CCD"/>
    <w:rsid w:val="00B92CE0"/>
    <w:rsid w:val="00B92D55"/>
    <w:rsid w:val="00B92D6C"/>
    <w:rsid w:val="00B92DB1"/>
    <w:rsid w:val="00B92DC5"/>
    <w:rsid w:val="00B92DD1"/>
    <w:rsid w:val="00B92DE5"/>
    <w:rsid w:val="00B92F9E"/>
    <w:rsid w:val="00B93040"/>
    <w:rsid w:val="00B93060"/>
    <w:rsid w:val="00B93078"/>
    <w:rsid w:val="00B93094"/>
    <w:rsid w:val="00B930BF"/>
    <w:rsid w:val="00B930F0"/>
    <w:rsid w:val="00B931A3"/>
    <w:rsid w:val="00B93212"/>
    <w:rsid w:val="00B932B7"/>
    <w:rsid w:val="00B933B7"/>
    <w:rsid w:val="00B933F9"/>
    <w:rsid w:val="00B933FC"/>
    <w:rsid w:val="00B93418"/>
    <w:rsid w:val="00B934DF"/>
    <w:rsid w:val="00B935CA"/>
    <w:rsid w:val="00B936D7"/>
    <w:rsid w:val="00B936F6"/>
    <w:rsid w:val="00B9370D"/>
    <w:rsid w:val="00B937B8"/>
    <w:rsid w:val="00B9383C"/>
    <w:rsid w:val="00B9392E"/>
    <w:rsid w:val="00B939DA"/>
    <w:rsid w:val="00B939E1"/>
    <w:rsid w:val="00B93AAD"/>
    <w:rsid w:val="00B93B77"/>
    <w:rsid w:val="00B93B84"/>
    <w:rsid w:val="00B93BCA"/>
    <w:rsid w:val="00B93CA4"/>
    <w:rsid w:val="00B93CBC"/>
    <w:rsid w:val="00B93DB4"/>
    <w:rsid w:val="00B93F19"/>
    <w:rsid w:val="00B9409A"/>
    <w:rsid w:val="00B940F5"/>
    <w:rsid w:val="00B94265"/>
    <w:rsid w:val="00B94289"/>
    <w:rsid w:val="00B9429C"/>
    <w:rsid w:val="00B943F2"/>
    <w:rsid w:val="00B94496"/>
    <w:rsid w:val="00B9453C"/>
    <w:rsid w:val="00B94545"/>
    <w:rsid w:val="00B945A0"/>
    <w:rsid w:val="00B94687"/>
    <w:rsid w:val="00B94751"/>
    <w:rsid w:val="00B9479C"/>
    <w:rsid w:val="00B948C6"/>
    <w:rsid w:val="00B94926"/>
    <w:rsid w:val="00B94977"/>
    <w:rsid w:val="00B949BD"/>
    <w:rsid w:val="00B94A5A"/>
    <w:rsid w:val="00B94AE6"/>
    <w:rsid w:val="00B94C1E"/>
    <w:rsid w:val="00B94C2D"/>
    <w:rsid w:val="00B94C6E"/>
    <w:rsid w:val="00B94C98"/>
    <w:rsid w:val="00B94CD8"/>
    <w:rsid w:val="00B94D27"/>
    <w:rsid w:val="00B94D85"/>
    <w:rsid w:val="00B94E78"/>
    <w:rsid w:val="00B94F7C"/>
    <w:rsid w:val="00B95054"/>
    <w:rsid w:val="00B9509B"/>
    <w:rsid w:val="00B95215"/>
    <w:rsid w:val="00B95756"/>
    <w:rsid w:val="00B9586B"/>
    <w:rsid w:val="00B95972"/>
    <w:rsid w:val="00B95A18"/>
    <w:rsid w:val="00B95AED"/>
    <w:rsid w:val="00B95BB5"/>
    <w:rsid w:val="00B95C4C"/>
    <w:rsid w:val="00B95C87"/>
    <w:rsid w:val="00B95CF0"/>
    <w:rsid w:val="00B95D66"/>
    <w:rsid w:val="00B95EB3"/>
    <w:rsid w:val="00B95EE8"/>
    <w:rsid w:val="00B96055"/>
    <w:rsid w:val="00B96094"/>
    <w:rsid w:val="00B960A9"/>
    <w:rsid w:val="00B960DC"/>
    <w:rsid w:val="00B96109"/>
    <w:rsid w:val="00B96165"/>
    <w:rsid w:val="00B961B2"/>
    <w:rsid w:val="00B96225"/>
    <w:rsid w:val="00B96297"/>
    <w:rsid w:val="00B962B7"/>
    <w:rsid w:val="00B96305"/>
    <w:rsid w:val="00B96425"/>
    <w:rsid w:val="00B9644A"/>
    <w:rsid w:val="00B966B3"/>
    <w:rsid w:val="00B96705"/>
    <w:rsid w:val="00B96774"/>
    <w:rsid w:val="00B967BD"/>
    <w:rsid w:val="00B967DB"/>
    <w:rsid w:val="00B9683C"/>
    <w:rsid w:val="00B9694E"/>
    <w:rsid w:val="00B96B43"/>
    <w:rsid w:val="00B96B67"/>
    <w:rsid w:val="00B96BB5"/>
    <w:rsid w:val="00B96C53"/>
    <w:rsid w:val="00B96CF6"/>
    <w:rsid w:val="00B96F4D"/>
    <w:rsid w:val="00B97035"/>
    <w:rsid w:val="00B97084"/>
    <w:rsid w:val="00B970FD"/>
    <w:rsid w:val="00B97102"/>
    <w:rsid w:val="00B971AD"/>
    <w:rsid w:val="00B97215"/>
    <w:rsid w:val="00B97300"/>
    <w:rsid w:val="00B97305"/>
    <w:rsid w:val="00B973AA"/>
    <w:rsid w:val="00B973AB"/>
    <w:rsid w:val="00B973B5"/>
    <w:rsid w:val="00B97419"/>
    <w:rsid w:val="00B974FD"/>
    <w:rsid w:val="00B9752D"/>
    <w:rsid w:val="00B97535"/>
    <w:rsid w:val="00B97551"/>
    <w:rsid w:val="00B9759F"/>
    <w:rsid w:val="00B975DF"/>
    <w:rsid w:val="00B9768A"/>
    <w:rsid w:val="00B976B7"/>
    <w:rsid w:val="00B97784"/>
    <w:rsid w:val="00B977CF"/>
    <w:rsid w:val="00B9786F"/>
    <w:rsid w:val="00B97883"/>
    <w:rsid w:val="00B97925"/>
    <w:rsid w:val="00B9794E"/>
    <w:rsid w:val="00B97A30"/>
    <w:rsid w:val="00B97A6B"/>
    <w:rsid w:val="00B97A77"/>
    <w:rsid w:val="00B97AEB"/>
    <w:rsid w:val="00B97B39"/>
    <w:rsid w:val="00B97CD7"/>
    <w:rsid w:val="00B97D1F"/>
    <w:rsid w:val="00B97D22"/>
    <w:rsid w:val="00B97D58"/>
    <w:rsid w:val="00B97EE3"/>
    <w:rsid w:val="00B97F8E"/>
    <w:rsid w:val="00B97F9F"/>
    <w:rsid w:val="00BA0022"/>
    <w:rsid w:val="00BA008C"/>
    <w:rsid w:val="00BA0097"/>
    <w:rsid w:val="00BA00DC"/>
    <w:rsid w:val="00BA00F0"/>
    <w:rsid w:val="00BA01D1"/>
    <w:rsid w:val="00BA020E"/>
    <w:rsid w:val="00BA0278"/>
    <w:rsid w:val="00BA02F7"/>
    <w:rsid w:val="00BA0359"/>
    <w:rsid w:val="00BA0364"/>
    <w:rsid w:val="00BA03F0"/>
    <w:rsid w:val="00BA04A6"/>
    <w:rsid w:val="00BA04BA"/>
    <w:rsid w:val="00BA04E5"/>
    <w:rsid w:val="00BA04F1"/>
    <w:rsid w:val="00BA06AC"/>
    <w:rsid w:val="00BA06E7"/>
    <w:rsid w:val="00BA0717"/>
    <w:rsid w:val="00BA080A"/>
    <w:rsid w:val="00BA08F2"/>
    <w:rsid w:val="00BA094C"/>
    <w:rsid w:val="00BA09BB"/>
    <w:rsid w:val="00BA0AA6"/>
    <w:rsid w:val="00BA0B4B"/>
    <w:rsid w:val="00BA0BCB"/>
    <w:rsid w:val="00BA0C43"/>
    <w:rsid w:val="00BA0D1D"/>
    <w:rsid w:val="00BA0D57"/>
    <w:rsid w:val="00BA0EA4"/>
    <w:rsid w:val="00BA0F38"/>
    <w:rsid w:val="00BA0F67"/>
    <w:rsid w:val="00BA0FAA"/>
    <w:rsid w:val="00BA0FAE"/>
    <w:rsid w:val="00BA0FD4"/>
    <w:rsid w:val="00BA0FDA"/>
    <w:rsid w:val="00BA112D"/>
    <w:rsid w:val="00BA120F"/>
    <w:rsid w:val="00BA127E"/>
    <w:rsid w:val="00BA12DB"/>
    <w:rsid w:val="00BA1311"/>
    <w:rsid w:val="00BA1407"/>
    <w:rsid w:val="00BA15CE"/>
    <w:rsid w:val="00BA1732"/>
    <w:rsid w:val="00BA1836"/>
    <w:rsid w:val="00BA1869"/>
    <w:rsid w:val="00BA189B"/>
    <w:rsid w:val="00BA18FE"/>
    <w:rsid w:val="00BA191A"/>
    <w:rsid w:val="00BA192B"/>
    <w:rsid w:val="00BA19D1"/>
    <w:rsid w:val="00BA1A7E"/>
    <w:rsid w:val="00BA1B0A"/>
    <w:rsid w:val="00BA1BC9"/>
    <w:rsid w:val="00BA1BF6"/>
    <w:rsid w:val="00BA1D36"/>
    <w:rsid w:val="00BA1ECC"/>
    <w:rsid w:val="00BA1F1C"/>
    <w:rsid w:val="00BA1F50"/>
    <w:rsid w:val="00BA1F63"/>
    <w:rsid w:val="00BA20DD"/>
    <w:rsid w:val="00BA20F2"/>
    <w:rsid w:val="00BA212F"/>
    <w:rsid w:val="00BA22B3"/>
    <w:rsid w:val="00BA248B"/>
    <w:rsid w:val="00BA24EE"/>
    <w:rsid w:val="00BA24FE"/>
    <w:rsid w:val="00BA2679"/>
    <w:rsid w:val="00BA2799"/>
    <w:rsid w:val="00BA27E1"/>
    <w:rsid w:val="00BA281A"/>
    <w:rsid w:val="00BA2885"/>
    <w:rsid w:val="00BA2893"/>
    <w:rsid w:val="00BA28F5"/>
    <w:rsid w:val="00BA29C4"/>
    <w:rsid w:val="00BA2B3D"/>
    <w:rsid w:val="00BA2BBF"/>
    <w:rsid w:val="00BA2BF1"/>
    <w:rsid w:val="00BA2C65"/>
    <w:rsid w:val="00BA2C9D"/>
    <w:rsid w:val="00BA2CE4"/>
    <w:rsid w:val="00BA2DF0"/>
    <w:rsid w:val="00BA2E90"/>
    <w:rsid w:val="00BA2FE3"/>
    <w:rsid w:val="00BA2FEB"/>
    <w:rsid w:val="00BA3027"/>
    <w:rsid w:val="00BA31F9"/>
    <w:rsid w:val="00BA3394"/>
    <w:rsid w:val="00BA3526"/>
    <w:rsid w:val="00BA354F"/>
    <w:rsid w:val="00BA3645"/>
    <w:rsid w:val="00BA3724"/>
    <w:rsid w:val="00BA375D"/>
    <w:rsid w:val="00BA3777"/>
    <w:rsid w:val="00BA3794"/>
    <w:rsid w:val="00BA37DA"/>
    <w:rsid w:val="00BA3891"/>
    <w:rsid w:val="00BA390F"/>
    <w:rsid w:val="00BA3943"/>
    <w:rsid w:val="00BA397B"/>
    <w:rsid w:val="00BA3BF7"/>
    <w:rsid w:val="00BA3C7E"/>
    <w:rsid w:val="00BA3D8C"/>
    <w:rsid w:val="00BA3DD4"/>
    <w:rsid w:val="00BA3DD9"/>
    <w:rsid w:val="00BA3E18"/>
    <w:rsid w:val="00BA3E28"/>
    <w:rsid w:val="00BA3EC4"/>
    <w:rsid w:val="00BA3EDA"/>
    <w:rsid w:val="00BA3F2A"/>
    <w:rsid w:val="00BA3F83"/>
    <w:rsid w:val="00BA4013"/>
    <w:rsid w:val="00BA408D"/>
    <w:rsid w:val="00BA40BD"/>
    <w:rsid w:val="00BA410F"/>
    <w:rsid w:val="00BA41A8"/>
    <w:rsid w:val="00BA425A"/>
    <w:rsid w:val="00BA4299"/>
    <w:rsid w:val="00BA441B"/>
    <w:rsid w:val="00BA4430"/>
    <w:rsid w:val="00BA4439"/>
    <w:rsid w:val="00BA4550"/>
    <w:rsid w:val="00BA45BF"/>
    <w:rsid w:val="00BA477F"/>
    <w:rsid w:val="00BA47F6"/>
    <w:rsid w:val="00BA498D"/>
    <w:rsid w:val="00BA49D2"/>
    <w:rsid w:val="00BA4A6C"/>
    <w:rsid w:val="00BA4C05"/>
    <w:rsid w:val="00BA4CD7"/>
    <w:rsid w:val="00BA4E20"/>
    <w:rsid w:val="00BA4EB1"/>
    <w:rsid w:val="00BA4EF6"/>
    <w:rsid w:val="00BA4F1F"/>
    <w:rsid w:val="00BA4F20"/>
    <w:rsid w:val="00BA4F24"/>
    <w:rsid w:val="00BA4F54"/>
    <w:rsid w:val="00BA4F9F"/>
    <w:rsid w:val="00BA4FDA"/>
    <w:rsid w:val="00BA5038"/>
    <w:rsid w:val="00BA5149"/>
    <w:rsid w:val="00BA515A"/>
    <w:rsid w:val="00BA523C"/>
    <w:rsid w:val="00BA528D"/>
    <w:rsid w:val="00BA53A1"/>
    <w:rsid w:val="00BA53AC"/>
    <w:rsid w:val="00BA54C3"/>
    <w:rsid w:val="00BA54E6"/>
    <w:rsid w:val="00BA5511"/>
    <w:rsid w:val="00BA554C"/>
    <w:rsid w:val="00BA55D7"/>
    <w:rsid w:val="00BA567B"/>
    <w:rsid w:val="00BA5682"/>
    <w:rsid w:val="00BA56A8"/>
    <w:rsid w:val="00BA5751"/>
    <w:rsid w:val="00BA57F9"/>
    <w:rsid w:val="00BA586E"/>
    <w:rsid w:val="00BA58D9"/>
    <w:rsid w:val="00BA5923"/>
    <w:rsid w:val="00BA5936"/>
    <w:rsid w:val="00BA59D6"/>
    <w:rsid w:val="00BA5AA9"/>
    <w:rsid w:val="00BA5AC3"/>
    <w:rsid w:val="00BA5B5F"/>
    <w:rsid w:val="00BA5B8D"/>
    <w:rsid w:val="00BA5BA4"/>
    <w:rsid w:val="00BA5C92"/>
    <w:rsid w:val="00BA5CDF"/>
    <w:rsid w:val="00BA5D2C"/>
    <w:rsid w:val="00BA5D43"/>
    <w:rsid w:val="00BA5D6B"/>
    <w:rsid w:val="00BA5D76"/>
    <w:rsid w:val="00BA5D9D"/>
    <w:rsid w:val="00BA5E1C"/>
    <w:rsid w:val="00BA5E7E"/>
    <w:rsid w:val="00BA5EE3"/>
    <w:rsid w:val="00BA5F0D"/>
    <w:rsid w:val="00BA5F0F"/>
    <w:rsid w:val="00BA5FA1"/>
    <w:rsid w:val="00BA605B"/>
    <w:rsid w:val="00BA60B0"/>
    <w:rsid w:val="00BA6103"/>
    <w:rsid w:val="00BA612B"/>
    <w:rsid w:val="00BA6281"/>
    <w:rsid w:val="00BA6289"/>
    <w:rsid w:val="00BA62C8"/>
    <w:rsid w:val="00BA6335"/>
    <w:rsid w:val="00BA639C"/>
    <w:rsid w:val="00BA6559"/>
    <w:rsid w:val="00BA6560"/>
    <w:rsid w:val="00BA656F"/>
    <w:rsid w:val="00BA658A"/>
    <w:rsid w:val="00BA659C"/>
    <w:rsid w:val="00BA660F"/>
    <w:rsid w:val="00BA6618"/>
    <w:rsid w:val="00BA6789"/>
    <w:rsid w:val="00BA680E"/>
    <w:rsid w:val="00BA6863"/>
    <w:rsid w:val="00BA68D6"/>
    <w:rsid w:val="00BA6B2A"/>
    <w:rsid w:val="00BA6B87"/>
    <w:rsid w:val="00BA6B91"/>
    <w:rsid w:val="00BA6BE2"/>
    <w:rsid w:val="00BA6C2E"/>
    <w:rsid w:val="00BA6CA7"/>
    <w:rsid w:val="00BA6CCB"/>
    <w:rsid w:val="00BA6D9B"/>
    <w:rsid w:val="00BA6EEC"/>
    <w:rsid w:val="00BA6F3B"/>
    <w:rsid w:val="00BA6F9F"/>
    <w:rsid w:val="00BA7053"/>
    <w:rsid w:val="00BA706E"/>
    <w:rsid w:val="00BA708A"/>
    <w:rsid w:val="00BA70ED"/>
    <w:rsid w:val="00BA73AF"/>
    <w:rsid w:val="00BA74E7"/>
    <w:rsid w:val="00BA752D"/>
    <w:rsid w:val="00BA75E4"/>
    <w:rsid w:val="00BA7621"/>
    <w:rsid w:val="00BA76C0"/>
    <w:rsid w:val="00BA7735"/>
    <w:rsid w:val="00BA7801"/>
    <w:rsid w:val="00BA7825"/>
    <w:rsid w:val="00BA794A"/>
    <w:rsid w:val="00BA7A6E"/>
    <w:rsid w:val="00BA7AC8"/>
    <w:rsid w:val="00BA7B2E"/>
    <w:rsid w:val="00BA7BF6"/>
    <w:rsid w:val="00BA7CC5"/>
    <w:rsid w:val="00BA7D17"/>
    <w:rsid w:val="00BA7E0A"/>
    <w:rsid w:val="00BA7E55"/>
    <w:rsid w:val="00BA7EC7"/>
    <w:rsid w:val="00BA7EC9"/>
    <w:rsid w:val="00BB00F5"/>
    <w:rsid w:val="00BB0159"/>
    <w:rsid w:val="00BB01AE"/>
    <w:rsid w:val="00BB01BF"/>
    <w:rsid w:val="00BB043D"/>
    <w:rsid w:val="00BB0492"/>
    <w:rsid w:val="00BB0516"/>
    <w:rsid w:val="00BB0591"/>
    <w:rsid w:val="00BB05CF"/>
    <w:rsid w:val="00BB05D7"/>
    <w:rsid w:val="00BB05DC"/>
    <w:rsid w:val="00BB0667"/>
    <w:rsid w:val="00BB0693"/>
    <w:rsid w:val="00BB06C3"/>
    <w:rsid w:val="00BB07A0"/>
    <w:rsid w:val="00BB07BE"/>
    <w:rsid w:val="00BB07C5"/>
    <w:rsid w:val="00BB0997"/>
    <w:rsid w:val="00BB099D"/>
    <w:rsid w:val="00BB0A92"/>
    <w:rsid w:val="00BB0B9F"/>
    <w:rsid w:val="00BB0BBC"/>
    <w:rsid w:val="00BB0C72"/>
    <w:rsid w:val="00BB0D5B"/>
    <w:rsid w:val="00BB0DA1"/>
    <w:rsid w:val="00BB0DA2"/>
    <w:rsid w:val="00BB0E1F"/>
    <w:rsid w:val="00BB0E38"/>
    <w:rsid w:val="00BB0E80"/>
    <w:rsid w:val="00BB0EFD"/>
    <w:rsid w:val="00BB0F01"/>
    <w:rsid w:val="00BB0FCE"/>
    <w:rsid w:val="00BB1230"/>
    <w:rsid w:val="00BB123A"/>
    <w:rsid w:val="00BB127C"/>
    <w:rsid w:val="00BB143F"/>
    <w:rsid w:val="00BB1496"/>
    <w:rsid w:val="00BB155A"/>
    <w:rsid w:val="00BB15DE"/>
    <w:rsid w:val="00BB162C"/>
    <w:rsid w:val="00BB1645"/>
    <w:rsid w:val="00BB1699"/>
    <w:rsid w:val="00BB175F"/>
    <w:rsid w:val="00BB181D"/>
    <w:rsid w:val="00BB197B"/>
    <w:rsid w:val="00BB1A63"/>
    <w:rsid w:val="00BB1AAE"/>
    <w:rsid w:val="00BB1D2F"/>
    <w:rsid w:val="00BB1D7C"/>
    <w:rsid w:val="00BB1D84"/>
    <w:rsid w:val="00BB1E13"/>
    <w:rsid w:val="00BB1E52"/>
    <w:rsid w:val="00BB1E6D"/>
    <w:rsid w:val="00BB1EEA"/>
    <w:rsid w:val="00BB1FE2"/>
    <w:rsid w:val="00BB20C9"/>
    <w:rsid w:val="00BB21B3"/>
    <w:rsid w:val="00BB2205"/>
    <w:rsid w:val="00BB233F"/>
    <w:rsid w:val="00BB2371"/>
    <w:rsid w:val="00BB248E"/>
    <w:rsid w:val="00BB26A2"/>
    <w:rsid w:val="00BB26B6"/>
    <w:rsid w:val="00BB26C8"/>
    <w:rsid w:val="00BB28A6"/>
    <w:rsid w:val="00BB29F8"/>
    <w:rsid w:val="00BB2A18"/>
    <w:rsid w:val="00BB2A90"/>
    <w:rsid w:val="00BB2AD4"/>
    <w:rsid w:val="00BB2ADC"/>
    <w:rsid w:val="00BB2AE6"/>
    <w:rsid w:val="00BB2B02"/>
    <w:rsid w:val="00BB2BB4"/>
    <w:rsid w:val="00BB2C8E"/>
    <w:rsid w:val="00BB2CDB"/>
    <w:rsid w:val="00BB2CEE"/>
    <w:rsid w:val="00BB2E1E"/>
    <w:rsid w:val="00BB2F0D"/>
    <w:rsid w:val="00BB2F4F"/>
    <w:rsid w:val="00BB2F8B"/>
    <w:rsid w:val="00BB2FA1"/>
    <w:rsid w:val="00BB2FE7"/>
    <w:rsid w:val="00BB3055"/>
    <w:rsid w:val="00BB3068"/>
    <w:rsid w:val="00BB3103"/>
    <w:rsid w:val="00BB3283"/>
    <w:rsid w:val="00BB3385"/>
    <w:rsid w:val="00BB33F5"/>
    <w:rsid w:val="00BB3560"/>
    <w:rsid w:val="00BB35C5"/>
    <w:rsid w:val="00BB3695"/>
    <w:rsid w:val="00BB37CC"/>
    <w:rsid w:val="00BB39C9"/>
    <w:rsid w:val="00BB3BE9"/>
    <w:rsid w:val="00BB3CBC"/>
    <w:rsid w:val="00BB3D56"/>
    <w:rsid w:val="00BB3D97"/>
    <w:rsid w:val="00BB3E69"/>
    <w:rsid w:val="00BB3E80"/>
    <w:rsid w:val="00BB3EB5"/>
    <w:rsid w:val="00BB3F10"/>
    <w:rsid w:val="00BB3F58"/>
    <w:rsid w:val="00BB412A"/>
    <w:rsid w:val="00BB4241"/>
    <w:rsid w:val="00BB430F"/>
    <w:rsid w:val="00BB4343"/>
    <w:rsid w:val="00BB441F"/>
    <w:rsid w:val="00BB45CD"/>
    <w:rsid w:val="00BB45D4"/>
    <w:rsid w:val="00BB460D"/>
    <w:rsid w:val="00BB4636"/>
    <w:rsid w:val="00BB4692"/>
    <w:rsid w:val="00BB46BE"/>
    <w:rsid w:val="00BB46F7"/>
    <w:rsid w:val="00BB4717"/>
    <w:rsid w:val="00BB472B"/>
    <w:rsid w:val="00BB47A3"/>
    <w:rsid w:val="00BB4836"/>
    <w:rsid w:val="00BB4847"/>
    <w:rsid w:val="00BB48DF"/>
    <w:rsid w:val="00BB48E4"/>
    <w:rsid w:val="00BB492D"/>
    <w:rsid w:val="00BB49FC"/>
    <w:rsid w:val="00BB4AA0"/>
    <w:rsid w:val="00BB4BD2"/>
    <w:rsid w:val="00BB4DDD"/>
    <w:rsid w:val="00BB4EA7"/>
    <w:rsid w:val="00BB4FCF"/>
    <w:rsid w:val="00BB5023"/>
    <w:rsid w:val="00BB5083"/>
    <w:rsid w:val="00BB5099"/>
    <w:rsid w:val="00BB5107"/>
    <w:rsid w:val="00BB5177"/>
    <w:rsid w:val="00BB5480"/>
    <w:rsid w:val="00BB55B8"/>
    <w:rsid w:val="00BB5612"/>
    <w:rsid w:val="00BB562A"/>
    <w:rsid w:val="00BB5683"/>
    <w:rsid w:val="00BB5726"/>
    <w:rsid w:val="00BB588D"/>
    <w:rsid w:val="00BB589D"/>
    <w:rsid w:val="00BB58AF"/>
    <w:rsid w:val="00BB5AE6"/>
    <w:rsid w:val="00BB5B85"/>
    <w:rsid w:val="00BB5BE7"/>
    <w:rsid w:val="00BB5C90"/>
    <w:rsid w:val="00BB5DB0"/>
    <w:rsid w:val="00BB5E9C"/>
    <w:rsid w:val="00BB5EE7"/>
    <w:rsid w:val="00BB5F11"/>
    <w:rsid w:val="00BB6265"/>
    <w:rsid w:val="00BB62B9"/>
    <w:rsid w:val="00BB644D"/>
    <w:rsid w:val="00BB64B4"/>
    <w:rsid w:val="00BB6581"/>
    <w:rsid w:val="00BB65AB"/>
    <w:rsid w:val="00BB65D0"/>
    <w:rsid w:val="00BB660B"/>
    <w:rsid w:val="00BB6621"/>
    <w:rsid w:val="00BB6626"/>
    <w:rsid w:val="00BB6663"/>
    <w:rsid w:val="00BB666F"/>
    <w:rsid w:val="00BB66A3"/>
    <w:rsid w:val="00BB66DD"/>
    <w:rsid w:val="00BB6706"/>
    <w:rsid w:val="00BB6793"/>
    <w:rsid w:val="00BB684A"/>
    <w:rsid w:val="00BB6A43"/>
    <w:rsid w:val="00BB6A93"/>
    <w:rsid w:val="00BB6B2A"/>
    <w:rsid w:val="00BB6B99"/>
    <w:rsid w:val="00BB6BE7"/>
    <w:rsid w:val="00BB6D48"/>
    <w:rsid w:val="00BB6E32"/>
    <w:rsid w:val="00BB6F8F"/>
    <w:rsid w:val="00BB70E1"/>
    <w:rsid w:val="00BB7171"/>
    <w:rsid w:val="00BB71AA"/>
    <w:rsid w:val="00BB72A6"/>
    <w:rsid w:val="00BB73E6"/>
    <w:rsid w:val="00BB7404"/>
    <w:rsid w:val="00BB7431"/>
    <w:rsid w:val="00BB74FF"/>
    <w:rsid w:val="00BB7576"/>
    <w:rsid w:val="00BB761B"/>
    <w:rsid w:val="00BB767F"/>
    <w:rsid w:val="00BB7693"/>
    <w:rsid w:val="00BB7802"/>
    <w:rsid w:val="00BB78E3"/>
    <w:rsid w:val="00BB7908"/>
    <w:rsid w:val="00BB7976"/>
    <w:rsid w:val="00BB79E2"/>
    <w:rsid w:val="00BB7B17"/>
    <w:rsid w:val="00BB7BBC"/>
    <w:rsid w:val="00BB7C09"/>
    <w:rsid w:val="00BB7C13"/>
    <w:rsid w:val="00BB7C89"/>
    <w:rsid w:val="00BB7CE6"/>
    <w:rsid w:val="00BB7D88"/>
    <w:rsid w:val="00BB7DBF"/>
    <w:rsid w:val="00BB7E0E"/>
    <w:rsid w:val="00BB7F57"/>
    <w:rsid w:val="00BB7FAC"/>
    <w:rsid w:val="00BC00B9"/>
    <w:rsid w:val="00BC00F6"/>
    <w:rsid w:val="00BC01B6"/>
    <w:rsid w:val="00BC023A"/>
    <w:rsid w:val="00BC0382"/>
    <w:rsid w:val="00BC038A"/>
    <w:rsid w:val="00BC0398"/>
    <w:rsid w:val="00BC03E2"/>
    <w:rsid w:val="00BC04CE"/>
    <w:rsid w:val="00BC068D"/>
    <w:rsid w:val="00BC0697"/>
    <w:rsid w:val="00BC076F"/>
    <w:rsid w:val="00BC077D"/>
    <w:rsid w:val="00BC077E"/>
    <w:rsid w:val="00BC07AD"/>
    <w:rsid w:val="00BC0815"/>
    <w:rsid w:val="00BC0858"/>
    <w:rsid w:val="00BC0888"/>
    <w:rsid w:val="00BC0AAE"/>
    <w:rsid w:val="00BC0AEA"/>
    <w:rsid w:val="00BC0CCE"/>
    <w:rsid w:val="00BC0DC2"/>
    <w:rsid w:val="00BC0E7F"/>
    <w:rsid w:val="00BC0F4C"/>
    <w:rsid w:val="00BC0F89"/>
    <w:rsid w:val="00BC109A"/>
    <w:rsid w:val="00BC11AD"/>
    <w:rsid w:val="00BC123D"/>
    <w:rsid w:val="00BC12C3"/>
    <w:rsid w:val="00BC1319"/>
    <w:rsid w:val="00BC1341"/>
    <w:rsid w:val="00BC13EA"/>
    <w:rsid w:val="00BC1526"/>
    <w:rsid w:val="00BC155F"/>
    <w:rsid w:val="00BC158E"/>
    <w:rsid w:val="00BC1600"/>
    <w:rsid w:val="00BC178C"/>
    <w:rsid w:val="00BC19DA"/>
    <w:rsid w:val="00BC1B1F"/>
    <w:rsid w:val="00BC1BA4"/>
    <w:rsid w:val="00BC1CEE"/>
    <w:rsid w:val="00BC1CF0"/>
    <w:rsid w:val="00BC1DB1"/>
    <w:rsid w:val="00BC1E09"/>
    <w:rsid w:val="00BC1EFF"/>
    <w:rsid w:val="00BC1F7F"/>
    <w:rsid w:val="00BC2011"/>
    <w:rsid w:val="00BC2016"/>
    <w:rsid w:val="00BC2019"/>
    <w:rsid w:val="00BC2068"/>
    <w:rsid w:val="00BC21B9"/>
    <w:rsid w:val="00BC220C"/>
    <w:rsid w:val="00BC22A2"/>
    <w:rsid w:val="00BC22F3"/>
    <w:rsid w:val="00BC2425"/>
    <w:rsid w:val="00BC2442"/>
    <w:rsid w:val="00BC24BB"/>
    <w:rsid w:val="00BC24D9"/>
    <w:rsid w:val="00BC26DB"/>
    <w:rsid w:val="00BC273A"/>
    <w:rsid w:val="00BC27BC"/>
    <w:rsid w:val="00BC27E9"/>
    <w:rsid w:val="00BC28B9"/>
    <w:rsid w:val="00BC2967"/>
    <w:rsid w:val="00BC2973"/>
    <w:rsid w:val="00BC29F2"/>
    <w:rsid w:val="00BC2A26"/>
    <w:rsid w:val="00BC2A6E"/>
    <w:rsid w:val="00BC2B2D"/>
    <w:rsid w:val="00BC2B4D"/>
    <w:rsid w:val="00BC2B66"/>
    <w:rsid w:val="00BC2B6D"/>
    <w:rsid w:val="00BC2C30"/>
    <w:rsid w:val="00BC2C5A"/>
    <w:rsid w:val="00BC2C84"/>
    <w:rsid w:val="00BC2CD0"/>
    <w:rsid w:val="00BC2CE3"/>
    <w:rsid w:val="00BC2D1D"/>
    <w:rsid w:val="00BC2DBB"/>
    <w:rsid w:val="00BC2E27"/>
    <w:rsid w:val="00BC2EBC"/>
    <w:rsid w:val="00BC2F05"/>
    <w:rsid w:val="00BC2F84"/>
    <w:rsid w:val="00BC2F97"/>
    <w:rsid w:val="00BC304A"/>
    <w:rsid w:val="00BC3073"/>
    <w:rsid w:val="00BC30A1"/>
    <w:rsid w:val="00BC31FD"/>
    <w:rsid w:val="00BC3212"/>
    <w:rsid w:val="00BC322F"/>
    <w:rsid w:val="00BC3256"/>
    <w:rsid w:val="00BC329E"/>
    <w:rsid w:val="00BC32DA"/>
    <w:rsid w:val="00BC3314"/>
    <w:rsid w:val="00BC332C"/>
    <w:rsid w:val="00BC3356"/>
    <w:rsid w:val="00BC33B5"/>
    <w:rsid w:val="00BC33ED"/>
    <w:rsid w:val="00BC3424"/>
    <w:rsid w:val="00BC346C"/>
    <w:rsid w:val="00BC3626"/>
    <w:rsid w:val="00BC36B9"/>
    <w:rsid w:val="00BC371F"/>
    <w:rsid w:val="00BC3724"/>
    <w:rsid w:val="00BC377F"/>
    <w:rsid w:val="00BC37D2"/>
    <w:rsid w:val="00BC37E4"/>
    <w:rsid w:val="00BC382C"/>
    <w:rsid w:val="00BC38D7"/>
    <w:rsid w:val="00BC3975"/>
    <w:rsid w:val="00BC39CC"/>
    <w:rsid w:val="00BC39D5"/>
    <w:rsid w:val="00BC39F9"/>
    <w:rsid w:val="00BC39FD"/>
    <w:rsid w:val="00BC3AB1"/>
    <w:rsid w:val="00BC3AB2"/>
    <w:rsid w:val="00BC3AC7"/>
    <w:rsid w:val="00BC3AFD"/>
    <w:rsid w:val="00BC3B8A"/>
    <w:rsid w:val="00BC3BAD"/>
    <w:rsid w:val="00BC3DCD"/>
    <w:rsid w:val="00BC3E9C"/>
    <w:rsid w:val="00BC3EB4"/>
    <w:rsid w:val="00BC3FF6"/>
    <w:rsid w:val="00BC40D4"/>
    <w:rsid w:val="00BC410D"/>
    <w:rsid w:val="00BC4174"/>
    <w:rsid w:val="00BC41EB"/>
    <w:rsid w:val="00BC4238"/>
    <w:rsid w:val="00BC42F3"/>
    <w:rsid w:val="00BC4353"/>
    <w:rsid w:val="00BC4379"/>
    <w:rsid w:val="00BC43CB"/>
    <w:rsid w:val="00BC444A"/>
    <w:rsid w:val="00BC44D3"/>
    <w:rsid w:val="00BC44DD"/>
    <w:rsid w:val="00BC455E"/>
    <w:rsid w:val="00BC45C6"/>
    <w:rsid w:val="00BC4615"/>
    <w:rsid w:val="00BC4625"/>
    <w:rsid w:val="00BC4630"/>
    <w:rsid w:val="00BC4679"/>
    <w:rsid w:val="00BC489B"/>
    <w:rsid w:val="00BC48B6"/>
    <w:rsid w:val="00BC499C"/>
    <w:rsid w:val="00BC4A43"/>
    <w:rsid w:val="00BC4B43"/>
    <w:rsid w:val="00BC504B"/>
    <w:rsid w:val="00BC5061"/>
    <w:rsid w:val="00BC50B2"/>
    <w:rsid w:val="00BC50BC"/>
    <w:rsid w:val="00BC5244"/>
    <w:rsid w:val="00BC5446"/>
    <w:rsid w:val="00BC5487"/>
    <w:rsid w:val="00BC558C"/>
    <w:rsid w:val="00BC5680"/>
    <w:rsid w:val="00BC5684"/>
    <w:rsid w:val="00BC577F"/>
    <w:rsid w:val="00BC579C"/>
    <w:rsid w:val="00BC57A6"/>
    <w:rsid w:val="00BC57B6"/>
    <w:rsid w:val="00BC57CA"/>
    <w:rsid w:val="00BC57FF"/>
    <w:rsid w:val="00BC589A"/>
    <w:rsid w:val="00BC5C7F"/>
    <w:rsid w:val="00BC5C8A"/>
    <w:rsid w:val="00BC5CBF"/>
    <w:rsid w:val="00BC5CED"/>
    <w:rsid w:val="00BC5D9B"/>
    <w:rsid w:val="00BC5DFA"/>
    <w:rsid w:val="00BC5E0F"/>
    <w:rsid w:val="00BC5F2E"/>
    <w:rsid w:val="00BC5F8F"/>
    <w:rsid w:val="00BC5FD6"/>
    <w:rsid w:val="00BC6040"/>
    <w:rsid w:val="00BC60B3"/>
    <w:rsid w:val="00BC60BE"/>
    <w:rsid w:val="00BC60FA"/>
    <w:rsid w:val="00BC6164"/>
    <w:rsid w:val="00BC61D5"/>
    <w:rsid w:val="00BC61E5"/>
    <w:rsid w:val="00BC6321"/>
    <w:rsid w:val="00BC6354"/>
    <w:rsid w:val="00BC63C0"/>
    <w:rsid w:val="00BC6464"/>
    <w:rsid w:val="00BC64D7"/>
    <w:rsid w:val="00BC6553"/>
    <w:rsid w:val="00BC66A6"/>
    <w:rsid w:val="00BC66E8"/>
    <w:rsid w:val="00BC683D"/>
    <w:rsid w:val="00BC684B"/>
    <w:rsid w:val="00BC6853"/>
    <w:rsid w:val="00BC697A"/>
    <w:rsid w:val="00BC69AA"/>
    <w:rsid w:val="00BC69E1"/>
    <w:rsid w:val="00BC69EF"/>
    <w:rsid w:val="00BC6A16"/>
    <w:rsid w:val="00BC6A1F"/>
    <w:rsid w:val="00BC6CCE"/>
    <w:rsid w:val="00BC6CE8"/>
    <w:rsid w:val="00BC6E78"/>
    <w:rsid w:val="00BC6EA4"/>
    <w:rsid w:val="00BC6EA7"/>
    <w:rsid w:val="00BC6ECA"/>
    <w:rsid w:val="00BC6F1E"/>
    <w:rsid w:val="00BC6F99"/>
    <w:rsid w:val="00BC702F"/>
    <w:rsid w:val="00BC711A"/>
    <w:rsid w:val="00BC7141"/>
    <w:rsid w:val="00BC71B0"/>
    <w:rsid w:val="00BC71D5"/>
    <w:rsid w:val="00BC71F4"/>
    <w:rsid w:val="00BC7239"/>
    <w:rsid w:val="00BC72C1"/>
    <w:rsid w:val="00BC72EA"/>
    <w:rsid w:val="00BC7304"/>
    <w:rsid w:val="00BC73AE"/>
    <w:rsid w:val="00BC7515"/>
    <w:rsid w:val="00BC7556"/>
    <w:rsid w:val="00BC75F0"/>
    <w:rsid w:val="00BC785B"/>
    <w:rsid w:val="00BC78CF"/>
    <w:rsid w:val="00BC7998"/>
    <w:rsid w:val="00BC79CE"/>
    <w:rsid w:val="00BC79F1"/>
    <w:rsid w:val="00BC7A6D"/>
    <w:rsid w:val="00BC7ADB"/>
    <w:rsid w:val="00BC7B9C"/>
    <w:rsid w:val="00BC7BCD"/>
    <w:rsid w:val="00BC7C03"/>
    <w:rsid w:val="00BC7C05"/>
    <w:rsid w:val="00BC7CC2"/>
    <w:rsid w:val="00BC7E28"/>
    <w:rsid w:val="00BC7E90"/>
    <w:rsid w:val="00BC7E95"/>
    <w:rsid w:val="00BC7EE0"/>
    <w:rsid w:val="00BC7F5B"/>
    <w:rsid w:val="00BC7FAB"/>
    <w:rsid w:val="00BD00C3"/>
    <w:rsid w:val="00BD00DF"/>
    <w:rsid w:val="00BD0124"/>
    <w:rsid w:val="00BD0259"/>
    <w:rsid w:val="00BD02B0"/>
    <w:rsid w:val="00BD042F"/>
    <w:rsid w:val="00BD0490"/>
    <w:rsid w:val="00BD0509"/>
    <w:rsid w:val="00BD0592"/>
    <w:rsid w:val="00BD05FA"/>
    <w:rsid w:val="00BD0611"/>
    <w:rsid w:val="00BD06CF"/>
    <w:rsid w:val="00BD0768"/>
    <w:rsid w:val="00BD0814"/>
    <w:rsid w:val="00BD08AC"/>
    <w:rsid w:val="00BD08CD"/>
    <w:rsid w:val="00BD08F6"/>
    <w:rsid w:val="00BD093C"/>
    <w:rsid w:val="00BD0A0D"/>
    <w:rsid w:val="00BD0A26"/>
    <w:rsid w:val="00BD0A5A"/>
    <w:rsid w:val="00BD0BA5"/>
    <w:rsid w:val="00BD0C5C"/>
    <w:rsid w:val="00BD0C89"/>
    <w:rsid w:val="00BD0CBE"/>
    <w:rsid w:val="00BD0D85"/>
    <w:rsid w:val="00BD0DEB"/>
    <w:rsid w:val="00BD0EBE"/>
    <w:rsid w:val="00BD0EC6"/>
    <w:rsid w:val="00BD0F22"/>
    <w:rsid w:val="00BD0FE4"/>
    <w:rsid w:val="00BD0FEB"/>
    <w:rsid w:val="00BD1066"/>
    <w:rsid w:val="00BD10FB"/>
    <w:rsid w:val="00BD11E3"/>
    <w:rsid w:val="00BD14AC"/>
    <w:rsid w:val="00BD15D5"/>
    <w:rsid w:val="00BD1610"/>
    <w:rsid w:val="00BD1648"/>
    <w:rsid w:val="00BD1690"/>
    <w:rsid w:val="00BD16DE"/>
    <w:rsid w:val="00BD181D"/>
    <w:rsid w:val="00BD1938"/>
    <w:rsid w:val="00BD19B1"/>
    <w:rsid w:val="00BD19C6"/>
    <w:rsid w:val="00BD1A2B"/>
    <w:rsid w:val="00BD1C18"/>
    <w:rsid w:val="00BD1CA5"/>
    <w:rsid w:val="00BD1D46"/>
    <w:rsid w:val="00BD1D51"/>
    <w:rsid w:val="00BD1DE3"/>
    <w:rsid w:val="00BD1E44"/>
    <w:rsid w:val="00BD1EA0"/>
    <w:rsid w:val="00BD1F59"/>
    <w:rsid w:val="00BD1FA5"/>
    <w:rsid w:val="00BD1FD0"/>
    <w:rsid w:val="00BD2154"/>
    <w:rsid w:val="00BD23A8"/>
    <w:rsid w:val="00BD2479"/>
    <w:rsid w:val="00BD25CF"/>
    <w:rsid w:val="00BD26AA"/>
    <w:rsid w:val="00BD2845"/>
    <w:rsid w:val="00BD2A0A"/>
    <w:rsid w:val="00BD2A4F"/>
    <w:rsid w:val="00BD2A67"/>
    <w:rsid w:val="00BD2B10"/>
    <w:rsid w:val="00BD2B22"/>
    <w:rsid w:val="00BD2B40"/>
    <w:rsid w:val="00BD2CD8"/>
    <w:rsid w:val="00BD2E54"/>
    <w:rsid w:val="00BD2E57"/>
    <w:rsid w:val="00BD2E83"/>
    <w:rsid w:val="00BD2F8B"/>
    <w:rsid w:val="00BD3018"/>
    <w:rsid w:val="00BD30C7"/>
    <w:rsid w:val="00BD30D9"/>
    <w:rsid w:val="00BD30E7"/>
    <w:rsid w:val="00BD3273"/>
    <w:rsid w:val="00BD32E3"/>
    <w:rsid w:val="00BD3311"/>
    <w:rsid w:val="00BD331C"/>
    <w:rsid w:val="00BD3340"/>
    <w:rsid w:val="00BD336A"/>
    <w:rsid w:val="00BD3387"/>
    <w:rsid w:val="00BD345F"/>
    <w:rsid w:val="00BD3676"/>
    <w:rsid w:val="00BD3761"/>
    <w:rsid w:val="00BD3830"/>
    <w:rsid w:val="00BD3975"/>
    <w:rsid w:val="00BD397A"/>
    <w:rsid w:val="00BD39DE"/>
    <w:rsid w:val="00BD3A33"/>
    <w:rsid w:val="00BD3D80"/>
    <w:rsid w:val="00BD3E70"/>
    <w:rsid w:val="00BD3F59"/>
    <w:rsid w:val="00BD3FA6"/>
    <w:rsid w:val="00BD3FD3"/>
    <w:rsid w:val="00BD4008"/>
    <w:rsid w:val="00BD4035"/>
    <w:rsid w:val="00BD40DF"/>
    <w:rsid w:val="00BD412C"/>
    <w:rsid w:val="00BD41AE"/>
    <w:rsid w:val="00BD4236"/>
    <w:rsid w:val="00BD4263"/>
    <w:rsid w:val="00BD4411"/>
    <w:rsid w:val="00BD4459"/>
    <w:rsid w:val="00BD44B5"/>
    <w:rsid w:val="00BD44C9"/>
    <w:rsid w:val="00BD44D4"/>
    <w:rsid w:val="00BD454F"/>
    <w:rsid w:val="00BD4600"/>
    <w:rsid w:val="00BD4609"/>
    <w:rsid w:val="00BD462E"/>
    <w:rsid w:val="00BD4660"/>
    <w:rsid w:val="00BD4712"/>
    <w:rsid w:val="00BD4868"/>
    <w:rsid w:val="00BD49E1"/>
    <w:rsid w:val="00BD4B92"/>
    <w:rsid w:val="00BD4B96"/>
    <w:rsid w:val="00BD4CAF"/>
    <w:rsid w:val="00BD4DC7"/>
    <w:rsid w:val="00BD4E0A"/>
    <w:rsid w:val="00BD4E53"/>
    <w:rsid w:val="00BD4E59"/>
    <w:rsid w:val="00BD4FEC"/>
    <w:rsid w:val="00BD504A"/>
    <w:rsid w:val="00BD5140"/>
    <w:rsid w:val="00BD51D3"/>
    <w:rsid w:val="00BD51DE"/>
    <w:rsid w:val="00BD5200"/>
    <w:rsid w:val="00BD5223"/>
    <w:rsid w:val="00BD52BE"/>
    <w:rsid w:val="00BD52FB"/>
    <w:rsid w:val="00BD5376"/>
    <w:rsid w:val="00BD53A9"/>
    <w:rsid w:val="00BD5474"/>
    <w:rsid w:val="00BD54C9"/>
    <w:rsid w:val="00BD5530"/>
    <w:rsid w:val="00BD5597"/>
    <w:rsid w:val="00BD5729"/>
    <w:rsid w:val="00BD5767"/>
    <w:rsid w:val="00BD5769"/>
    <w:rsid w:val="00BD5770"/>
    <w:rsid w:val="00BD5A3B"/>
    <w:rsid w:val="00BD5AC0"/>
    <w:rsid w:val="00BD5AD4"/>
    <w:rsid w:val="00BD5B0C"/>
    <w:rsid w:val="00BD5CA3"/>
    <w:rsid w:val="00BD5E01"/>
    <w:rsid w:val="00BD5E25"/>
    <w:rsid w:val="00BD5EF7"/>
    <w:rsid w:val="00BD5F2D"/>
    <w:rsid w:val="00BD5F99"/>
    <w:rsid w:val="00BD6006"/>
    <w:rsid w:val="00BD6109"/>
    <w:rsid w:val="00BD6130"/>
    <w:rsid w:val="00BD63F5"/>
    <w:rsid w:val="00BD645D"/>
    <w:rsid w:val="00BD64A8"/>
    <w:rsid w:val="00BD64BB"/>
    <w:rsid w:val="00BD64D6"/>
    <w:rsid w:val="00BD6531"/>
    <w:rsid w:val="00BD66C3"/>
    <w:rsid w:val="00BD67BC"/>
    <w:rsid w:val="00BD67D1"/>
    <w:rsid w:val="00BD67DE"/>
    <w:rsid w:val="00BD67EE"/>
    <w:rsid w:val="00BD68F6"/>
    <w:rsid w:val="00BD6978"/>
    <w:rsid w:val="00BD6981"/>
    <w:rsid w:val="00BD6A03"/>
    <w:rsid w:val="00BD6BA3"/>
    <w:rsid w:val="00BD6BD8"/>
    <w:rsid w:val="00BD6CBE"/>
    <w:rsid w:val="00BD6D0E"/>
    <w:rsid w:val="00BD6D31"/>
    <w:rsid w:val="00BD6EE4"/>
    <w:rsid w:val="00BD6F1E"/>
    <w:rsid w:val="00BD6F24"/>
    <w:rsid w:val="00BD702F"/>
    <w:rsid w:val="00BD707D"/>
    <w:rsid w:val="00BD7267"/>
    <w:rsid w:val="00BD729D"/>
    <w:rsid w:val="00BD731A"/>
    <w:rsid w:val="00BD7342"/>
    <w:rsid w:val="00BD7361"/>
    <w:rsid w:val="00BD73EF"/>
    <w:rsid w:val="00BD74A6"/>
    <w:rsid w:val="00BD74B0"/>
    <w:rsid w:val="00BD7611"/>
    <w:rsid w:val="00BD767C"/>
    <w:rsid w:val="00BD76B3"/>
    <w:rsid w:val="00BD76CC"/>
    <w:rsid w:val="00BD76D1"/>
    <w:rsid w:val="00BD76E5"/>
    <w:rsid w:val="00BD77C8"/>
    <w:rsid w:val="00BD77ED"/>
    <w:rsid w:val="00BD7866"/>
    <w:rsid w:val="00BD7947"/>
    <w:rsid w:val="00BD79C5"/>
    <w:rsid w:val="00BD7A8F"/>
    <w:rsid w:val="00BD7BE4"/>
    <w:rsid w:val="00BD7BF5"/>
    <w:rsid w:val="00BD7CB8"/>
    <w:rsid w:val="00BD7F26"/>
    <w:rsid w:val="00BE0019"/>
    <w:rsid w:val="00BE0176"/>
    <w:rsid w:val="00BE01A5"/>
    <w:rsid w:val="00BE01A6"/>
    <w:rsid w:val="00BE021A"/>
    <w:rsid w:val="00BE0262"/>
    <w:rsid w:val="00BE0265"/>
    <w:rsid w:val="00BE0276"/>
    <w:rsid w:val="00BE02BB"/>
    <w:rsid w:val="00BE031A"/>
    <w:rsid w:val="00BE0374"/>
    <w:rsid w:val="00BE04BD"/>
    <w:rsid w:val="00BE04CD"/>
    <w:rsid w:val="00BE0501"/>
    <w:rsid w:val="00BE0505"/>
    <w:rsid w:val="00BE05D1"/>
    <w:rsid w:val="00BE064E"/>
    <w:rsid w:val="00BE066B"/>
    <w:rsid w:val="00BE06FB"/>
    <w:rsid w:val="00BE0730"/>
    <w:rsid w:val="00BE0734"/>
    <w:rsid w:val="00BE0855"/>
    <w:rsid w:val="00BE085B"/>
    <w:rsid w:val="00BE088E"/>
    <w:rsid w:val="00BE08A5"/>
    <w:rsid w:val="00BE09C0"/>
    <w:rsid w:val="00BE0B96"/>
    <w:rsid w:val="00BE0BA0"/>
    <w:rsid w:val="00BE0BB9"/>
    <w:rsid w:val="00BE0C65"/>
    <w:rsid w:val="00BE0C74"/>
    <w:rsid w:val="00BE0CC5"/>
    <w:rsid w:val="00BE0E97"/>
    <w:rsid w:val="00BE0F25"/>
    <w:rsid w:val="00BE0F4B"/>
    <w:rsid w:val="00BE0F6B"/>
    <w:rsid w:val="00BE0F95"/>
    <w:rsid w:val="00BE0FF3"/>
    <w:rsid w:val="00BE1063"/>
    <w:rsid w:val="00BE106C"/>
    <w:rsid w:val="00BE1093"/>
    <w:rsid w:val="00BE11A6"/>
    <w:rsid w:val="00BE11EE"/>
    <w:rsid w:val="00BE13A1"/>
    <w:rsid w:val="00BE13AB"/>
    <w:rsid w:val="00BE140C"/>
    <w:rsid w:val="00BE14A0"/>
    <w:rsid w:val="00BE1524"/>
    <w:rsid w:val="00BE152B"/>
    <w:rsid w:val="00BE15AE"/>
    <w:rsid w:val="00BE1602"/>
    <w:rsid w:val="00BE164C"/>
    <w:rsid w:val="00BE16B7"/>
    <w:rsid w:val="00BE16D9"/>
    <w:rsid w:val="00BE1880"/>
    <w:rsid w:val="00BE1934"/>
    <w:rsid w:val="00BE1A50"/>
    <w:rsid w:val="00BE1A5E"/>
    <w:rsid w:val="00BE1A71"/>
    <w:rsid w:val="00BE1B8A"/>
    <w:rsid w:val="00BE1BA6"/>
    <w:rsid w:val="00BE1BD6"/>
    <w:rsid w:val="00BE1BDC"/>
    <w:rsid w:val="00BE1BE3"/>
    <w:rsid w:val="00BE1C2C"/>
    <w:rsid w:val="00BE1CE7"/>
    <w:rsid w:val="00BE1E27"/>
    <w:rsid w:val="00BE1E95"/>
    <w:rsid w:val="00BE1EB3"/>
    <w:rsid w:val="00BE1EB8"/>
    <w:rsid w:val="00BE2010"/>
    <w:rsid w:val="00BE20F5"/>
    <w:rsid w:val="00BE212D"/>
    <w:rsid w:val="00BE2270"/>
    <w:rsid w:val="00BE251E"/>
    <w:rsid w:val="00BE2583"/>
    <w:rsid w:val="00BE258D"/>
    <w:rsid w:val="00BE25E5"/>
    <w:rsid w:val="00BE2702"/>
    <w:rsid w:val="00BE2727"/>
    <w:rsid w:val="00BE278C"/>
    <w:rsid w:val="00BE27E4"/>
    <w:rsid w:val="00BE289E"/>
    <w:rsid w:val="00BE28E5"/>
    <w:rsid w:val="00BE28F5"/>
    <w:rsid w:val="00BE2958"/>
    <w:rsid w:val="00BE2997"/>
    <w:rsid w:val="00BE299A"/>
    <w:rsid w:val="00BE2A05"/>
    <w:rsid w:val="00BE2BAA"/>
    <w:rsid w:val="00BE2BC5"/>
    <w:rsid w:val="00BE2C0A"/>
    <w:rsid w:val="00BE2C3E"/>
    <w:rsid w:val="00BE2C51"/>
    <w:rsid w:val="00BE2C84"/>
    <w:rsid w:val="00BE2CED"/>
    <w:rsid w:val="00BE2D50"/>
    <w:rsid w:val="00BE2DD1"/>
    <w:rsid w:val="00BE2E36"/>
    <w:rsid w:val="00BE2E68"/>
    <w:rsid w:val="00BE30FC"/>
    <w:rsid w:val="00BE311C"/>
    <w:rsid w:val="00BE3129"/>
    <w:rsid w:val="00BE3245"/>
    <w:rsid w:val="00BE32FA"/>
    <w:rsid w:val="00BE355D"/>
    <w:rsid w:val="00BE36FE"/>
    <w:rsid w:val="00BE3802"/>
    <w:rsid w:val="00BE3895"/>
    <w:rsid w:val="00BE38B0"/>
    <w:rsid w:val="00BE3968"/>
    <w:rsid w:val="00BE3A24"/>
    <w:rsid w:val="00BE3ABC"/>
    <w:rsid w:val="00BE3B2B"/>
    <w:rsid w:val="00BE3B33"/>
    <w:rsid w:val="00BE3B3D"/>
    <w:rsid w:val="00BE3C8F"/>
    <w:rsid w:val="00BE3D44"/>
    <w:rsid w:val="00BE3D78"/>
    <w:rsid w:val="00BE3EF4"/>
    <w:rsid w:val="00BE3F06"/>
    <w:rsid w:val="00BE3F8D"/>
    <w:rsid w:val="00BE4081"/>
    <w:rsid w:val="00BE4097"/>
    <w:rsid w:val="00BE4164"/>
    <w:rsid w:val="00BE4220"/>
    <w:rsid w:val="00BE4296"/>
    <w:rsid w:val="00BE42FB"/>
    <w:rsid w:val="00BE4315"/>
    <w:rsid w:val="00BE43AB"/>
    <w:rsid w:val="00BE4425"/>
    <w:rsid w:val="00BE45C9"/>
    <w:rsid w:val="00BE45D8"/>
    <w:rsid w:val="00BE46AB"/>
    <w:rsid w:val="00BE4872"/>
    <w:rsid w:val="00BE4877"/>
    <w:rsid w:val="00BE48B0"/>
    <w:rsid w:val="00BE49C8"/>
    <w:rsid w:val="00BE4A8E"/>
    <w:rsid w:val="00BE4B63"/>
    <w:rsid w:val="00BE4BE7"/>
    <w:rsid w:val="00BE4CC1"/>
    <w:rsid w:val="00BE4D49"/>
    <w:rsid w:val="00BE4D59"/>
    <w:rsid w:val="00BE4E9D"/>
    <w:rsid w:val="00BE5024"/>
    <w:rsid w:val="00BE5059"/>
    <w:rsid w:val="00BE51A4"/>
    <w:rsid w:val="00BE5261"/>
    <w:rsid w:val="00BE5487"/>
    <w:rsid w:val="00BE563C"/>
    <w:rsid w:val="00BE5670"/>
    <w:rsid w:val="00BE56CA"/>
    <w:rsid w:val="00BE5804"/>
    <w:rsid w:val="00BE586B"/>
    <w:rsid w:val="00BE587B"/>
    <w:rsid w:val="00BE5897"/>
    <w:rsid w:val="00BE59B7"/>
    <w:rsid w:val="00BE5B30"/>
    <w:rsid w:val="00BE5C03"/>
    <w:rsid w:val="00BE5C17"/>
    <w:rsid w:val="00BE5C35"/>
    <w:rsid w:val="00BE5C64"/>
    <w:rsid w:val="00BE5CB6"/>
    <w:rsid w:val="00BE5CEC"/>
    <w:rsid w:val="00BE5D0E"/>
    <w:rsid w:val="00BE5DB2"/>
    <w:rsid w:val="00BE5FCE"/>
    <w:rsid w:val="00BE606C"/>
    <w:rsid w:val="00BE60B7"/>
    <w:rsid w:val="00BE60DF"/>
    <w:rsid w:val="00BE61CA"/>
    <w:rsid w:val="00BE61E3"/>
    <w:rsid w:val="00BE61EC"/>
    <w:rsid w:val="00BE61FC"/>
    <w:rsid w:val="00BE62F7"/>
    <w:rsid w:val="00BE6341"/>
    <w:rsid w:val="00BE6360"/>
    <w:rsid w:val="00BE6413"/>
    <w:rsid w:val="00BE6416"/>
    <w:rsid w:val="00BE644C"/>
    <w:rsid w:val="00BE64B3"/>
    <w:rsid w:val="00BE667A"/>
    <w:rsid w:val="00BE688F"/>
    <w:rsid w:val="00BE68D2"/>
    <w:rsid w:val="00BE68D5"/>
    <w:rsid w:val="00BE6995"/>
    <w:rsid w:val="00BE69F0"/>
    <w:rsid w:val="00BE6AB1"/>
    <w:rsid w:val="00BE6ACE"/>
    <w:rsid w:val="00BE6AEA"/>
    <w:rsid w:val="00BE6B6C"/>
    <w:rsid w:val="00BE6B8D"/>
    <w:rsid w:val="00BE6BB3"/>
    <w:rsid w:val="00BE6CA8"/>
    <w:rsid w:val="00BE6F09"/>
    <w:rsid w:val="00BE6F97"/>
    <w:rsid w:val="00BE6FDB"/>
    <w:rsid w:val="00BE7107"/>
    <w:rsid w:val="00BE712E"/>
    <w:rsid w:val="00BE71A6"/>
    <w:rsid w:val="00BE7203"/>
    <w:rsid w:val="00BE7255"/>
    <w:rsid w:val="00BE7294"/>
    <w:rsid w:val="00BE72F4"/>
    <w:rsid w:val="00BE7428"/>
    <w:rsid w:val="00BE7443"/>
    <w:rsid w:val="00BE7494"/>
    <w:rsid w:val="00BE7528"/>
    <w:rsid w:val="00BE75B2"/>
    <w:rsid w:val="00BE76B8"/>
    <w:rsid w:val="00BE76C1"/>
    <w:rsid w:val="00BE7761"/>
    <w:rsid w:val="00BE7898"/>
    <w:rsid w:val="00BE79A6"/>
    <w:rsid w:val="00BE7A72"/>
    <w:rsid w:val="00BE7BA4"/>
    <w:rsid w:val="00BE7C49"/>
    <w:rsid w:val="00BE7C81"/>
    <w:rsid w:val="00BE7CC9"/>
    <w:rsid w:val="00BE7D18"/>
    <w:rsid w:val="00BE7D4E"/>
    <w:rsid w:val="00BE7D7C"/>
    <w:rsid w:val="00BE7DAA"/>
    <w:rsid w:val="00BE7E15"/>
    <w:rsid w:val="00BF002A"/>
    <w:rsid w:val="00BF01E1"/>
    <w:rsid w:val="00BF01E3"/>
    <w:rsid w:val="00BF02BF"/>
    <w:rsid w:val="00BF02C4"/>
    <w:rsid w:val="00BF02E2"/>
    <w:rsid w:val="00BF0378"/>
    <w:rsid w:val="00BF066D"/>
    <w:rsid w:val="00BF0732"/>
    <w:rsid w:val="00BF07C6"/>
    <w:rsid w:val="00BF0831"/>
    <w:rsid w:val="00BF0876"/>
    <w:rsid w:val="00BF08DF"/>
    <w:rsid w:val="00BF09E0"/>
    <w:rsid w:val="00BF0A50"/>
    <w:rsid w:val="00BF0AB5"/>
    <w:rsid w:val="00BF0B10"/>
    <w:rsid w:val="00BF0CC4"/>
    <w:rsid w:val="00BF0DEA"/>
    <w:rsid w:val="00BF0E60"/>
    <w:rsid w:val="00BF0EA3"/>
    <w:rsid w:val="00BF0F01"/>
    <w:rsid w:val="00BF0FFE"/>
    <w:rsid w:val="00BF1030"/>
    <w:rsid w:val="00BF1042"/>
    <w:rsid w:val="00BF10F8"/>
    <w:rsid w:val="00BF1180"/>
    <w:rsid w:val="00BF1228"/>
    <w:rsid w:val="00BF1229"/>
    <w:rsid w:val="00BF136C"/>
    <w:rsid w:val="00BF1826"/>
    <w:rsid w:val="00BF18E1"/>
    <w:rsid w:val="00BF18F5"/>
    <w:rsid w:val="00BF193C"/>
    <w:rsid w:val="00BF1A55"/>
    <w:rsid w:val="00BF1A66"/>
    <w:rsid w:val="00BF1C69"/>
    <w:rsid w:val="00BF1CCC"/>
    <w:rsid w:val="00BF1CCF"/>
    <w:rsid w:val="00BF1CF3"/>
    <w:rsid w:val="00BF1D16"/>
    <w:rsid w:val="00BF1E70"/>
    <w:rsid w:val="00BF2051"/>
    <w:rsid w:val="00BF20AB"/>
    <w:rsid w:val="00BF217D"/>
    <w:rsid w:val="00BF21CA"/>
    <w:rsid w:val="00BF21FF"/>
    <w:rsid w:val="00BF2235"/>
    <w:rsid w:val="00BF239B"/>
    <w:rsid w:val="00BF23AD"/>
    <w:rsid w:val="00BF242A"/>
    <w:rsid w:val="00BF247B"/>
    <w:rsid w:val="00BF25AC"/>
    <w:rsid w:val="00BF262A"/>
    <w:rsid w:val="00BF2674"/>
    <w:rsid w:val="00BF26D6"/>
    <w:rsid w:val="00BF280E"/>
    <w:rsid w:val="00BF2818"/>
    <w:rsid w:val="00BF284F"/>
    <w:rsid w:val="00BF288F"/>
    <w:rsid w:val="00BF290A"/>
    <w:rsid w:val="00BF2A8B"/>
    <w:rsid w:val="00BF2C28"/>
    <w:rsid w:val="00BF2DBD"/>
    <w:rsid w:val="00BF2E1E"/>
    <w:rsid w:val="00BF2E44"/>
    <w:rsid w:val="00BF2E70"/>
    <w:rsid w:val="00BF2EF9"/>
    <w:rsid w:val="00BF2F77"/>
    <w:rsid w:val="00BF310D"/>
    <w:rsid w:val="00BF3148"/>
    <w:rsid w:val="00BF33FA"/>
    <w:rsid w:val="00BF3414"/>
    <w:rsid w:val="00BF34BC"/>
    <w:rsid w:val="00BF3521"/>
    <w:rsid w:val="00BF35C8"/>
    <w:rsid w:val="00BF35CA"/>
    <w:rsid w:val="00BF35E2"/>
    <w:rsid w:val="00BF3713"/>
    <w:rsid w:val="00BF3894"/>
    <w:rsid w:val="00BF38BF"/>
    <w:rsid w:val="00BF38C0"/>
    <w:rsid w:val="00BF38D7"/>
    <w:rsid w:val="00BF38FF"/>
    <w:rsid w:val="00BF3905"/>
    <w:rsid w:val="00BF39F9"/>
    <w:rsid w:val="00BF3AF6"/>
    <w:rsid w:val="00BF3B51"/>
    <w:rsid w:val="00BF3BD4"/>
    <w:rsid w:val="00BF3D87"/>
    <w:rsid w:val="00BF3DD4"/>
    <w:rsid w:val="00BF3DEA"/>
    <w:rsid w:val="00BF3E93"/>
    <w:rsid w:val="00BF3EA5"/>
    <w:rsid w:val="00BF3F96"/>
    <w:rsid w:val="00BF3FE6"/>
    <w:rsid w:val="00BF4042"/>
    <w:rsid w:val="00BF4064"/>
    <w:rsid w:val="00BF4066"/>
    <w:rsid w:val="00BF40C0"/>
    <w:rsid w:val="00BF40F4"/>
    <w:rsid w:val="00BF411F"/>
    <w:rsid w:val="00BF41C4"/>
    <w:rsid w:val="00BF4481"/>
    <w:rsid w:val="00BF44EE"/>
    <w:rsid w:val="00BF476A"/>
    <w:rsid w:val="00BF48E1"/>
    <w:rsid w:val="00BF4933"/>
    <w:rsid w:val="00BF49A8"/>
    <w:rsid w:val="00BF49B2"/>
    <w:rsid w:val="00BF4B6A"/>
    <w:rsid w:val="00BF4C46"/>
    <w:rsid w:val="00BF4D0E"/>
    <w:rsid w:val="00BF4D10"/>
    <w:rsid w:val="00BF4D78"/>
    <w:rsid w:val="00BF4DA9"/>
    <w:rsid w:val="00BF4E1B"/>
    <w:rsid w:val="00BF4E1D"/>
    <w:rsid w:val="00BF50CC"/>
    <w:rsid w:val="00BF516D"/>
    <w:rsid w:val="00BF5234"/>
    <w:rsid w:val="00BF5426"/>
    <w:rsid w:val="00BF5477"/>
    <w:rsid w:val="00BF5537"/>
    <w:rsid w:val="00BF5543"/>
    <w:rsid w:val="00BF55DC"/>
    <w:rsid w:val="00BF57D5"/>
    <w:rsid w:val="00BF5879"/>
    <w:rsid w:val="00BF58BD"/>
    <w:rsid w:val="00BF58FF"/>
    <w:rsid w:val="00BF5947"/>
    <w:rsid w:val="00BF595A"/>
    <w:rsid w:val="00BF599B"/>
    <w:rsid w:val="00BF5BDB"/>
    <w:rsid w:val="00BF5CAC"/>
    <w:rsid w:val="00BF5D75"/>
    <w:rsid w:val="00BF5D95"/>
    <w:rsid w:val="00BF5DC9"/>
    <w:rsid w:val="00BF5F1D"/>
    <w:rsid w:val="00BF5F6C"/>
    <w:rsid w:val="00BF5F6F"/>
    <w:rsid w:val="00BF5F95"/>
    <w:rsid w:val="00BF5FEE"/>
    <w:rsid w:val="00BF6066"/>
    <w:rsid w:val="00BF60A6"/>
    <w:rsid w:val="00BF6123"/>
    <w:rsid w:val="00BF617D"/>
    <w:rsid w:val="00BF6185"/>
    <w:rsid w:val="00BF61AB"/>
    <w:rsid w:val="00BF6291"/>
    <w:rsid w:val="00BF63FE"/>
    <w:rsid w:val="00BF6583"/>
    <w:rsid w:val="00BF65D7"/>
    <w:rsid w:val="00BF6675"/>
    <w:rsid w:val="00BF674C"/>
    <w:rsid w:val="00BF6869"/>
    <w:rsid w:val="00BF68CF"/>
    <w:rsid w:val="00BF6903"/>
    <w:rsid w:val="00BF6951"/>
    <w:rsid w:val="00BF69DF"/>
    <w:rsid w:val="00BF6A49"/>
    <w:rsid w:val="00BF6AC7"/>
    <w:rsid w:val="00BF6AD7"/>
    <w:rsid w:val="00BF6AEB"/>
    <w:rsid w:val="00BF6B22"/>
    <w:rsid w:val="00BF6D69"/>
    <w:rsid w:val="00BF6E27"/>
    <w:rsid w:val="00BF6E46"/>
    <w:rsid w:val="00BF6F66"/>
    <w:rsid w:val="00BF6FAB"/>
    <w:rsid w:val="00BF7002"/>
    <w:rsid w:val="00BF7081"/>
    <w:rsid w:val="00BF70BE"/>
    <w:rsid w:val="00BF717A"/>
    <w:rsid w:val="00BF71A5"/>
    <w:rsid w:val="00BF71D3"/>
    <w:rsid w:val="00BF72CB"/>
    <w:rsid w:val="00BF7308"/>
    <w:rsid w:val="00BF759B"/>
    <w:rsid w:val="00BF762A"/>
    <w:rsid w:val="00BF762C"/>
    <w:rsid w:val="00BF7645"/>
    <w:rsid w:val="00BF7702"/>
    <w:rsid w:val="00BF7731"/>
    <w:rsid w:val="00BF786D"/>
    <w:rsid w:val="00BF7925"/>
    <w:rsid w:val="00BF7947"/>
    <w:rsid w:val="00BF7A44"/>
    <w:rsid w:val="00BF7AF1"/>
    <w:rsid w:val="00BF7AF2"/>
    <w:rsid w:val="00BF7BE4"/>
    <w:rsid w:val="00BF7C8A"/>
    <w:rsid w:val="00BF7E23"/>
    <w:rsid w:val="00BF7E72"/>
    <w:rsid w:val="00BF7E9D"/>
    <w:rsid w:val="00BF7EDB"/>
    <w:rsid w:val="00BF7F33"/>
    <w:rsid w:val="00BF7F67"/>
    <w:rsid w:val="00BF7F69"/>
    <w:rsid w:val="00C000AE"/>
    <w:rsid w:val="00C000D9"/>
    <w:rsid w:val="00C00188"/>
    <w:rsid w:val="00C00347"/>
    <w:rsid w:val="00C004FC"/>
    <w:rsid w:val="00C00509"/>
    <w:rsid w:val="00C00589"/>
    <w:rsid w:val="00C0059E"/>
    <w:rsid w:val="00C005A2"/>
    <w:rsid w:val="00C005F1"/>
    <w:rsid w:val="00C00618"/>
    <w:rsid w:val="00C0061F"/>
    <w:rsid w:val="00C00622"/>
    <w:rsid w:val="00C00647"/>
    <w:rsid w:val="00C00666"/>
    <w:rsid w:val="00C006A2"/>
    <w:rsid w:val="00C0081E"/>
    <w:rsid w:val="00C00A06"/>
    <w:rsid w:val="00C00AA2"/>
    <w:rsid w:val="00C00C66"/>
    <w:rsid w:val="00C00D5A"/>
    <w:rsid w:val="00C00EA1"/>
    <w:rsid w:val="00C00EA8"/>
    <w:rsid w:val="00C00F1A"/>
    <w:rsid w:val="00C00F3D"/>
    <w:rsid w:val="00C00F4D"/>
    <w:rsid w:val="00C00F98"/>
    <w:rsid w:val="00C00FE2"/>
    <w:rsid w:val="00C00FF6"/>
    <w:rsid w:val="00C0101B"/>
    <w:rsid w:val="00C0106D"/>
    <w:rsid w:val="00C0122E"/>
    <w:rsid w:val="00C0128F"/>
    <w:rsid w:val="00C013EE"/>
    <w:rsid w:val="00C014BF"/>
    <w:rsid w:val="00C014CF"/>
    <w:rsid w:val="00C014F0"/>
    <w:rsid w:val="00C01605"/>
    <w:rsid w:val="00C01630"/>
    <w:rsid w:val="00C0163E"/>
    <w:rsid w:val="00C01691"/>
    <w:rsid w:val="00C016BF"/>
    <w:rsid w:val="00C01748"/>
    <w:rsid w:val="00C017B6"/>
    <w:rsid w:val="00C01819"/>
    <w:rsid w:val="00C0183C"/>
    <w:rsid w:val="00C01858"/>
    <w:rsid w:val="00C01933"/>
    <w:rsid w:val="00C01A49"/>
    <w:rsid w:val="00C01A92"/>
    <w:rsid w:val="00C01BA4"/>
    <w:rsid w:val="00C01BE2"/>
    <w:rsid w:val="00C01D2D"/>
    <w:rsid w:val="00C01D62"/>
    <w:rsid w:val="00C01DCC"/>
    <w:rsid w:val="00C01EA8"/>
    <w:rsid w:val="00C01F5D"/>
    <w:rsid w:val="00C01F9A"/>
    <w:rsid w:val="00C0201C"/>
    <w:rsid w:val="00C02066"/>
    <w:rsid w:val="00C0209B"/>
    <w:rsid w:val="00C020EF"/>
    <w:rsid w:val="00C022AA"/>
    <w:rsid w:val="00C02498"/>
    <w:rsid w:val="00C02583"/>
    <w:rsid w:val="00C02587"/>
    <w:rsid w:val="00C02624"/>
    <w:rsid w:val="00C02662"/>
    <w:rsid w:val="00C026C4"/>
    <w:rsid w:val="00C026E0"/>
    <w:rsid w:val="00C02701"/>
    <w:rsid w:val="00C0270D"/>
    <w:rsid w:val="00C027CA"/>
    <w:rsid w:val="00C028C4"/>
    <w:rsid w:val="00C0290D"/>
    <w:rsid w:val="00C02945"/>
    <w:rsid w:val="00C02A14"/>
    <w:rsid w:val="00C02A92"/>
    <w:rsid w:val="00C02AC8"/>
    <w:rsid w:val="00C02B3A"/>
    <w:rsid w:val="00C02F54"/>
    <w:rsid w:val="00C02FB1"/>
    <w:rsid w:val="00C031EF"/>
    <w:rsid w:val="00C032A3"/>
    <w:rsid w:val="00C0334D"/>
    <w:rsid w:val="00C03426"/>
    <w:rsid w:val="00C034F9"/>
    <w:rsid w:val="00C0360D"/>
    <w:rsid w:val="00C03638"/>
    <w:rsid w:val="00C0377A"/>
    <w:rsid w:val="00C0382D"/>
    <w:rsid w:val="00C03869"/>
    <w:rsid w:val="00C038B4"/>
    <w:rsid w:val="00C03907"/>
    <w:rsid w:val="00C03913"/>
    <w:rsid w:val="00C0399F"/>
    <w:rsid w:val="00C039AC"/>
    <w:rsid w:val="00C03A29"/>
    <w:rsid w:val="00C03A89"/>
    <w:rsid w:val="00C03B01"/>
    <w:rsid w:val="00C03B67"/>
    <w:rsid w:val="00C03D26"/>
    <w:rsid w:val="00C03EC6"/>
    <w:rsid w:val="00C03ED4"/>
    <w:rsid w:val="00C03F52"/>
    <w:rsid w:val="00C03FC8"/>
    <w:rsid w:val="00C040CB"/>
    <w:rsid w:val="00C041CE"/>
    <w:rsid w:val="00C042AC"/>
    <w:rsid w:val="00C0431F"/>
    <w:rsid w:val="00C044E5"/>
    <w:rsid w:val="00C046F7"/>
    <w:rsid w:val="00C047C1"/>
    <w:rsid w:val="00C04841"/>
    <w:rsid w:val="00C048A8"/>
    <w:rsid w:val="00C04985"/>
    <w:rsid w:val="00C04A90"/>
    <w:rsid w:val="00C04C14"/>
    <w:rsid w:val="00C04CC5"/>
    <w:rsid w:val="00C04E0A"/>
    <w:rsid w:val="00C04F5E"/>
    <w:rsid w:val="00C0501A"/>
    <w:rsid w:val="00C05020"/>
    <w:rsid w:val="00C0502E"/>
    <w:rsid w:val="00C050A6"/>
    <w:rsid w:val="00C051E5"/>
    <w:rsid w:val="00C052FC"/>
    <w:rsid w:val="00C05362"/>
    <w:rsid w:val="00C0547D"/>
    <w:rsid w:val="00C05527"/>
    <w:rsid w:val="00C0559C"/>
    <w:rsid w:val="00C05629"/>
    <w:rsid w:val="00C05692"/>
    <w:rsid w:val="00C056F1"/>
    <w:rsid w:val="00C05713"/>
    <w:rsid w:val="00C05727"/>
    <w:rsid w:val="00C057C1"/>
    <w:rsid w:val="00C057F4"/>
    <w:rsid w:val="00C057F5"/>
    <w:rsid w:val="00C0580C"/>
    <w:rsid w:val="00C0582D"/>
    <w:rsid w:val="00C05848"/>
    <w:rsid w:val="00C05880"/>
    <w:rsid w:val="00C058E9"/>
    <w:rsid w:val="00C0594B"/>
    <w:rsid w:val="00C059D1"/>
    <w:rsid w:val="00C05A62"/>
    <w:rsid w:val="00C05A73"/>
    <w:rsid w:val="00C05AFD"/>
    <w:rsid w:val="00C05D2D"/>
    <w:rsid w:val="00C05D52"/>
    <w:rsid w:val="00C05D57"/>
    <w:rsid w:val="00C05E2B"/>
    <w:rsid w:val="00C05F21"/>
    <w:rsid w:val="00C05F82"/>
    <w:rsid w:val="00C06017"/>
    <w:rsid w:val="00C060E2"/>
    <w:rsid w:val="00C060F5"/>
    <w:rsid w:val="00C0618D"/>
    <w:rsid w:val="00C061EA"/>
    <w:rsid w:val="00C062C2"/>
    <w:rsid w:val="00C063C2"/>
    <w:rsid w:val="00C063E2"/>
    <w:rsid w:val="00C0653F"/>
    <w:rsid w:val="00C06558"/>
    <w:rsid w:val="00C06571"/>
    <w:rsid w:val="00C065A7"/>
    <w:rsid w:val="00C06609"/>
    <w:rsid w:val="00C067D9"/>
    <w:rsid w:val="00C06838"/>
    <w:rsid w:val="00C0694A"/>
    <w:rsid w:val="00C06962"/>
    <w:rsid w:val="00C06A00"/>
    <w:rsid w:val="00C06A51"/>
    <w:rsid w:val="00C06B47"/>
    <w:rsid w:val="00C06BBF"/>
    <w:rsid w:val="00C06BE1"/>
    <w:rsid w:val="00C06C0F"/>
    <w:rsid w:val="00C06C90"/>
    <w:rsid w:val="00C06CAD"/>
    <w:rsid w:val="00C06D61"/>
    <w:rsid w:val="00C06D8C"/>
    <w:rsid w:val="00C06D99"/>
    <w:rsid w:val="00C06DCE"/>
    <w:rsid w:val="00C06DFC"/>
    <w:rsid w:val="00C06F41"/>
    <w:rsid w:val="00C06FA2"/>
    <w:rsid w:val="00C06FCC"/>
    <w:rsid w:val="00C06FD4"/>
    <w:rsid w:val="00C07046"/>
    <w:rsid w:val="00C070B4"/>
    <w:rsid w:val="00C070C1"/>
    <w:rsid w:val="00C070D1"/>
    <w:rsid w:val="00C07145"/>
    <w:rsid w:val="00C071A1"/>
    <w:rsid w:val="00C07205"/>
    <w:rsid w:val="00C07235"/>
    <w:rsid w:val="00C0743C"/>
    <w:rsid w:val="00C0748C"/>
    <w:rsid w:val="00C07497"/>
    <w:rsid w:val="00C0750D"/>
    <w:rsid w:val="00C07511"/>
    <w:rsid w:val="00C0752D"/>
    <w:rsid w:val="00C075F5"/>
    <w:rsid w:val="00C076BA"/>
    <w:rsid w:val="00C07773"/>
    <w:rsid w:val="00C07A8D"/>
    <w:rsid w:val="00C07B56"/>
    <w:rsid w:val="00C07B64"/>
    <w:rsid w:val="00C07B86"/>
    <w:rsid w:val="00C07BAA"/>
    <w:rsid w:val="00C07DB1"/>
    <w:rsid w:val="00C07F30"/>
    <w:rsid w:val="00C07F71"/>
    <w:rsid w:val="00C07FA2"/>
    <w:rsid w:val="00C100E2"/>
    <w:rsid w:val="00C1011A"/>
    <w:rsid w:val="00C10135"/>
    <w:rsid w:val="00C101C5"/>
    <w:rsid w:val="00C101E1"/>
    <w:rsid w:val="00C1022F"/>
    <w:rsid w:val="00C1027B"/>
    <w:rsid w:val="00C102AF"/>
    <w:rsid w:val="00C10301"/>
    <w:rsid w:val="00C10328"/>
    <w:rsid w:val="00C10342"/>
    <w:rsid w:val="00C10355"/>
    <w:rsid w:val="00C10440"/>
    <w:rsid w:val="00C10490"/>
    <w:rsid w:val="00C104A9"/>
    <w:rsid w:val="00C104B8"/>
    <w:rsid w:val="00C104C3"/>
    <w:rsid w:val="00C104DB"/>
    <w:rsid w:val="00C10957"/>
    <w:rsid w:val="00C1099A"/>
    <w:rsid w:val="00C109CA"/>
    <w:rsid w:val="00C109DB"/>
    <w:rsid w:val="00C109E6"/>
    <w:rsid w:val="00C10A42"/>
    <w:rsid w:val="00C10B27"/>
    <w:rsid w:val="00C10BA5"/>
    <w:rsid w:val="00C10C41"/>
    <w:rsid w:val="00C10C51"/>
    <w:rsid w:val="00C10CF7"/>
    <w:rsid w:val="00C10E65"/>
    <w:rsid w:val="00C10FB5"/>
    <w:rsid w:val="00C110A6"/>
    <w:rsid w:val="00C1113F"/>
    <w:rsid w:val="00C112D6"/>
    <w:rsid w:val="00C114D5"/>
    <w:rsid w:val="00C11571"/>
    <w:rsid w:val="00C115B2"/>
    <w:rsid w:val="00C1164A"/>
    <w:rsid w:val="00C1165A"/>
    <w:rsid w:val="00C11784"/>
    <w:rsid w:val="00C1186D"/>
    <w:rsid w:val="00C118DB"/>
    <w:rsid w:val="00C118ED"/>
    <w:rsid w:val="00C11972"/>
    <w:rsid w:val="00C11979"/>
    <w:rsid w:val="00C11A42"/>
    <w:rsid w:val="00C11AFA"/>
    <w:rsid w:val="00C11B20"/>
    <w:rsid w:val="00C11B54"/>
    <w:rsid w:val="00C11C92"/>
    <w:rsid w:val="00C11D45"/>
    <w:rsid w:val="00C11DCD"/>
    <w:rsid w:val="00C11EEE"/>
    <w:rsid w:val="00C12043"/>
    <w:rsid w:val="00C12143"/>
    <w:rsid w:val="00C121FC"/>
    <w:rsid w:val="00C1221E"/>
    <w:rsid w:val="00C12223"/>
    <w:rsid w:val="00C122B2"/>
    <w:rsid w:val="00C122CF"/>
    <w:rsid w:val="00C12313"/>
    <w:rsid w:val="00C12333"/>
    <w:rsid w:val="00C123B1"/>
    <w:rsid w:val="00C123F5"/>
    <w:rsid w:val="00C12453"/>
    <w:rsid w:val="00C12459"/>
    <w:rsid w:val="00C124A5"/>
    <w:rsid w:val="00C125F9"/>
    <w:rsid w:val="00C1262D"/>
    <w:rsid w:val="00C126B7"/>
    <w:rsid w:val="00C12859"/>
    <w:rsid w:val="00C128D9"/>
    <w:rsid w:val="00C1290D"/>
    <w:rsid w:val="00C1291D"/>
    <w:rsid w:val="00C12981"/>
    <w:rsid w:val="00C129ED"/>
    <w:rsid w:val="00C12A09"/>
    <w:rsid w:val="00C12A42"/>
    <w:rsid w:val="00C12BB9"/>
    <w:rsid w:val="00C12E41"/>
    <w:rsid w:val="00C12E67"/>
    <w:rsid w:val="00C12E8B"/>
    <w:rsid w:val="00C13061"/>
    <w:rsid w:val="00C132A2"/>
    <w:rsid w:val="00C132DF"/>
    <w:rsid w:val="00C1348C"/>
    <w:rsid w:val="00C134A0"/>
    <w:rsid w:val="00C134C3"/>
    <w:rsid w:val="00C134FA"/>
    <w:rsid w:val="00C13539"/>
    <w:rsid w:val="00C1360D"/>
    <w:rsid w:val="00C13611"/>
    <w:rsid w:val="00C136D6"/>
    <w:rsid w:val="00C1370A"/>
    <w:rsid w:val="00C13719"/>
    <w:rsid w:val="00C1371D"/>
    <w:rsid w:val="00C13724"/>
    <w:rsid w:val="00C138EF"/>
    <w:rsid w:val="00C13983"/>
    <w:rsid w:val="00C13BA2"/>
    <w:rsid w:val="00C13C8B"/>
    <w:rsid w:val="00C13ECA"/>
    <w:rsid w:val="00C1410F"/>
    <w:rsid w:val="00C141B7"/>
    <w:rsid w:val="00C14224"/>
    <w:rsid w:val="00C142E4"/>
    <w:rsid w:val="00C14319"/>
    <w:rsid w:val="00C1438C"/>
    <w:rsid w:val="00C1443B"/>
    <w:rsid w:val="00C1445D"/>
    <w:rsid w:val="00C14465"/>
    <w:rsid w:val="00C144B8"/>
    <w:rsid w:val="00C144C8"/>
    <w:rsid w:val="00C144CE"/>
    <w:rsid w:val="00C145A4"/>
    <w:rsid w:val="00C146A0"/>
    <w:rsid w:val="00C146A2"/>
    <w:rsid w:val="00C146D6"/>
    <w:rsid w:val="00C14746"/>
    <w:rsid w:val="00C14948"/>
    <w:rsid w:val="00C149DA"/>
    <w:rsid w:val="00C14A42"/>
    <w:rsid w:val="00C14A46"/>
    <w:rsid w:val="00C14AAA"/>
    <w:rsid w:val="00C14AB5"/>
    <w:rsid w:val="00C14ABA"/>
    <w:rsid w:val="00C14B53"/>
    <w:rsid w:val="00C14BAE"/>
    <w:rsid w:val="00C14C30"/>
    <w:rsid w:val="00C14C59"/>
    <w:rsid w:val="00C14C72"/>
    <w:rsid w:val="00C14D13"/>
    <w:rsid w:val="00C14D17"/>
    <w:rsid w:val="00C14D87"/>
    <w:rsid w:val="00C14F7C"/>
    <w:rsid w:val="00C14FAF"/>
    <w:rsid w:val="00C150C1"/>
    <w:rsid w:val="00C150DC"/>
    <w:rsid w:val="00C150DE"/>
    <w:rsid w:val="00C150F4"/>
    <w:rsid w:val="00C150FD"/>
    <w:rsid w:val="00C1519A"/>
    <w:rsid w:val="00C151A8"/>
    <w:rsid w:val="00C151C4"/>
    <w:rsid w:val="00C15269"/>
    <w:rsid w:val="00C1527E"/>
    <w:rsid w:val="00C152AA"/>
    <w:rsid w:val="00C152F8"/>
    <w:rsid w:val="00C15332"/>
    <w:rsid w:val="00C153C0"/>
    <w:rsid w:val="00C15466"/>
    <w:rsid w:val="00C15536"/>
    <w:rsid w:val="00C15619"/>
    <w:rsid w:val="00C1561D"/>
    <w:rsid w:val="00C1578E"/>
    <w:rsid w:val="00C15791"/>
    <w:rsid w:val="00C157D9"/>
    <w:rsid w:val="00C158FD"/>
    <w:rsid w:val="00C1597B"/>
    <w:rsid w:val="00C15A82"/>
    <w:rsid w:val="00C15AB5"/>
    <w:rsid w:val="00C15B73"/>
    <w:rsid w:val="00C15BF0"/>
    <w:rsid w:val="00C15BF7"/>
    <w:rsid w:val="00C15C62"/>
    <w:rsid w:val="00C15C8D"/>
    <w:rsid w:val="00C15CC5"/>
    <w:rsid w:val="00C15CE1"/>
    <w:rsid w:val="00C15E24"/>
    <w:rsid w:val="00C15EFA"/>
    <w:rsid w:val="00C15F15"/>
    <w:rsid w:val="00C1605D"/>
    <w:rsid w:val="00C160C3"/>
    <w:rsid w:val="00C160F4"/>
    <w:rsid w:val="00C16145"/>
    <w:rsid w:val="00C1631D"/>
    <w:rsid w:val="00C1632B"/>
    <w:rsid w:val="00C163AD"/>
    <w:rsid w:val="00C1640C"/>
    <w:rsid w:val="00C16569"/>
    <w:rsid w:val="00C1659B"/>
    <w:rsid w:val="00C165BD"/>
    <w:rsid w:val="00C165E7"/>
    <w:rsid w:val="00C16687"/>
    <w:rsid w:val="00C166B6"/>
    <w:rsid w:val="00C166BD"/>
    <w:rsid w:val="00C16855"/>
    <w:rsid w:val="00C16930"/>
    <w:rsid w:val="00C1696A"/>
    <w:rsid w:val="00C1698B"/>
    <w:rsid w:val="00C169D0"/>
    <w:rsid w:val="00C16A4B"/>
    <w:rsid w:val="00C16ABB"/>
    <w:rsid w:val="00C16ABF"/>
    <w:rsid w:val="00C16ADC"/>
    <w:rsid w:val="00C16D6D"/>
    <w:rsid w:val="00C16DB3"/>
    <w:rsid w:val="00C16DBB"/>
    <w:rsid w:val="00C16E92"/>
    <w:rsid w:val="00C16EC0"/>
    <w:rsid w:val="00C16EC8"/>
    <w:rsid w:val="00C16ED5"/>
    <w:rsid w:val="00C16F06"/>
    <w:rsid w:val="00C17103"/>
    <w:rsid w:val="00C17124"/>
    <w:rsid w:val="00C17178"/>
    <w:rsid w:val="00C1727B"/>
    <w:rsid w:val="00C172BD"/>
    <w:rsid w:val="00C17340"/>
    <w:rsid w:val="00C17341"/>
    <w:rsid w:val="00C174A9"/>
    <w:rsid w:val="00C174CC"/>
    <w:rsid w:val="00C174E1"/>
    <w:rsid w:val="00C17611"/>
    <w:rsid w:val="00C176A2"/>
    <w:rsid w:val="00C176BE"/>
    <w:rsid w:val="00C17733"/>
    <w:rsid w:val="00C177C0"/>
    <w:rsid w:val="00C178C9"/>
    <w:rsid w:val="00C1790C"/>
    <w:rsid w:val="00C1796D"/>
    <w:rsid w:val="00C179B9"/>
    <w:rsid w:val="00C179BB"/>
    <w:rsid w:val="00C17AA3"/>
    <w:rsid w:val="00C17ABE"/>
    <w:rsid w:val="00C17AD2"/>
    <w:rsid w:val="00C17ADC"/>
    <w:rsid w:val="00C17B4B"/>
    <w:rsid w:val="00C17D3C"/>
    <w:rsid w:val="00C17FC9"/>
    <w:rsid w:val="00C17FE0"/>
    <w:rsid w:val="00C2014C"/>
    <w:rsid w:val="00C2024B"/>
    <w:rsid w:val="00C202A7"/>
    <w:rsid w:val="00C202B3"/>
    <w:rsid w:val="00C20333"/>
    <w:rsid w:val="00C203C3"/>
    <w:rsid w:val="00C2043A"/>
    <w:rsid w:val="00C20472"/>
    <w:rsid w:val="00C2053C"/>
    <w:rsid w:val="00C2062C"/>
    <w:rsid w:val="00C20702"/>
    <w:rsid w:val="00C20784"/>
    <w:rsid w:val="00C20824"/>
    <w:rsid w:val="00C20927"/>
    <w:rsid w:val="00C20ADB"/>
    <w:rsid w:val="00C20C95"/>
    <w:rsid w:val="00C20EAC"/>
    <w:rsid w:val="00C20EB7"/>
    <w:rsid w:val="00C20ED3"/>
    <w:rsid w:val="00C20FB7"/>
    <w:rsid w:val="00C20FFA"/>
    <w:rsid w:val="00C20FFE"/>
    <w:rsid w:val="00C2101B"/>
    <w:rsid w:val="00C210E1"/>
    <w:rsid w:val="00C210E6"/>
    <w:rsid w:val="00C21184"/>
    <w:rsid w:val="00C2118E"/>
    <w:rsid w:val="00C211C4"/>
    <w:rsid w:val="00C21243"/>
    <w:rsid w:val="00C2127A"/>
    <w:rsid w:val="00C21350"/>
    <w:rsid w:val="00C213DC"/>
    <w:rsid w:val="00C213E7"/>
    <w:rsid w:val="00C21455"/>
    <w:rsid w:val="00C2146B"/>
    <w:rsid w:val="00C21477"/>
    <w:rsid w:val="00C214BA"/>
    <w:rsid w:val="00C21545"/>
    <w:rsid w:val="00C2169B"/>
    <w:rsid w:val="00C216B1"/>
    <w:rsid w:val="00C2183B"/>
    <w:rsid w:val="00C2184A"/>
    <w:rsid w:val="00C21A1F"/>
    <w:rsid w:val="00C21ACF"/>
    <w:rsid w:val="00C21AE8"/>
    <w:rsid w:val="00C21AF4"/>
    <w:rsid w:val="00C21B0B"/>
    <w:rsid w:val="00C21B69"/>
    <w:rsid w:val="00C21B6F"/>
    <w:rsid w:val="00C21BD5"/>
    <w:rsid w:val="00C21CF2"/>
    <w:rsid w:val="00C21D70"/>
    <w:rsid w:val="00C21E82"/>
    <w:rsid w:val="00C21EE0"/>
    <w:rsid w:val="00C21FED"/>
    <w:rsid w:val="00C220EB"/>
    <w:rsid w:val="00C2211A"/>
    <w:rsid w:val="00C22199"/>
    <w:rsid w:val="00C2231F"/>
    <w:rsid w:val="00C2232C"/>
    <w:rsid w:val="00C22453"/>
    <w:rsid w:val="00C22483"/>
    <w:rsid w:val="00C2254E"/>
    <w:rsid w:val="00C225D0"/>
    <w:rsid w:val="00C225EB"/>
    <w:rsid w:val="00C226A2"/>
    <w:rsid w:val="00C228D1"/>
    <w:rsid w:val="00C22930"/>
    <w:rsid w:val="00C229AB"/>
    <w:rsid w:val="00C22A67"/>
    <w:rsid w:val="00C22AFE"/>
    <w:rsid w:val="00C22B1C"/>
    <w:rsid w:val="00C22BDA"/>
    <w:rsid w:val="00C22BEE"/>
    <w:rsid w:val="00C22BF6"/>
    <w:rsid w:val="00C22C5A"/>
    <w:rsid w:val="00C22D21"/>
    <w:rsid w:val="00C22DFB"/>
    <w:rsid w:val="00C22E19"/>
    <w:rsid w:val="00C22E2D"/>
    <w:rsid w:val="00C22EBF"/>
    <w:rsid w:val="00C22F6B"/>
    <w:rsid w:val="00C2300D"/>
    <w:rsid w:val="00C2309B"/>
    <w:rsid w:val="00C23105"/>
    <w:rsid w:val="00C23155"/>
    <w:rsid w:val="00C23183"/>
    <w:rsid w:val="00C23245"/>
    <w:rsid w:val="00C232F2"/>
    <w:rsid w:val="00C2338E"/>
    <w:rsid w:val="00C2340E"/>
    <w:rsid w:val="00C23571"/>
    <w:rsid w:val="00C23587"/>
    <w:rsid w:val="00C235C2"/>
    <w:rsid w:val="00C236BE"/>
    <w:rsid w:val="00C23797"/>
    <w:rsid w:val="00C23870"/>
    <w:rsid w:val="00C23874"/>
    <w:rsid w:val="00C239B7"/>
    <w:rsid w:val="00C239BA"/>
    <w:rsid w:val="00C23AC4"/>
    <w:rsid w:val="00C23D30"/>
    <w:rsid w:val="00C23DAC"/>
    <w:rsid w:val="00C23E74"/>
    <w:rsid w:val="00C241F1"/>
    <w:rsid w:val="00C2425B"/>
    <w:rsid w:val="00C2436E"/>
    <w:rsid w:val="00C24510"/>
    <w:rsid w:val="00C245B0"/>
    <w:rsid w:val="00C24663"/>
    <w:rsid w:val="00C24736"/>
    <w:rsid w:val="00C2486B"/>
    <w:rsid w:val="00C24897"/>
    <w:rsid w:val="00C248CF"/>
    <w:rsid w:val="00C248D6"/>
    <w:rsid w:val="00C24939"/>
    <w:rsid w:val="00C24974"/>
    <w:rsid w:val="00C24AB5"/>
    <w:rsid w:val="00C24CD9"/>
    <w:rsid w:val="00C24D3A"/>
    <w:rsid w:val="00C24F45"/>
    <w:rsid w:val="00C24FF0"/>
    <w:rsid w:val="00C2502A"/>
    <w:rsid w:val="00C25084"/>
    <w:rsid w:val="00C25096"/>
    <w:rsid w:val="00C250A0"/>
    <w:rsid w:val="00C2514D"/>
    <w:rsid w:val="00C25183"/>
    <w:rsid w:val="00C251AA"/>
    <w:rsid w:val="00C2528C"/>
    <w:rsid w:val="00C25411"/>
    <w:rsid w:val="00C2543A"/>
    <w:rsid w:val="00C2552B"/>
    <w:rsid w:val="00C2560B"/>
    <w:rsid w:val="00C2567C"/>
    <w:rsid w:val="00C256FC"/>
    <w:rsid w:val="00C25952"/>
    <w:rsid w:val="00C25956"/>
    <w:rsid w:val="00C25A2C"/>
    <w:rsid w:val="00C25BCF"/>
    <w:rsid w:val="00C25D31"/>
    <w:rsid w:val="00C25D3C"/>
    <w:rsid w:val="00C25EB3"/>
    <w:rsid w:val="00C25EFF"/>
    <w:rsid w:val="00C26005"/>
    <w:rsid w:val="00C2604A"/>
    <w:rsid w:val="00C2611B"/>
    <w:rsid w:val="00C26120"/>
    <w:rsid w:val="00C262FF"/>
    <w:rsid w:val="00C26309"/>
    <w:rsid w:val="00C2630B"/>
    <w:rsid w:val="00C26337"/>
    <w:rsid w:val="00C26352"/>
    <w:rsid w:val="00C26357"/>
    <w:rsid w:val="00C2635F"/>
    <w:rsid w:val="00C263AB"/>
    <w:rsid w:val="00C2648D"/>
    <w:rsid w:val="00C2652F"/>
    <w:rsid w:val="00C265D4"/>
    <w:rsid w:val="00C265F8"/>
    <w:rsid w:val="00C26607"/>
    <w:rsid w:val="00C26649"/>
    <w:rsid w:val="00C2672A"/>
    <w:rsid w:val="00C267E9"/>
    <w:rsid w:val="00C26805"/>
    <w:rsid w:val="00C268B9"/>
    <w:rsid w:val="00C26AF6"/>
    <w:rsid w:val="00C26B59"/>
    <w:rsid w:val="00C26C37"/>
    <w:rsid w:val="00C26C4E"/>
    <w:rsid w:val="00C26CB8"/>
    <w:rsid w:val="00C26D0C"/>
    <w:rsid w:val="00C2700D"/>
    <w:rsid w:val="00C270C9"/>
    <w:rsid w:val="00C271F7"/>
    <w:rsid w:val="00C27276"/>
    <w:rsid w:val="00C272E2"/>
    <w:rsid w:val="00C27331"/>
    <w:rsid w:val="00C273F0"/>
    <w:rsid w:val="00C2740E"/>
    <w:rsid w:val="00C2747E"/>
    <w:rsid w:val="00C274AC"/>
    <w:rsid w:val="00C274E9"/>
    <w:rsid w:val="00C2754C"/>
    <w:rsid w:val="00C27571"/>
    <w:rsid w:val="00C2759C"/>
    <w:rsid w:val="00C27638"/>
    <w:rsid w:val="00C2768A"/>
    <w:rsid w:val="00C27696"/>
    <w:rsid w:val="00C276B5"/>
    <w:rsid w:val="00C2779A"/>
    <w:rsid w:val="00C2783B"/>
    <w:rsid w:val="00C27842"/>
    <w:rsid w:val="00C27B64"/>
    <w:rsid w:val="00C27C5E"/>
    <w:rsid w:val="00C27E81"/>
    <w:rsid w:val="00C27EFA"/>
    <w:rsid w:val="00C27F2D"/>
    <w:rsid w:val="00C27F9B"/>
    <w:rsid w:val="00C3009E"/>
    <w:rsid w:val="00C30100"/>
    <w:rsid w:val="00C30105"/>
    <w:rsid w:val="00C30167"/>
    <w:rsid w:val="00C301C9"/>
    <w:rsid w:val="00C30297"/>
    <w:rsid w:val="00C302B4"/>
    <w:rsid w:val="00C302E1"/>
    <w:rsid w:val="00C3045A"/>
    <w:rsid w:val="00C30519"/>
    <w:rsid w:val="00C30589"/>
    <w:rsid w:val="00C305A8"/>
    <w:rsid w:val="00C305D0"/>
    <w:rsid w:val="00C306A9"/>
    <w:rsid w:val="00C306AC"/>
    <w:rsid w:val="00C306BF"/>
    <w:rsid w:val="00C30723"/>
    <w:rsid w:val="00C30769"/>
    <w:rsid w:val="00C307F2"/>
    <w:rsid w:val="00C30809"/>
    <w:rsid w:val="00C3081B"/>
    <w:rsid w:val="00C30A7D"/>
    <w:rsid w:val="00C30A90"/>
    <w:rsid w:val="00C30AE1"/>
    <w:rsid w:val="00C30BDE"/>
    <w:rsid w:val="00C30BE3"/>
    <w:rsid w:val="00C30CB8"/>
    <w:rsid w:val="00C30CE6"/>
    <w:rsid w:val="00C30DB8"/>
    <w:rsid w:val="00C30E26"/>
    <w:rsid w:val="00C30E39"/>
    <w:rsid w:val="00C30F9D"/>
    <w:rsid w:val="00C30FD5"/>
    <w:rsid w:val="00C3111D"/>
    <w:rsid w:val="00C3120F"/>
    <w:rsid w:val="00C31313"/>
    <w:rsid w:val="00C31445"/>
    <w:rsid w:val="00C315A6"/>
    <w:rsid w:val="00C31671"/>
    <w:rsid w:val="00C316E7"/>
    <w:rsid w:val="00C316F3"/>
    <w:rsid w:val="00C317EE"/>
    <w:rsid w:val="00C31828"/>
    <w:rsid w:val="00C319A2"/>
    <w:rsid w:val="00C319A8"/>
    <w:rsid w:val="00C31A8B"/>
    <w:rsid w:val="00C31A90"/>
    <w:rsid w:val="00C31BA0"/>
    <w:rsid w:val="00C31C4F"/>
    <w:rsid w:val="00C31CC1"/>
    <w:rsid w:val="00C31D23"/>
    <w:rsid w:val="00C31DBA"/>
    <w:rsid w:val="00C32075"/>
    <w:rsid w:val="00C32085"/>
    <w:rsid w:val="00C3208E"/>
    <w:rsid w:val="00C32121"/>
    <w:rsid w:val="00C32241"/>
    <w:rsid w:val="00C322C0"/>
    <w:rsid w:val="00C32426"/>
    <w:rsid w:val="00C32442"/>
    <w:rsid w:val="00C32511"/>
    <w:rsid w:val="00C327B0"/>
    <w:rsid w:val="00C327F7"/>
    <w:rsid w:val="00C3282A"/>
    <w:rsid w:val="00C32984"/>
    <w:rsid w:val="00C32AC2"/>
    <w:rsid w:val="00C32C16"/>
    <w:rsid w:val="00C32C45"/>
    <w:rsid w:val="00C32CDE"/>
    <w:rsid w:val="00C32DAA"/>
    <w:rsid w:val="00C32DD5"/>
    <w:rsid w:val="00C32DEF"/>
    <w:rsid w:val="00C32EB7"/>
    <w:rsid w:val="00C32EF4"/>
    <w:rsid w:val="00C32F39"/>
    <w:rsid w:val="00C32FA6"/>
    <w:rsid w:val="00C3301C"/>
    <w:rsid w:val="00C33070"/>
    <w:rsid w:val="00C33188"/>
    <w:rsid w:val="00C33194"/>
    <w:rsid w:val="00C33245"/>
    <w:rsid w:val="00C332AB"/>
    <w:rsid w:val="00C333A0"/>
    <w:rsid w:val="00C333D7"/>
    <w:rsid w:val="00C33498"/>
    <w:rsid w:val="00C334D4"/>
    <w:rsid w:val="00C334F4"/>
    <w:rsid w:val="00C33579"/>
    <w:rsid w:val="00C335E2"/>
    <w:rsid w:val="00C33664"/>
    <w:rsid w:val="00C336C5"/>
    <w:rsid w:val="00C33787"/>
    <w:rsid w:val="00C337E6"/>
    <w:rsid w:val="00C33823"/>
    <w:rsid w:val="00C33A44"/>
    <w:rsid w:val="00C33AFE"/>
    <w:rsid w:val="00C33B24"/>
    <w:rsid w:val="00C33BAA"/>
    <w:rsid w:val="00C33F34"/>
    <w:rsid w:val="00C33F4C"/>
    <w:rsid w:val="00C33F5E"/>
    <w:rsid w:val="00C3407C"/>
    <w:rsid w:val="00C3411F"/>
    <w:rsid w:val="00C342B4"/>
    <w:rsid w:val="00C3438D"/>
    <w:rsid w:val="00C344DA"/>
    <w:rsid w:val="00C34547"/>
    <w:rsid w:val="00C34575"/>
    <w:rsid w:val="00C345BE"/>
    <w:rsid w:val="00C3463A"/>
    <w:rsid w:val="00C346D8"/>
    <w:rsid w:val="00C347C6"/>
    <w:rsid w:val="00C347D5"/>
    <w:rsid w:val="00C348BD"/>
    <w:rsid w:val="00C34B61"/>
    <w:rsid w:val="00C34BF5"/>
    <w:rsid w:val="00C34C00"/>
    <w:rsid w:val="00C34C26"/>
    <w:rsid w:val="00C34C64"/>
    <w:rsid w:val="00C34C69"/>
    <w:rsid w:val="00C34C79"/>
    <w:rsid w:val="00C34CD4"/>
    <w:rsid w:val="00C34D0E"/>
    <w:rsid w:val="00C34E8A"/>
    <w:rsid w:val="00C34F3B"/>
    <w:rsid w:val="00C34F66"/>
    <w:rsid w:val="00C35186"/>
    <w:rsid w:val="00C35295"/>
    <w:rsid w:val="00C352A2"/>
    <w:rsid w:val="00C35356"/>
    <w:rsid w:val="00C353D9"/>
    <w:rsid w:val="00C354CE"/>
    <w:rsid w:val="00C3568D"/>
    <w:rsid w:val="00C3575B"/>
    <w:rsid w:val="00C357D6"/>
    <w:rsid w:val="00C35887"/>
    <w:rsid w:val="00C358F3"/>
    <w:rsid w:val="00C3593D"/>
    <w:rsid w:val="00C3597A"/>
    <w:rsid w:val="00C359F7"/>
    <w:rsid w:val="00C35AEF"/>
    <w:rsid w:val="00C35CCC"/>
    <w:rsid w:val="00C35CDF"/>
    <w:rsid w:val="00C35CEB"/>
    <w:rsid w:val="00C35CEF"/>
    <w:rsid w:val="00C35CF1"/>
    <w:rsid w:val="00C35D40"/>
    <w:rsid w:val="00C35D4B"/>
    <w:rsid w:val="00C35D66"/>
    <w:rsid w:val="00C35DB2"/>
    <w:rsid w:val="00C36013"/>
    <w:rsid w:val="00C360E1"/>
    <w:rsid w:val="00C36209"/>
    <w:rsid w:val="00C362CC"/>
    <w:rsid w:val="00C36315"/>
    <w:rsid w:val="00C3638E"/>
    <w:rsid w:val="00C363EB"/>
    <w:rsid w:val="00C364CF"/>
    <w:rsid w:val="00C364E7"/>
    <w:rsid w:val="00C36541"/>
    <w:rsid w:val="00C3664E"/>
    <w:rsid w:val="00C36794"/>
    <w:rsid w:val="00C3696A"/>
    <w:rsid w:val="00C369DD"/>
    <w:rsid w:val="00C36B69"/>
    <w:rsid w:val="00C36B94"/>
    <w:rsid w:val="00C36CCF"/>
    <w:rsid w:val="00C36D6F"/>
    <w:rsid w:val="00C36D88"/>
    <w:rsid w:val="00C36DA2"/>
    <w:rsid w:val="00C36DDD"/>
    <w:rsid w:val="00C36E63"/>
    <w:rsid w:val="00C36E74"/>
    <w:rsid w:val="00C36EB2"/>
    <w:rsid w:val="00C36EEF"/>
    <w:rsid w:val="00C36F23"/>
    <w:rsid w:val="00C36F38"/>
    <w:rsid w:val="00C36F7B"/>
    <w:rsid w:val="00C37050"/>
    <w:rsid w:val="00C3712E"/>
    <w:rsid w:val="00C371D9"/>
    <w:rsid w:val="00C3728E"/>
    <w:rsid w:val="00C37323"/>
    <w:rsid w:val="00C37359"/>
    <w:rsid w:val="00C373D7"/>
    <w:rsid w:val="00C37494"/>
    <w:rsid w:val="00C3749D"/>
    <w:rsid w:val="00C374AB"/>
    <w:rsid w:val="00C37697"/>
    <w:rsid w:val="00C376BF"/>
    <w:rsid w:val="00C3777B"/>
    <w:rsid w:val="00C377D8"/>
    <w:rsid w:val="00C37801"/>
    <w:rsid w:val="00C37B24"/>
    <w:rsid w:val="00C37BD8"/>
    <w:rsid w:val="00C37DF9"/>
    <w:rsid w:val="00C37E29"/>
    <w:rsid w:val="00C37EE7"/>
    <w:rsid w:val="00C37EF9"/>
    <w:rsid w:val="00C37FD8"/>
    <w:rsid w:val="00C40037"/>
    <w:rsid w:val="00C40071"/>
    <w:rsid w:val="00C400BF"/>
    <w:rsid w:val="00C4019F"/>
    <w:rsid w:val="00C4026D"/>
    <w:rsid w:val="00C4034E"/>
    <w:rsid w:val="00C4049E"/>
    <w:rsid w:val="00C405C8"/>
    <w:rsid w:val="00C4062F"/>
    <w:rsid w:val="00C40723"/>
    <w:rsid w:val="00C407AB"/>
    <w:rsid w:val="00C4086F"/>
    <w:rsid w:val="00C40B6E"/>
    <w:rsid w:val="00C40C04"/>
    <w:rsid w:val="00C40D31"/>
    <w:rsid w:val="00C40D59"/>
    <w:rsid w:val="00C4103B"/>
    <w:rsid w:val="00C41187"/>
    <w:rsid w:val="00C4122F"/>
    <w:rsid w:val="00C41247"/>
    <w:rsid w:val="00C41322"/>
    <w:rsid w:val="00C4135F"/>
    <w:rsid w:val="00C41360"/>
    <w:rsid w:val="00C41362"/>
    <w:rsid w:val="00C413FA"/>
    <w:rsid w:val="00C41500"/>
    <w:rsid w:val="00C4152C"/>
    <w:rsid w:val="00C41557"/>
    <w:rsid w:val="00C41560"/>
    <w:rsid w:val="00C4158A"/>
    <w:rsid w:val="00C415AB"/>
    <w:rsid w:val="00C415D7"/>
    <w:rsid w:val="00C415FC"/>
    <w:rsid w:val="00C415FF"/>
    <w:rsid w:val="00C41649"/>
    <w:rsid w:val="00C41673"/>
    <w:rsid w:val="00C41690"/>
    <w:rsid w:val="00C416A2"/>
    <w:rsid w:val="00C416B7"/>
    <w:rsid w:val="00C416F0"/>
    <w:rsid w:val="00C4173D"/>
    <w:rsid w:val="00C41781"/>
    <w:rsid w:val="00C417E2"/>
    <w:rsid w:val="00C4188B"/>
    <w:rsid w:val="00C4189E"/>
    <w:rsid w:val="00C41959"/>
    <w:rsid w:val="00C419A1"/>
    <w:rsid w:val="00C41A43"/>
    <w:rsid w:val="00C41ACE"/>
    <w:rsid w:val="00C41B9D"/>
    <w:rsid w:val="00C41C20"/>
    <w:rsid w:val="00C41DA5"/>
    <w:rsid w:val="00C41DD3"/>
    <w:rsid w:val="00C41DD6"/>
    <w:rsid w:val="00C41E37"/>
    <w:rsid w:val="00C41E93"/>
    <w:rsid w:val="00C41EC4"/>
    <w:rsid w:val="00C41F58"/>
    <w:rsid w:val="00C41FE7"/>
    <w:rsid w:val="00C42011"/>
    <w:rsid w:val="00C4206C"/>
    <w:rsid w:val="00C420C2"/>
    <w:rsid w:val="00C4216B"/>
    <w:rsid w:val="00C421B6"/>
    <w:rsid w:val="00C4223D"/>
    <w:rsid w:val="00C42259"/>
    <w:rsid w:val="00C4225B"/>
    <w:rsid w:val="00C42280"/>
    <w:rsid w:val="00C42370"/>
    <w:rsid w:val="00C423BD"/>
    <w:rsid w:val="00C424BC"/>
    <w:rsid w:val="00C425D2"/>
    <w:rsid w:val="00C425E2"/>
    <w:rsid w:val="00C4261F"/>
    <w:rsid w:val="00C42629"/>
    <w:rsid w:val="00C42766"/>
    <w:rsid w:val="00C428D4"/>
    <w:rsid w:val="00C428EA"/>
    <w:rsid w:val="00C42944"/>
    <w:rsid w:val="00C429D2"/>
    <w:rsid w:val="00C42A27"/>
    <w:rsid w:val="00C42A32"/>
    <w:rsid w:val="00C42AA9"/>
    <w:rsid w:val="00C42B6A"/>
    <w:rsid w:val="00C42B6C"/>
    <w:rsid w:val="00C42BDB"/>
    <w:rsid w:val="00C42C8B"/>
    <w:rsid w:val="00C42C9D"/>
    <w:rsid w:val="00C42D05"/>
    <w:rsid w:val="00C42D79"/>
    <w:rsid w:val="00C42D7C"/>
    <w:rsid w:val="00C42DA8"/>
    <w:rsid w:val="00C42E10"/>
    <w:rsid w:val="00C42E37"/>
    <w:rsid w:val="00C42EC5"/>
    <w:rsid w:val="00C42EE0"/>
    <w:rsid w:val="00C42F20"/>
    <w:rsid w:val="00C42F33"/>
    <w:rsid w:val="00C42F9F"/>
    <w:rsid w:val="00C42FCD"/>
    <w:rsid w:val="00C430A8"/>
    <w:rsid w:val="00C431D2"/>
    <w:rsid w:val="00C43324"/>
    <w:rsid w:val="00C4336D"/>
    <w:rsid w:val="00C433AC"/>
    <w:rsid w:val="00C433D7"/>
    <w:rsid w:val="00C434A5"/>
    <w:rsid w:val="00C434AF"/>
    <w:rsid w:val="00C43528"/>
    <w:rsid w:val="00C4355B"/>
    <w:rsid w:val="00C43617"/>
    <w:rsid w:val="00C439E3"/>
    <w:rsid w:val="00C43A8D"/>
    <w:rsid w:val="00C43A97"/>
    <w:rsid w:val="00C43ABC"/>
    <w:rsid w:val="00C43B03"/>
    <w:rsid w:val="00C43B1E"/>
    <w:rsid w:val="00C43B31"/>
    <w:rsid w:val="00C43D0B"/>
    <w:rsid w:val="00C43DC8"/>
    <w:rsid w:val="00C43E67"/>
    <w:rsid w:val="00C43E8C"/>
    <w:rsid w:val="00C43E92"/>
    <w:rsid w:val="00C43EEC"/>
    <w:rsid w:val="00C44080"/>
    <w:rsid w:val="00C440DC"/>
    <w:rsid w:val="00C441F3"/>
    <w:rsid w:val="00C442F4"/>
    <w:rsid w:val="00C44336"/>
    <w:rsid w:val="00C44349"/>
    <w:rsid w:val="00C4438E"/>
    <w:rsid w:val="00C444BB"/>
    <w:rsid w:val="00C444DD"/>
    <w:rsid w:val="00C44564"/>
    <w:rsid w:val="00C44589"/>
    <w:rsid w:val="00C44590"/>
    <w:rsid w:val="00C445EB"/>
    <w:rsid w:val="00C44668"/>
    <w:rsid w:val="00C446CE"/>
    <w:rsid w:val="00C446E0"/>
    <w:rsid w:val="00C4470D"/>
    <w:rsid w:val="00C4480D"/>
    <w:rsid w:val="00C4491A"/>
    <w:rsid w:val="00C44963"/>
    <w:rsid w:val="00C4498A"/>
    <w:rsid w:val="00C449CE"/>
    <w:rsid w:val="00C449F2"/>
    <w:rsid w:val="00C44A37"/>
    <w:rsid w:val="00C44B21"/>
    <w:rsid w:val="00C44BFE"/>
    <w:rsid w:val="00C44CA6"/>
    <w:rsid w:val="00C44D31"/>
    <w:rsid w:val="00C44D8B"/>
    <w:rsid w:val="00C44E4B"/>
    <w:rsid w:val="00C44EA0"/>
    <w:rsid w:val="00C44EF0"/>
    <w:rsid w:val="00C44FC5"/>
    <w:rsid w:val="00C450FD"/>
    <w:rsid w:val="00C4513E"/>
    <w:rsid w:val="00C45144"/>
    <w:rsid w:val="00C451A8"/>
    <w:rsid w:val="00C4521B"/>
    <w:rsid w:val="00C4529D"/>
    <w:rsid w:val="00C45337"/>
    <w:rsid w:val="00C453AF"/>
    <w:rsid w:val="00C453C2"/>
    <w:rsid w:val="00C45473"/>
    <w:rsid w:val="00C45579"/>
    <w:rsid w:val="00C45654"/>
    <w:rsid w:val="00C45680"/>
    <w:rsid w:val="00C45692"/>
    <w:rsid w:val="00C456A2"/>
    <w:rsid w:val="00C45724"/>
    <w:rsid w:val="00C4575D"/>
    <w:rsid w:val="00C45780"/>
    <w:rsid w:val="00C4582B"/>
    <w:rsid w:val="00C45845"/>
    <w:rsid w:val="00C45A19"/>
    <w:rsid w:val="00C45A77"/>
    <w:rsid w:val="00C45A79"/>
    <w:rsid w:val="00C45A95"/>
    <w:rsid w:val="00C45B31"/>
    <w:rsid w:val="00C45B49"/>
    <w:rsid w:val="00C45B67"/>
    <w:rsid w:val="00C45C33"/>
    <w:rsid w:val="00C45C55"/>
    <w:rsid w:val="00C45CB1"/>
    <w:rsid w:val="00C45D06"/>
    <w:rsid w:val="00C45D0F"/>
    <w:rsid w:val="00C45D6B"/>
    <w:rsid w:val="00C45DB8"/>
    <w:rsid w:val="00C45E03"/>
    <w:rsid w:val="00C45E44"/>
    <w:rsid w:val="00C45E65"/>
    <w:rsid w:val="00C45E8A"/>
    <w:rsid w:val="00C45E93"/>
    <w:rsid w:val="00C45EF8"/>
    <w:rsid w:val="00C45F9A"/>
    <w:rsid w:val="00C45FAE"/>
    <w:rsid w:val="00C45FE4"/>
    <w:rsid w:val="00C4607A"/>
    <w:rsid w:val="00C4611E"/>
    <w:rsid w:val="00C461FA"/>
    <w:rsid w:val="00C463C8"/>
    <w:rsid w:val="00C463CD"/>
    <w:rsid w:val="00C46430"/>
    <w:rsid w:val="00C464B9"/>
    <w:rsid w:val="00C46542"/>
    <w:rsid w:val="00C4668B"/>
    <w:rsid w:val="00C467B0"/>
    <w:rsid w:val="00C468AC"/>
    <w:rsid w:val="00C468F5"/>
    <w:rsid w:val="00C46A4C"/>
    <w:rsid w:val="00C46AE2"/>
    <w:rsid w:val="00C46B14"/>
    <w:rsid w:val="00C46B22"/>
    <w:rsid w:val="00C46B9A"/>
    <w:rsid w:val="00C46C1A"/>
    <w:rsid w:val="00C470A5"/>
    <w:rsid w:val="00C471F7"/>
    <w:rsid w:val="00C47210"/>
    <w:rsid w:val="00C4726B"/>
    <w:rsid w:val="00C472FC"/>
    <w:rsid w:val="00C4732B"/>
    <w:rsid w:val="00C473FD"/>
    <w:rsid w:val="00C47418"/>
    <w:rsid w:val="00C47473"/>
    <w:rsid w:val="00C4747D"/>
    <w:rsid w:val="00C474D1"/>
    <w:rsid w:val="00C474E9"/>
    <w:rsid w:val="00C475C7"/>
    <w:rsid w:val="00C4778F"/>
    <w:rsid w:val="00C477BF"/>
    <w:rsid w:val="00C4781D"/>
    <w:rsid w:val="00C47828"/>
    <w:rsid w:val="00C4798E"/>
    <w:rsid w:val="00C479B7"/>
    <w:rsid w:val="00C47A37"/>
    <w:rsid w:val="00C47AAF"/>
    <w:rsid w:val="00C47B53"/>
    <w:rsid w:val="00C47BFF"/>
    <w:rsid w:val="00C47C33"/>
    <w:rsid w:val="00C47C8D"/>
    <w:rsid w:val="00C47C90"/>
    <w:rsid w:val="00C47E0D"/>
    <w:rsid w:val="00C47E95"/>
    <w:rsid w:val="00C50057"/>
    <w:rsid w:val="00C5012C"/>
    <w:rsid w:val="00C502FD"/>
    <w:rsid w:val="00C5046C"/>
    <w:rsid w:val="00C504AA"/>
    <w:rsid w:val="00C5058E"/>
    <w:rsid w:val="00C505BD"/>
    <w:rsid w:val="00C50623"/>
    <w:rsid w:val="00C5064B"/>
    <w:rsid w:val="00C50722"/>
    <w:rsid w:val="00C507C3"/>
    <w:rsid w:val="00C5098F"/>
    <w:rsid w:val="00C509C9"/>
    <w:rsid w:val="00C50AAF"/>
    <w:rsid w:val="00C50B40"/>
    <w:rsid w:val="00C50B6E"/>
    <w:rsid w:val="00C50C44"/>
    <w:rsid w:val="00C50C60"/>
    <w:rsid w:val="00C50CE7"/>
    <w:rsid w:val="00C50CE8"/>
    <w:rsid w:val="00C50D3D"/>
    <w:rsid w:val="00C50D61"/>
    <w:rsid w:val="00C50D7D"/>
    <w:rsid w:val="00C50DF6"/>
    <w:rsid w:val="00C50EC6"/>
    <w:rsid w:val="00C50F8D"/>
    <w:rsid w:val="00C50FBF"/>
    <w:rsid w:val="00C51007"/>
    <w:rsid w:val="00C510C3"/>
    <w:rsid w:val="00C510F2"/>
    <w:rsid w:val="00C51130"/>
    <w:rsid w:val="00C511B1"/>
    <w:rsid w:val="00C51290"/>
    <w:rsid w:val="00C5135E"/>
    <w:rsid w:val="00C5139D"/>
    <w:rsid w:val="00C51414"/>
    <w:rsid w:val="00C5148D"/>
    <w:rsid w:val="00C514E1"/>
    <w:rsid w:val="00C514EE"/>
    <w:rsid w:val="00C514FC"/>
    <w:rsid w:val="00C51502"/>
    <w:rsid w:val="00C5157B"/>
    <w:rsid w:val="00C517ED"/>
    <w:rsid w:val="00C51915"/>
    <w:rsid w:val="00C5191E"/>
    <w:rsid w:val="00C519BF"/>
    <w:rsid w:val="00C51A1A"/>
    <w:rsid w:val="00C51A51"/>
    <w:rsid w:val="00C51A68"/>
    <w:rsid w:val="00C51AEE"/>
    <w:rsid w:val="00C51B4D"/>
    <w:rsid w:val="00C51B76"/>
    <w:rsid w:val="00C51C97"/>
    <w:rsid w:val="00C51D38"/>
    <w:rsid w:val="00C51E3C"/>
    <w:rsid w:val="00C51E9F"/>
    <w:rsid w:val="00C52032"/>
    <w:rsid w:val="00C52137"/>
    <w:rsid w:val="00C521EB"/>
    <w:rsid w:val="00C5220E"/>
    <w:rsid w:val="00C52216"/>
    <w:rsid w:val="00C522C3"/>
    <w:rsid w:val="00C52324"/>
    <w:rsid w:val="00C52337"/>
    <w:rsid w:val="00C52389"/>
    <w:rsid w:val="00C523E9"/>
    <w:rsid w:val="00C5250D"/>
    <w:rsid w:val="00C5252F"/>
    <w:rsid w:val="00C52535"/>
    <w:rsid w:val="00C52566"/>
    <w:rsid w:val="00C525C9"/>
    <w:rsid w:val="00C526B4"/>
    <w:rsid w:val="00C5278D"/>
    <w:rsid w:val="00C5279C"/>
    <w:rsid w:val="00C52858"/>
    <w:rsid w:val="00C52EF0"/>
    <w:rsid w:val="00C52F2F"/>
    <w:rsid w:val="00C52F5B"/>
    <w:rsid w:val="00C5305C"/>
    <w:rsid w:val="00C530A0"/>
    <w:rsid w:val="00C5310E"/>
    <w:rsid w:val="00C53179"/>
    <w:rsid w:val="00C53249"/>
    <w:rsid w:val="00C53286"/>
    <w:rsid w:val="00C5334E"/>
    <w:rsid w:val="00C53385"/>
    <w:rsid w:val="00C533B0"/>
    <w:rsid w:val="00C533E1"/>
    <w:rsid w:val="00C53591"/>
    <w:rsid w:val="00C53632"/>
    <w:rsid w:val="00C53661"/>
    <w:rsid w:val="00C53679"/>
    <w:rsid w:val="00C536B9"/>
    <w:rsid w:val="00C537DE"/>
    <w:rsid w:val="00C537EA"/>
    <w:rsid w:val="00C538B3"/>
    <w:rsid w:val="00C538EF"/>
    <w:rsid w:val="00C53962"/>
    <w:rsid w:val="00C539D7"/>
    <w:rsid w:val="00C53B61"/>
    <w:rsid w:val="00C53C25"/>
    <w:rsid w:val="00C53C78"/>
    <w:rsid w:val="00C53CA9"/>
    <w:rsid w:val="00C53DA3"/>
    <w:rsid w:val="00C53DB6"/>
    <w:rsid w:val="00C53DCC"/>
    <w:rsid w:val="00C53E22"/>
    <w:rsid w:val="00C53E37"/>
    <w:rsid w:val="00C53EDC"/>
    <w:rsid w:val="00C53EF2"/>
    <w:rsid w:val="00C53F18"/>
    <w:rsid w:val="00C53F29"/>
    <w:rsid w:val="00C53F97"/>
    <w:rsid w:val="00C53FC2"/>
    <w:rsid w:val="00C53FF9"/>
    <w:rsid w:val="00C5415B"/>
    <w:rsid w:val="00C54170"/>
    <w:rsid w:val="00C54192"/>
    <w:rsid w:val="00C54270"/>
    <w:rsid w:val="00C542BE"/>
    <w:rsid w:val="00C543DB"/>
    <w:rsid w:val="00C54414"/>
    <w:rsid w:val="00C54522"/>
    <w:rsid w:val="00C545BA"/>
    <w:rsid w:val="00C545C2"/>
    <w:rsid w:val="00C545FB"/>
    <w:rsid w:val="00C547B7"/>
    <w:rsid w:val="00C547F0"/>
    <w:rsid w:val="00C547FA"/>
    <w:rsid w:val="00C54969"/>
    <w:rsid w:val="00C549C7"/>
    <w:rsid w:val="00C54A1F"/>
    <w:rsid w:val="00C54BAE"/>
    <w:rsid w:val="00C54BCF"/>
    <w:rsid w:val="00C54C19"/>
    <w:rsid w:val="00C54CA0"/>
    <w:rsid w:val="00C54D2B"/>
    <w:rsid w:val="00C54D9C"/>
    <w:rsid w:val="00C54E30"/>
    <w:rsid w:val="00C54E33"/>
    <w:rsid w:val="00C54E38"/>
    <w:rsid w:val="00C54E49"/>
    <w:rsid w:val="00C54EFE"/>
    <w:rsid w:val="00C54F1E"/>
    <w:rsid w:val="00C54F73"/>
    <w:rsid w:val="00C5511B"/>
    <w:rsid w:val="00C55135"/>
    <w:rsid w:val="00C55163"/>
    <w:rsid w:val="00C553B1"/>
    <w:rsid w:val="00C55563"/>
    <w:rsid w:val="00C5557E"/>
    <w:rsid w:val="00C55603"/>
    <w:rsid w:val="00C55622"/>
    <w:rsid w:val="00C5565B"/>
    <w:rsid w:val="00C5569E"/>
    <w:rsid w:val="00C556F5"/>
    <w:rsid w:val="00C55703"/>
    <w:rsid w:val="00C5579A"/>
    <w:rsid w:val="00C55996"/>
    <w:rsid w:val="00C559CE"/>
    <w:rsid w:val="00C55A0B"/>
    <w:rsid w:val="00C55B66"/>
    <w:rsid w:val="00C55BBE"/>
    <w:rsid w:val="00C55C03"/>
    <w:rsid w:val="00C55DA4"/>
    <w:rsid w:val="00C55E70"/>
    <w:rsid w:val="00C55EA7"/>
    <w:rsid w:val="00C561CD"/>
    <w:rsid w:val="00C561ED"/>
    <w:rsid w:val="00C56218"/>
    <w:rsid w:val="00C56251"/>
    <w:rsid w:val="00C5630C"/>
    <w:rsid w:val="00C5631A"/>
    <w:rsid w:val="00C5631E"/>
    <w:rsid w:val="00C56324"/>
    <w:rsid w:val="00C563BC"/>
    <w:rsid w:val="00C5652A"/>
    <w:rsid w:val="00C565F5"/>
    <w:rsid w:val="00C56720"/>
    <w:rsid w:val="00C5672F"/>
    <w:rsid w:val="00C5688E"/>
    <w:rsid w:val="00C56955"/>
    <w:rsid w:val="00C56A1A"/>
    <w:rsid w:val="00C56A48"/>
    <w:rsid w:val="00C56A88"/>
    <w:rsid w:val="00C56C69"/>
    <w:rsid w:val="00C56CC3"/>
    <w:rsid w:val="00C56D6F"/>
    <w:rsid w:val="00C56E6C"/>
    <w:rsid w:val="00C56EA5"/>
    <w:rsid w:val="00C56EF8"/>
    <w:rsid w:val="00C5704D"/>
    <w:rsid w:val="00C570A7"/>
    <w:rsid w:val="00C570E5"/>
    <w:rsid w:val="00C5717B"/>
    <w:rsid w:val="00C571C6"/>
    <w:rsid w:val="00C57219"/>
    <w:rsid w:val="00C57334"/>
    <w:rsid w:val="00C573F2"/>
    <w:rsid w:val="00C57428"/>
    <w:rsid w:val="00C57483"/>
    <w:rsid w:val="00C57573"/>
    <w:rsid w:val="00C5757F"/>
    <w:rsid w:val="00C57839"/>
    <w:rsid w:val="00C578BE"/>
    <w:rsid w:val="00C57910"/>
    <w:rsid w:val="00C5798C"/>
    <w:rsid w:val="00C57AFF"/>
    <w:rsid w:val="00C57B57"/>
    <w:rsid w:val="00C57C1B"/>
    <w:rsid w:val="00C57C29"/>
    <w:rsid w:val="00C57DE1"/>
    <w:rsid w:val="00C57E00"/>
    <w:rsid w:val="00C57E0A"/>
    <w:rsid w:val="00C600AB"/>
    <w:rsid w:val="00C600D5"/>
    <w:rsid w:val="00C60130"/>
    <w:rsid w:val="00C60191"/>
    <w:rsid w:val="00C601FE"/>
    <w:rsid w:val="00C60240"/>
    <w:rsid w:val="00C602E6"/>
    <w:rsid w:val="00C60451"/>
    <w:rsid w:val="00C60457"/>
    <w:rsid w:val="00C60492"/>
    <w:rsid w:val="00C604B1"/>
    <w:rsid w:val="00C605C1"/>
    <w:rsid w:val="00C6062F"/>
    <w:rsid w:val="00C6066A"/>
    <w:rsid w:val="00C60692"/>
    <w:rsid w:val="00C60709"/>
    <w:rsid w:val="00C60769"/>
    <w:rsid w:val="00C6094D"/>
    <w:rsid w:val="00C609B1"/>
    <w:rsid w:val="00C60A0C"/>
    <w:rsid w:val="00C60A4E"/>
    <w:rsid w:val="00C60AB2"/>
    <w:rsid w:val="00C60B19"/>
    <w:rsid w:val="00C60B95"/>
    <w:rsid w:val="00C60CB5"/>
    <w:rsid w:val="00C60D34"/>
    <w:rsid w:val="00C60D98"/>
    <w:rsid w:val="00C60E41"/>
    <w:rsid w:val="00C60E84"/>
    <w:rsid w:val="00C60F9D"/>
    <w:rsid w:val="00C60FB3"/>
    <w:rsid w:val="00C60FEC"/>
    <w:rsid w:val="00C610DE"/>
    <w:rsid w:val="00C61107"/>
    <w:rsid w:val="00C611C0"/>
    <w:rsid w:val="00C611FF"/>
    <w:rsid w:val="00C61286"/>
    <w:rsid w:val="00C6133E"/>
    <w:rsid w:val="00C613D7"/>
    <w:rsid w:val="00C613F9"/>
    <w:rsid w:val="00C6148B"/>
    <w:rsid w:val="00C614AA"/>
    <w:rsid w:val="00C614CB"/>
    <w:rsid w:val="00C6150F"/>
    <w:rsid w:val="00C6153A"/>
    <w:rsid w:val="00C615B4"/>
    <w:rsid w:val="00C615DF"/>
    <w:rsid w:val="00C61698"/>
    <w:rsid w:val="00C616A3"/>
    <w:rsid w:val="00C616F8"/>
    <w:rsid w:val="00C6176C"/>
    <w:rsid w:val="00C617C2"/>
    <w:rsid w:val="00C618F2"/>
    <w:rsid w:val="00C619A4"/>
    <w:rsid w:val="00C61A3B"/>
    <w:rsid w:val="00C61BF7"/>
    <w:rsid w:val="00C61D68"/>
    <w:rsid w:val="00C61E0D"/>
    <w:rsid w:val="00C61E99"/>
    <w:rsid w:val="00C61EA9"/>
    <w:rsid w:val="00C61F8E"/>
    <w:rsid w:val="00C61FE6"/>
    <w:rsid w:val="00C62058"/>
    <w:rsid w:val="00C621D5"/>
    <w:rsid w:val="00C6230B"/>
    <w:rsid w:val="00C623A4"/>
    <w:rsid w:val="00C623EA"/>
    <w:rsid w:val="00C6240D"/>
    <w:rsid w:val="00C62429"/>
    <w:rsid w:val="00C62459"/>
    <w:rsid w:val="00C6245F"/>
    <w:rsid w:val="00C62513"/>
    <w:rsid w:val="00C6258D"/>
    <w:rsid w:val="00C626DD"/>
    <w:rsid w:val="00C627F2"/>
    <w:rsid w:val="00C62A6F"/>
    <w:rsid w:val="00C62C16"/>
    <w:rsid w:val="00C62C8E"/>
    <w:rsid w:val="00C62CC1"/>
    <w:rsid w:val="00C62DC4"/>
    <w:rsid w:val="00C62E29"/>
    <w:rsid w:val="00C62FEF"/>
    <w:rsid w:val="00C630A8"/>
    <w:rsid w:val="00C631EC"/>
    <w:rsid w:val="00C6325A"/>
    <w:rsid w:val="00C63273"/>
    <w:rsid w:val="00C63385"/>
    <w:rsid w:val="00C634F2"/>
    <w:rsid w:val="00C6366D"/>
    <w:rsid w:val="00C636AB"/>
    <w:rsid w:val="00C637A1"/>
    <w:rsid w:val="00C63808"/>
    <w:rsid w:val="00C63A98"/>
    <w:rsid w:val="00C63AD9"/>
    <w:rsid w:val="00C63BA5"/>
    <w:rsid w:val="00C63BB7"/>
    <w:rsid w:val="00C63BCB"/>
    <w:rsid w:val="00C63C4D"/>
    <w:rsid w:val="00C63D0C"/>
    <w:rsid w:val="00C63D1D"/>
    <w:rsid w:val="00C63F8D"/>
    <w:rsid w:val="00C640D4"/>
    <w:rsid w:val="00C641CD"/>
    <w:rsid w:val="00C642B1"/>
    <w:rsid w:val="00C64318"/>
    <w:rsid w:val="00C6432A"/>
    <w:rsid w:val="00C64420"/>
    <w:rsid w:val="00C64448"/>
    <w:rsid w:val="00C64457"/>
    <w:rsid w:val="00C644C1"/>
    <w:rsid w:val="00C64573"/>
    <w:rsid w:val="00C645D8"/>
    <w:rsid w:val="00C6470F"/>
    <w:rsid w:val="00C6479B"/>
    <w:rsid w:val="00C647BD"/>
    <w:rsid w:val="00C64822"/>
    <w:rsid w:val="00C64852"/>
    <w:rsid w:val="00C649B2"/>
    <w:rsid w:val="00C64A6D"/>
    <w:rsid w:val="00C64B02"/>
    <w:rsid w:val="00C64C4C"/>
    <w:rsid w:val="00C64C5F"/>
    <w:rsid w:val="00C64D07"/>
    <w:rsid w:val="00C64DA2"/>
    <w:rsid w:val="00C64DDD"/>
    <w:rsid w:val="00C64F43"/>
    <w:rsid w:val="00C64F8B"/>
    <w:rsid w:val="00C64F96"/>
    <w:rsid w:val="00C65236"/>
    <w:rsid w:val="00C65519"/>
    <w:rsid w:val="00C65587"/>
    <w:rsid w:val="00C655A7"/>
    <w:rsid w:val="00C65645"/>
    <w:rsid w:val="00C65673"/>
    <w:rsid w:val="00C6568E"/>
    <w:rsid w:val="00C657BB"/>
    <w:rsid w:val="00C657CE"/>
    <w:rsid w:val="00C657E0"/>
    <w:rsid w:val="00C65894"/>
    <w:rsid w:val="00C65945"/>
    <w:rsid w:val="00C65949"/>
    <w:rsid w:val="00C65986"/>
    <w:rsid w:val="00C659AF"/>
    <w:rsid w:val="00C65AA3"/>
    <w:rsid w:val="00C65B32"/>
    <w:rsid w:val="00C65B77"/>
    <w:rsid w:val="00C65C6A"/>
    <w:rsid w:val="00C65D46"/>
    <w:rsid w:val="00C65E6D"/>
    <w:rsid w:val="00C65E95"/>
    <w:rsid w:val="00C65EF4"/>
    <w:rsid w:val="00C66039"/>
    <w:rsid w:val="00C6608D"/>
    <w:rsid w:val="00C660FD"/>
    <w:rsid w:val="00C66114"/>
    <w:rsid w:val="00C66132"/>
    <w:rsid w:val="00C661AD"/>
    <w:rsid w:val="00C6620E"/>
    <w:rsid w:val="00C66229"/>
    <w:rsid w:val="00C66279"/>
    <w:rsid w:val="00C66284"/>
    <w:rsid w:val="00C6636D"/>
    <w:rsid w:val="00C663B8"/>
    <w:rsid w:val="00C663F4"/>
    <w:rsid w:val="00C6643A"/>
    <w:rsid w:val="00C66492"/>
    <w:rsid w:val="00C664EA"/>
    <w:rsid w:val="00C665F3"/>
    <w:rsid w:val="00C66826"/>
    <w:rsid w:val="00C668F0"/>
    <w:rsid w:val="00C6693D"/>
    <w:rsid w:val="00C66A52"/>
    <w:rsid w:val="00C66B96"/>
    <w:rsid w:val="00C66BA4"/>
    <w:rsid w:val="00C66C25"/>
    <w:rsid w:val="00C66CA4"/>
    <w:rsid w:val="00C66CCF"/>
    <w:rsid w:val="00C66CE9"/>
    <w:rsid w:val="00C66D28"/>
    <w:rsid w:val="00C66D34"/>
    <w:rsid w:val="00C66DC7"/>
    <w:rsid w:val="00C66E1E"/>
    <w:rsid w:val="00C66E93"/>
    <w:rsid w:val="00C66EF4"/>
    <w:rsid w:val="00C66F21"/>
    <w:rsid w:val="00C66F45"/>
    <w:rsid w:val="00C66F84"/>
    <w:rsid w:val="00C66FC6"/>
    <w:rsid w:val="00C6703C"/>
    <w:rsid w:val="00C6704F"/>
    <w:rsid w:val="00C67113"/>
    <w:rsid w:val="00C67258"/>
    <w:rsid w:val="00C673B4"/>
    <w:rsid w:val="00C673FD"/>
    <w:rsid w:val="00C67412"/>
    <w:rsid w:val="00C674E1"/>
    <w:rsid w:val="00C674FC"/>
    <w:rsid w:val="00C67765"/>
    <w:rsid w:val="00C67781"/>
    <w:rsid w:val="00C6781F"/>
    <w:rsid w:val="00C67827"/>
    <w:rsid w:val="00C67842"/>
    <w:rsid w:val="00C6784E"/>
    <w:rsid w:val="00C678A1"/>
    <w:rsid w:val="00C678F7"/>
    <w:rsid w:val="00C67A23"/>
    <w:rsid w:val="00C67ADE"/>
    <w:rsid w:val="00C67B24"/>
    <w:rsid w:val="00C67BCD"/>
    <w:rsid w:val="00C67C12"/>
    <w:rsid w:val="00C67C4D"/>
    <w:rsid w:val="00C67C7C"/>
    <w:rsid w:val="00C67D32"/>
    <w:rsid w:val="00C67DCC"/>
    <w:rsid w:val="00C67DFC"/>
    <w:rsid w:val="00C67ED9"/>
    <w:rsid w:val="00C67F08"/>
    <w:rsid w:val="00C67F48"/>
    <w:rsid w:val="00C67F8A"/>
    <w:rsid w:val="00C7003E"/>
    <w:rsid w:val="00C700DA"/>
    <w:rsid w:val="00C700E8"/>
    <w:rsid w:val="00C7027C"/>
    <w:rsid w:val="00C70346"/>
    <w:rsid w:val="00C703A4"/>
    <w:rsid w:val="00C7040C"/>
    <w:rsid w:val="00C70428"/>
    <w:rsid w:val="00C7042F"/>
    <w:rsid w:val="00C7048A"/>
    <w:rsid w:val="00C704ED"/>
    <w:rsid w:val="00C704FE"/>
    <w:rsid w:val="00C70524"/>
    <w:rsid w:val="00C7058D"/>
    <w:rsid w:val="00C70667"/>
    <w:rsid w:val="00C706B8"/>
    <w:rsid w:val="00C70753"/>
    <w:rsid w:val="00C7077C"/>
    <w:rsid w:val="00C70848"/>
    <w:rsid w:val="00C70896"/>
    <w:rsid w:val="00C708DC"/>
    <w:rsid w:val="00C70977"/>
    <w:rsid w:val="00C7098E"/>
    <w:rsid w:val="00C70A82"/>
    <w:rsid w:val="00C70A8D"/>
    <w:rsid w:val="00C70B02"/>
    <w:rsid w:val="00C70BF4"/>
    <w:rsid w:val="00C70C09"/>
    <w:rsid w:val="00C70C4D"/>
    <w:rsid w:val="00C70C83"/>
    <w:rsid w:val="00C70CA0"/>
    <w:rsid w:val="00C70CCF"/>
    <w:rsid w:val="00C70D15"/>
    <w:rsid w:val="00C70EAD"/>
    <w:rsid w:val="00C70F25"/>
    <w:rsid w:val="00C70FA4"/>
    <w:rsid w:val="00C710BE"/>
    <w:rsid w:val="00C71157"/>
    <w:rsid w:val="00C7115B"/>
    <w:rsid w:val="00C711F3"/>
    <w:rsid w:val="00C7125C"/>
    <w:rsid w:val="00C71295"/>
    <w:rsid w:val="00C713FE"/>
    <w:rsid w:val="00C7147D"/>
    <w:rsid w:val="00C714D8"/>
    <w:rsid w:val="00C715F4"/>
    <w:rsid w:val="00C717D4"/>
    <w:rsid w:val="00C718F6"/>
    <w:rsid w:val="00C71967"/>
    <w:rsid w:val="00C71BA8"/>
    <w:rsid w:val="00C71C86"/>
    <w:rsid w:val="00C71D3B"/>
    <w:rsid w:val="00C71D58"/>
    <w:rsid w:val="00C71E20"/>
    <w:rsid w:val="00C71F08"/>
    <w:rsid w:val="00C71F11"/>
    <w:rsid w:val="00C71FB8"/>
    <w:rsid w:val="00C720E6"/>
    <w:rsid w:val="00C7213A"/>
    <w:rsid w:val="00C7216A"/>
    <w:rsid w:val="00C721C7"/>
    <w:rsid w:val="00C721F5"/>
    <w:rsid w:val="00C7220D"/>
    <w:rsid w:val="00C72318"/>
    <w:rsid w:val="00C72485"/>
    <w:rsid w:val="00C72489"/>
    <w:rsid w:val="00C7249F"/>
    <w:rsid w:val="00C724C2"/>
    <w:rsid w:val="00C724E6"/>
    <w:rsid w:val="00C724F4"/>
    <w:rsid w:val="00C72527"/>
    <w:rsid w:val="00C72537"/>
    <w:rsid w:val="00C72592"/>
    <w:rsid w:val="00C725B0"/>
    <w:rsid w:val="00C725D6"/>
    <w:rsid w:val="00C7260E"/>
    <w:rsid w:val="00C72665"/>
    <w:rsid w:val="00C72880"/>
    <w:rsid w:val="00C728C0"/>
    <w:rsid w:val="00C728E1"/>
    <w:rsid w:val="00C7292E"/>
    <w:rsid w:val="00C72935"/>
    <w:rsid w:val="00C72977"/>
    <w:rsid w:val="00C72989"/>
    <w:rsid w:val="00C7299B"/>
    <w:rsid w:val="00C72A07"/>
    <w:rsid w:val="00C72B0F"/>
    <w:rsid w:val="00C72B1A"/>
    <w:rsid w:val="00C72B55"/>
    <w:rsid w:val="00C72B83"/>
    <w:rsid w:val="00C72C8E"/>
    <w:rsid w:val="00C72DE0"/>
    <w:rsid w:val="00C72E77"/>
    <w:rsid w:val="00C72F8C"/>
    <w:rsid w:val="00C72FA0"/>
    <w:rsid w:val="00C72FEE"/>
    <w:rsid w:val="00C73114"/>
    <w:rsid w:val="00C73397"/>
    <w:rsid w:val="00C733A3"/>
    <w:rsid w:val="00C733A8"/>
    <w:rsid w:val="00C73596"/>
    <w:rsid w:val="00C73637"/>
    <w:rsid w:val="00C73739"/>
    <w:rsid w:val="00C7380F"/>
    <w:rsid w:val="00C7383A"/>
    <w:rsid w:val="00C73850"/>
    <w:rsid w:val="00C738D7"/>
    <w:rsid w:val="00C738E4"/>
    <w:rsid w:val="00C73947"/>
    <w:rsid w:val="00C7395F"/>
    <w:rsid w:val="00C739E5"/>
    <w:rsid w:val="00C73A70"/>
    <w:rsid w:val="00C73A71"/>
    <w:rsid w:val="00C73AA5"/>
    <w:rsid w:val="00C73AD8"/>
    <w:rsid w:val="00C73B6C"/>
    <w:rsid w:val="00C73B92"/>
    <w:rsid w:val="00C73CDA"/>
    <w:rsid w:val="00C73E1E"/>
    <w:rsid w:val="00C73EB3"/>
    <w:rsid w:val="00C73F94"/>
    <w:rsid w:val="00C7410B"/>
    <w:rsid w:val="00C7411A"/>
    <w:rsid w:val="00C7415B"/>
    <w:rsid w:val="00C74221"/>
    <w:rsid w:val="00C742B8"/>
    <w:rsid w:val="00C742C0"/>
    <w:rsid w:val="00C742CD"/>
    <w:rsid w:val="00C7436D"/>
    <w:rsid w:val="00C74378"/>
    <w:rsid w:val="00C7445D"/>
    <w:rsid w:val="00C744B1"/>
    <w:rsid w:val="00C744DE"/>
    <w:rsid w:val="00C7452D"/>
    <w:rsid w:val="00C74563"/>
    <w:rsid w:val="00C745C7"/>
    <w:rsid w:val="00C745FA"/>
    <w:rsid w:val="00C7479D"/>
    <w:rsid w:val="00C747A5"/>
    <w:rsid w:val="00C747AA"/>
    <w:rsid w:val="00C7481B"/>
    <w:rsid w:val="00C748DF"/>
    <w:rsid w:val="00C74993"/>
    <w:rsid w:val="00C74B51"/>
    <w:rsid w:val="00C74C2B"/>
    <w:rsid w:val="00C74C2F"/>
    <w:rsid w:val="00C74C59"/>
    <w:rsid w:val="00C74C94"/>
    <w:rsid w:val="00C74E39"/>
    <w:rsid w:val="00C74E8E"/>
    <w:rsid w:val="00C74F78"/>
    <w:rsid w:val="00C74F7F"/>
    <w:rsid w:val="00C75114"/>
    <w:rsid w:val="00C751B0"/>
    <w:rsid w:val="00C75291"/>
    <w:rsid w:val="00C75303"/>
    <w:rsid w:val="00C75360"/>
    <w:rsid w:val="00C753B1"/>
    <w:rsid w:val="00C75462"/>
    <w:rsid w:val="00C75496"/>
    <w:rsid w:val="00C75526"/>
    <w:rsid w:val="00C7554C"/>
    <w:rsid w:val="00C7558B"/>
    <w:rsid w:val="00C75597"/>
    <w:rsid w:val="00C7568A"/>
    <w:rsid w:val="00C756F1"/>
    <w:rsid w:val="00C7575B"/>
    <w:rsid w:val="00C75767"/>
    <w:rsid w:val="00C75781"/>
    <w:rsid w:val="00C757D3"/>
    <w:rsid w:val="00C757E8"/>
    <w:rsid w:val="00C757F9"/>
    <w:rsid w:val="00C75803"/>
    <w:rsid w:val="00C75818"/>
    <w:rsid w:val="00C75973"/>
    <w:rsid w:val="00C75982"/>
    <w:rsid w:val="00C75998"/>
    <w:rsid w:val="00C759F8"/>
    <w:rsid w:val="00C75A6F"/>
    <w:rsid w:val="00C75AA9"/>
    <w:rsid w:val="00C75C53"/>
    <w:rsid w:val="00C75C9A"/>
    <w:rsid w:val="00C75F05"/>
    <w:rsid w:val="00C75F0D"/>
    <w:rsid w:val="00C75F0F"/>
    <w:rsid w:val="00C760A7"/>
    <w:rsid w:val="00C760E0"/>
    <w:rsid w:val="00C7625B"/>
    <w:rsid w:val="00C763B3"/>
    <w:rsid w:val="00C7643B"/>
    <w:rsid w:val="00C764D8"/>
    <w:rsid w:val="00C76531"/>
    <w:rsid w:val="00C765D3"/>
    <w:rsid w:val="00C76645"/>
    <w:rsid w:val="00C766A2"/>
    <w:rsid w:val="00C76717"/>
    <w:rsid w:val="00C767EB"/>
    <w:rsid w:val="00C76814"/>
    <w:rsid w:val="00C769B2"/>
    <w:rsid w:val="00C769B3"/>
    <w:rsid w:val="00C769E1"/>
    <w:rsid w:val="00C76A33"/>
    <w:rsid w:val="00C76AD6"/>
    <w:rsid w:val="00C76AF3"/>
    <w:rsid w:val="00C76B55"/>
    <w:rsid w:val="00C76C69"/>
    <w:rsid w:val="00C76D8F"/>
    <w:rsid w:val="00C76DE7"/>
    <w:rsid w:val="00C76DEC"/>
    <w:rsid w:val="00C76E85"/>
    <w:rsid w:val="00C76F46"/>
    <w:rsid w:val="00C76FDE"/>
    <w:rsid w:val="00C7716D"/>
    <w:rsid w:val="00C771B1"/>
    <w:rsid w:val="00C77200"/>
    <w:rsid w:val="00C773C3"/>
    <w:rsid w:val="00C77437"/>
    <w:rsid w:val="00C77448"/>
    <w:rsid w:val="00C77511"/>
    <w:rsid w:val="00C776CA"/>
    <w:rsid w:val="00C7773D"/>
    <w:rsid w:val="00C77785"/>
    <w:rsid w:val="00C7778B"/>
    <w:rsid w:val="00C777F8"/>
    <w:rsid w:val="00C7780B"/>
    <w:rsid w:val="00C77830"/>
    <w:rsid w:val="00C77835"/>
    <w:rsid w:val="00C77971"/>
    <w:rsid w:val="00C779A2"/>
    <w:rsid w:val="00C77A70"/>
    <w:rsid w:val="00C77B42"/>
    <w:rsid w:val="00C77C5D"/>
    <w:rsid w:val="00C77CF9"/>
    <w:rsid w:val="00C77D78"/>
    <w:rsid w:val="00C77D9B"/>
    <w:rsid w:val="00C77E1F"/>
    <w:rsid w:val="00C77E4E"/>
    <w:rsid w:val="00C77EF5"/>
    <w:rsid w:val="00C77F63"/>
    <w:rsid w:val="00C77F93"/>
    <w:rsid w:val="00C77F9E"/>
    <w:rsid w:val="00C77FC0"/>
    <w:rsid w:val="00C77FE3"/>
    <w:rsid w:val="00C8002F"/>
    <w:rsid w:val="00C800D4"/>
    <w:rsid w:val="00C80173"/>
    <w:rsid w:val="00C8018C"/>
    <w:rsid w:val="00C80425"/>
    <w:rsid w:val="00C80470"/>
    <w:rsid w:val="00C804D4"/>
    <w:rsid w:val="00C804DC"/>
    <w:rsid w:val="00C80571"/>
    <w:rsid w:val="00C805B1"/>
    <w:rsid w:val="00C805E6"/>
    <w:rsid w:val="00C807B5"/>
    <w:rsid w:val="00C80802"/>
    <w:rsid w:val="00C80989"/>
    <w:rsid w:val="00C8098F"/>
    <w:rsid w:val="00C80A75"/>
    <w:rsid w:val="00C80B06"/>
    <w:rsid w:val="00C80B50"/>
    <w:rsid w:val="00C80C70"/>
    <w:rsid w:val="00C80D5D"/>
    <w:rsid w:val="00C80F54"/>
    <w:rsid w:val="00C80F8E"/>
    <w:rsid w:val="00C80FBB"/>
    <w:rsid w:val="00C81007"/>
    <w:rsid w:val="00C8104C"/>
    <w:rsid w:val="00C8104E"/>
    <w:rsid w:val="00C81072"/>
    <w:rsid w:val="00C811EB"/>
    <w:rsid w:val="00C81306"/>
    <w:rsid w:val="00C8132C"/>
    <w:rsid w:val="00C8149D"/>
    <w:rsid w:val="00C814B1"/>
    <w:rsid w:val="00C814E6"/>
    <w:rsid w:val="00C815AC"/>
    <w:rsid w:val="00C81642"/>
    <w:rsid w:val="00C81674"/>
    <w:rsid w:val="00C81780"/>
    <w:rsid w:val="00C81900"/>
    <w:rsid w:val="00C819B8"/>
    <w:rsid w:val="00C81A85"/>
    <w:rsid w:val="00C81AD5"/>
    <w:rsid w:val="00C81B59"/>
    <w:rsid w:val="00C81B96"/>
    <w:rsid w:val="00C81DC7"/>
    <w:rsid w:val="00C81E6E"/>
    <w:rsid w:val="00C81E74"/>
    <w:rsid w:val="00C81FA3"/>
    <w:rsid w:val="00C82017"/>
    <w:rsid w:val="00C82076"/>
    <w:rsid w:val="00C821AE"/>
    <w:rsid w:val="00C821DC"/>
    <w:rsid w:val="00C82218"/>
    <w:rsid w:val="00C8234E"/>
    <w:rsid w:val="00C823BD"/>
    <w:rsid w:val="00C823FD"/>
    <w:rsid w:val="00C8244B"/>
    <w:rsid w:val="00C8248C"/>
    <w:rsid w:val="00C825BF"/>
    <w:rsid w:val="00C825D0"/>
    <w:rsid w:val="00C8268C"/>
    <w:rsid w:val="00C82857"/>
    <w:rsid w:val="00C828FB"/>
    <w:rsid w:val="00C82991"/>
    <w:rsid w:val="00C829BE"/>
    <w:rsid w:val="00C829FF"/>
    <w:rsid w:val="00C82A17"/>
    <w:rsid w:val="00C82A38"/>
    <w:rsid w:val="00C82B09"/>
    <w:rsid w:val="00C82D57"/>
    <w:rsid w:val="00C82DF9"/>
    <w:rsid w:val="00C82E51"/>
    <w:rsid w:val="00C82EC2"/>
    <w:rsid w:val="00C82F2F"/>
    <w:rsid w:val="00C82F77"/>
    <w:rsid w:val="00C83105"/>
    <w:rsid w:val="00C831B1"/>
    <w:rsid w:val="00C832FD"/>
    <w:rsid w:val="00C83430"/>
    <w:rsid w:val="00C83566"/>
    <w:rsid w:val="00C83603"/>
    <w:rsid w:val="00C836CE"/>
    <w:rsid w:val="00C83775"/>
    <w:rsid w:val="00C837F6"/>
    <w:rsid w:val="00C83890"/>
    <w:rsid w:val="00C838CF"/>
    <w:rsid w:val="00C83985"/>
    <w:rsid w:val="00C839DD"/>
    <w:rsid w:val="00C839EC"/>
    <w:rsid w:val="00C83A5C"/>
    <w:rsid w:val="00C83A7D"/>
    <w:rsid w:val="00C83A8D"/>
    <w:rsid w:val="00C83C46"/>
    <w:rsid w:val="00C83C56"/>
    <w:rsid w:val="00C83CDA"/>
    <w:rsid w:val="00C83D38"/>
    <w:rsid w:val="00C83D63"/>
    <w:rsid w:val="00C83E23"/>
    <w:rsid w:val="00C83F04"/>
    <w:rsid w:val="00C84009"/>
    <w:rsid w:val="00C84011"/>
    <w:rsid w:val="00C8403C"/>
    <w:rsid w:val="00C840A5"/>
    <w:rsid w:val="00C840DC"/>
    <w:rsid w:val="00C8414C"/>
    <w:rsid w:val="00C841FB"/>
    <w:rsid w:val="00C8420E"/>
    <w:rsid w:val="00C84293"/>
    <w:rsid w:val="00C842A5"/>
    <w:rsid w:val="00C842A9"/>
    <w:rsid w:val="00C845CC"/>
    <w:rsid w:val="00C847A8"/>
    <w:rsid w:val="00C847AC"/>
    <w:rsid w:val="00C84873"/>
    <w:rsid w:val="00C84A7E"/>
    <w:rsid w:val="00C84A86"/>
    <w:rsid w:val="00C84ACB"/>
    <w:rsid w:val="00C84C40"/>
    <w:rsid w:val="00C84CC9"/>
    <w:rsid w:val="00C84D15"/>
    <w:rsid w:val="00C84E09"/>
    <w:rsid w:val="00C84ECB"/>
    <w:rsid w:val="00C84EFC"/>
    <w:rsid w:val="00C84F2C"/>
    <w:rsid w:val="00C84F82"/>
    <w:rsid w:val="00C84FB7"/>
    <w:rsid w:val="00C84FC5"/>
    <w:rsid w:val="00C85003"/>
    <w:rsid w:val="00C85109"/>
    <w:rsid w:val="00C85231"/>
    <w:rsid w:val="00C8524B"/>
    <w:rsid w:val="00C85275"/>
    <w:rsid w:val="00C85306"/>
    <w:rsid w:val="00C85314"/>
    <w:rsid w:val="00C853AC"/>
    <w:rsid w:val="00C853C0"/>
    <w:rsid w:val="00C85406"/>
    <w:rsid w:val="00C8540C"/>
    <w:rsid w:val="00C854E0"/>
    <w:rsid w:val="00C85504"/>
    <w:rsid w:val="00C85551"/>
    <w:rsid w:val="00C85564"/>
    <w:rsid w:val="00C85623"/>
    <w:rsid w:val="00C8571D"/>
    <w:rsid w:val="00C85807"/>
    <w:rsid w:val="00C8589D"/>
    <w:rsid w:val="00C858E7"/>
    <w:rsid w:val="00C858EE"/>
    <w:rsid w:val="00C85909"/>
    <w:rsid w:val="00C8591E"/>
    <w:rsid w:val="00C85ADC"/>
    <w:rsid w:val="00C85ADE"/>
    <w:rsid w:val="00C85B3D"/>
    <w:rsid w:val="00C85C3C"/>
    <w:rsid w:val="00C85CAB"/>
    <w:rsid w:val="00C85D1D"/>
    <w:rsid w:val="00C85E7A"/>
    <w:rsid w:val="00C85ED7"/>
    <w:rsid w:val="00C85F2E"/>
    <w:rsid w:val="00C85FE4"/>
    <w:rsid w:val="00C8600C"/>
    <w:rsid w:val="00C86034"/>
    <w:rsid w:val="00C860BC"/>
    <w:rsid w:val="00C86367"/>
    <w:rsid w:val="00C863FC"/>
    <w:rsid w:val="00C86434"/>
    <w:rsid w:val="00C864A9"/>
    <w:rsid w:val="00C86630"/>
    <w:rsid w:val="00C86653"/>
    <w:rsid w:val="00C86722"/>
    <w:rsid w:val="00C867EF"/>
    <w:rsid w:val="00C86820"/>
    <w:rsid w:val="00C86884"/>
    <w:rsid w:val="00C868E3"/>
    <w:rsid w:val="00C86935"/>
    <w:rsid w:val="00C869BE"/>
    <w:rsid w:val="00C86ABE"/>
    <w:rsid w:val="00C86D00"/>
    <w:rsid w:val="00C86E09"/>
    <w:rsid w:val="00C86E27"/>
    <w:rsid w:val="00C86ECB"/>
    <w:rsid w:val="00C86ECC"/>
    <w:rsid w:val="00C86F49"/>
    <w:rsid w:val="00C87184"/>
    <w:rsid w:val="00C87185"/>
    <w:rsid w:val="00C8724B"/>
    <w:rsid w:val="00C872BF"/>
    <w:rsid w:val="00C872D7"/>
    <w:rsid w:val="00C87325"/>
    <w:rsid w:val="00C87373"/>
    <w:rsid w:val="00C87383"/>
    <w:rsid w:val="00C87550"/>
    <w:rsid w:val="00C875AC"/>
    <w:rsid w:val="00C875F8"/>
    <w:rsid w:val="00C87789"/>
    <w:rsid w:val="00C877EC"/>
    <w:rsid w:val="00C8780E"/>
    <w:rsid w:val="00C87813"/>
    <w:rsid w:val="00C878A8"/>
    <w:rsid w:val="00C87A96"/>
    <w:rsid w:val="00C87B5E"/>
    <w:rsid w:val="00C87BD2"/>
    <w:rsid w:val="00C87C15"/>
    <w:rsid w:val="00C87CA0"/>
    <w:rsid w:val="00C87CA3"/>
    <w:rsid w:val="00C87DE3"/>
    <w:rsid w:val="00C87E3B"/>
    <w:rsid w:val="00C87ED9"/>
    <w:rsid w:val="00C87F2C"/>
    <w:rsid w:val="00C9007B"/>
    <w:rsid w:val="00C90087"/>
    <w:rsid w:val="00C900CA"/>
    <w:rsid w:val="00C900D1"/>
    <w:rsid w:val="00C9012E"/>
    <w:rsid w:val="00C901A1"/>
    <w:rsid w:val="00C90229"/>
    <w:rsid w:val="00C903D4"/>
    <w:rsid w:val="00C90454"/>
    <w:rsid w:val="00C904A5"/>
    <w:rsid w:val="00C9062A"/>
    <w:rsid w:val="00C90674"/>
    <w:rsid w:val="00C90716"/>
    <w:rsid w:val="00C9079E"/>
    <w:rsid w:val="00C907BA"/>
    <w:rsid w:val="00C9086D"/>
    <w:rsid w:val="00C9088A"/>
    <w:rsid w:val="00C909C9"/>
    <w:rsid w:val="00C909CC"/>
    <w:rsid w:val="00C909CD"/>
    <w:rsid w:val="00C90A0E"/>
    <w:rsid w:val="00C90A7C"/>
    <w:rsid w:val="00C90B7B"/>
    <w:rsid w:val="00C90C37"/>
    <w:rsid w:val="00C90C54"/>
    <w:rsid w:val="00C90D53"/>
    <w:rsid w:val="00C90D69"/>
    <w:rsid w:val="00C90ECC"/>
    <w:rsid w:val="00C90EFC"/>
    <w:rsid w:val="00C911AF"/>
    <w:rsid w:val="00C91201"/>
    <w:rsid w:val="00C91232"/>
    <w:rsid w:val="00C91257"/>
    <w:rsid w:val="00C9132B"/>
    <w:rsid w:val="00C91444"/>
    <w:rsid w:val="00C915E3"/>
    <w:rsid w:val="00C9166F"/>
    <w:rsid w:val="00C9170D"/>
    <w:rsid w:val="00C91865"/>
    <w:rsid w:val="00C918A7"/>
    <w:rsid w:val="00C918BA"/>
    <w:rsid w:val="00C9193F"/>
    <w:rsid w:val="00C919AD"/>
    <w:rsid w:val="00C919B7"/>
    <w:rsid w:val="00C91AAE"/>
    <w:rsid w:val="00C91CF3"/>
    <w:rsid w:val="00C91DF3"/>
    <w:rsid w:val="00C91DF9"/>
    <w:rsid w:val="00C91EE4"/>
    <w:rsid w:val="00C91F70"/>
    <w:rsid w:val="00C92038"/>
    <w:rsid w:val="00C92238"/>
    <w:rsid w:val="00C92424"/>
    <w:rsid w:val="00C924C2"/>
    <w:rsid w:val="00C925F2"/>
    <w:rsid w:val="00C9261D"/>
    <w:rsid w:val="00C926CE"/>
    <w:rsid w:val="00C926E0"/>
    <w:rsid w:val="00C92714"/>
    <w:rsid w:val="00C92728"/>
    <w:rsid w:val="00C92786"/>
    <w:rsid w:val="00C9283F"/>
    <w:rsid w:val="00C928B1"/>
    <w:rsid w:val="00C92945"/>
    <w:rsid w:val="00C92B11"/>
    <w:rsid w:val="00C92BB5"/>
    <w:rsid w:val="00C92BD6"/>
    <w:rsid w:val="00C92DA0"/>
    <w:rsid w:val="00C92DB8"/>
    <w:rsid w:val="00C92ED1"/>
    <w:rsid w:val="00C92F4C"/>
    <w:rsid w:val="00C92F61"/>
    <w:rsid w:val="00C92F7B"/>
    <w:rsid w:val="00C93035"/>
    <w:rsid w:val="00C930F3"/>
    <w:rsid w:val="00C93134"/>
    <w:rsid w:val="00C93268"/>
    <w:rsid w:val="00C9338B"/>
    <w:rsid w:val="00C933DD"/>
    <w:rsid w:val="00C933EC"/>
    <w:rsid w:val="00C9347A"/>
    <w:rsid w:val="00C93492"/>
    <w:rsid w:val="00C934EC"/>
    <w:rsid w:val="00C935A7"/>
    <w:rsid w:val="00C935BB"/>
    <w:rsid w:val="00C93698"/>
    <w:rsid w:val="00C93787"/>
    <w:rsid w:val="00C939CA"/>
    <w:rsid w:val="00C939DF"/>
    <w:rsid w:val="00C93A8A"/>
    <w:rsid w:val="00C93A94"/>
    <w:rsid w:val="00C93B89"/>
    <w:rsid w:val="00C93BBF"/>
    <w:rsid w:val="00C93BEC"/>
    <w:rsid w:val="00C93C01"/>
    <w:rsid w:val="00C93C68"/>
    <w:rsid w:val="00C93CB9"/>
    <w:rsid w:val="00C93EAC"/>
    <w:rsid w:val="00C93F3E"/>
    <w:rsid w:val="00C93F92"/>
    <w:rsid w:val="00C9404C"/>
    <w:rsid w:val="00C940AC"/>
    <w:rsid w:val="00C940C1"/>
    <w:rsid w:val="00C94113"/>
    <w:rsid w:val="00C941DB"/>
    <w:rsid w:val="00C94307"/>
    <w:rsid w:val="00C94461"/>
    <w:rsid w:val="00C94486"/>
    <w:rsid w:val="00C9449B"/>
    <w:rsid w:val="00C944BD"/>
    <w:rsid w:val="00C9452A"/>
    <w:rsid w:val="00C9456E"/>
    <w:rsid w:val="00C945B0"/>
    <w:rsid w:val="00C945E1"/>
    <w:rsid w:val="00C946D3"/>
    <w:rsid w:val="00C9477A"/>
    <w:rsid w:val="00C947ED"/>
    <w:rsid w:val="00C949CD"/>
    <w:rsid w:val="00C94A13"/>
    <w:rsid w:val="00C94A47"/>
    <w:rsid w:val="00C94A67"/>
    <w:rsid w:val="00C94BB0"/>
    <w:rsid w:val="00C94CAC"/>
    <w:rsid w:val="00C94CC6"/>
    <w:rsid w:val="00C94CC8"/>
    <w:rsid w:val="00C94D22"/>
    <w:rsid w:val="00C94D9E"/>
    <w:rsid w:val="00C94DD0"/>
    <w:rsid w:val="00C94E0B"/>
    <w:rsid w:val="00C94F29"/>
    <w:rsid w:val="00C94F86"/>
    <w:rsid w:val="00C95021"/>
    <w:rsid w:val="00C95046"/>
    <w:rsid w:val="00C95160"/>
    <w:rsid w:val="00C95370"/>
    <w:rsid w:val="00C953BA"/>
    <w:rsid w:val="00C9559A"/>
    <w:rsid w:val="00C955A1"/>
    <w:rsid w:val="00C9560F"/>
    <w:rsid w:val="00C9572D"/>
    <w:rsid w:val="00C95790"/>
    <w:rsid w:val="00C957D3"/>
    <w:rsid w:val="00C95927"/>
    <w:rsid w:val="00C9594E"/>
    <w:rsid w:val="00C9597D"/>
    <w:rsid w:val="00C959B8"/>
    <w:rsid w:val="00C95A57"/>
    <w:rsid w:val="00C95A5F"/>
    <w:rsid w:val="00C95ACB"/>
    <w:rsid w:val="00C95B82"/>
    <w:rsid w:val="00C95DB4"/>
    <w:rsid w:val="00C95DED"/>
    <w:rsid w:val="00C95E6F"/>
    <w:rsid w:val="00C95EC5"/>
    <w:rsid w:val="00C95F79"/>
    <w:rsid w:val="00C95FB0"/>
    <w:rsid w:val="00C961C6"/>
    <w:rsid w:val="00C962C9"/>
    <w:rsid w:val="00C962CD"/>
    <w:rsid w:val="00C9636B"/>
    <w:rsid w:val="00C9642A"/>
    <w:rsid w:val="00C9660D"/>
    <w:rsid w:val="00C966F5"/>
    <w:rsid w:val="00C96732"/>
    <w:rsid w:val="00C9677A"/>
    <w:rsid w:val="00C9677D"/>
    <w:rsid w:val="00C967B0"/>
    <w:rsid w:val="00C967CD"/>
    <w:rsid w:val="00C967FF"/>
    <w:rsid w:val="00C96882"/>
    <w:rsid w:val="00C96912"/>
    <w:rsid w:val="00C96A15"/>
    <w:rsid w:val="00C96A61"/>
    <w:rsid w:val="00C96A71"/>
    <w:rsid w:val="00C96A8F"/>
    <w:rsid w:val="00C96AD1"/>
    <w:rsid w:val="00C96BE9"/>
    <w:rsid w:val="00C96C31"/>
    <w:rsid w:val="00C96D02"/>
    <w:rsid w:val="00C96D67"/>
    <w:rsid w:val="00C96DEF"/>
    <w:rsid w:val="00C96E82"/>
    <w:rsid w:val="00C96F2A"/>
    <w:rsid w:val="00C96F91"/>
    <w:rsid w:val="00C96FF7"/>
    <w:rsid w:val="00C970A3"/>
    <w:rsid w:val="00C970EF"/>
    <w:rsid w:val="00C971DC"/>
    <w:rsid w:val="00C97277"/>
    <w:rsid w:val="00C9737B"/>
    <w:rsid w:val="00C97454"/>
    <w:rsid w:val="00C9752C"/>
    <w:rsid w:val="00C97591"/>
    <w:rsid w:val="00C976D2"/>
    <w:rsid w:val="00C97889"/>
    <w:rsid w:val="00C9791E"/>
    <w:rsid w:val="00C97990"/>
    <w:rsid w:val="00C97AA8"/>
    <w:rsid w:val="00C97AD3"/>
    <w:rsid w:val="00C97B30"/>
    <w:rsid w:val="00C97B8B"/>
    <w:rsid w:val="00C97C85"/>
    <w:rsid w:val="00C97DAF"/>
    <w:rsid w:val="00C97DB9"/>
    <w:rsid w:val="00C97DD0"/>
    <w:rsid w:val="00C97F40"/>
    <w:rsid w:val="00CA00D9"/>
    <w:rsid w:val="00CA0116"/>
    <w:rsid w:val="00CA0126"/>
    <w:rsid w:val="00CA01AB"/>
    <w:rsid w:val="00CA01CF"/>
    <w:rsid w:val="00CA01DE"/>
    <w:rsid w:val="00CA02AA"/>
    <w:rsid w:val="00CA038D"/>
    <w:rsid w:val="00CA03A3"/>
    <w:rsid w:val="00CA0419"/>
    <w:rsid w:val="00CA0456"/>
    <w:rsid w:val="00CA0459"/>
    <w:rsid w:val="00CA0507"/>
    <w:rsid w:val="00CA0630"/>
    <w:rsid w:val="00CA080E"/>
    <w:rsid w:val="00CA086A"/>
    <w:rsid w:val="00CA08B4"/>
    <w:rsid w:val="00CA0932"/>
    <w:rsid w:val="00CA0938"/>
    <w:rsid w:val="00CA098D"/>
    <w:rsid w:val="00CA0A78"/>
    <w:rsid w:val="00CA0A7D"/>
    <w:rsid w:val="00CA0B50"/>
    <w:rsid w:val="00CA0BBA"/>
    <w:rsid w:val="00CA0C56"/>
    <w:rsid w:val="00CA0C93"/>
    <w:rsid w:val="00CA0D04"/>
    <w:rsid w:val="00CA0D12"/>
    <w:rsid w:val="00CA0D60"/>
    <w:rsid w:val="00CA0DEC"/>
    <w:rsid w:val="00CA10D6"/>
    <w:rsid w:val="00CA111E"/>
    <w:rsid w:val="00CA113E"/>
    <w:rsid w:val="00CA11EA"/>
    <w:rsid w:val="00CA120F"/>
    <w:rsid w:val="00CA1258"/>
    <w:rsid w:val="00CA12B9"/>
    <w:rsid w:val="00CA1383"/>
    <w:rsid w:val="00CA13EB"/>
    <w:rsid w:val="00CA141A"/>
    <w:rsid w:val="00CA1438"/>
    <w:rsid w:val="00CA15BA"/>
    <w:rsid w:val="00CA16FB"/>
    <w:rsid w:val="00CA17C9"/>
    <w:rsid w:val="00CA18F5"/>
    <w:rsid w:val="00CA19B4"/>
    <w:rsid w:val="00CA19C8"/>
    <w:rsid w:val="00CA1A4A"/>
    <w:rsid w:val="00CA1A5C"/>
    <w:rsid w:val="00CA1AE0"/>
    <w:rsid w:val="00CA1C53"/>
    <w:rsid w:val="00CA1D69"/>
    <w:rsid w:val="00CA1E2C"/>
    <w:rsid w:val="00CA1E8D"/>
    <w:rsid w:val="00CA1EDE"/>
    <w:rsid w:val="00CA1EEC"/>
    <w:rsid w:val="00CA1EF0"/>
    <w:rsid w:val="00CA1EF3"/>
    <w:rsid w:val="00CA2004"/>
    <w:rsid w:val="00CA21BC"/>
    <w:rsid w:val="00CA22F8"/>
    <w:rsid w:val="00CA238A"/>
    <w:rsid w:val="00CA2456"/>
    <w:rsid w:val="00CA25DF"/>
    <w:rsid w:val="00CA2609"/>
    <w:rsid w:val="00CA27C1"/>
    <w:rsid w:val="00CA2837"/>
    <w:rsid w:val="00CA2885"/>
    <w:rsid w:val="00CA2987"/>
    <w:rsid w:val="00CA29CE"/>
    <w:rsid w:val="00CA29F0"/>
    <w:rsid w:val="00CA2B23"/>
    <w:rsid w:val="00CA2B37"/>
    <w:rsid w:val="00CA2B61"/>
    <w:rsid w:val="00CA2B6D"/>
    <w:rsid w:val="00CA2B93"/>
    <w:rsid w:val="00CA2BB3"/>
    <w:rsid w:val="00CA2BF4"/>
    <w:rsid w:val="00CA2C56"/>
    <w:rsid w:val="00CA2C92"/>
    <w:rsid w:val="00CA2C97"/>
    <w:rsid w:val="00CA2CC9"/>
    <w:rsid w:val="00CA2D7E"/>
    <w:rsid w:val="00CA2DAF"/>
    <w:rsid w:val="00CA2DB6"/>
    <w:rsid w:val="00CA2F2C"/>
    <w:rsid w:val="00CA2F77"/>
    <w:rsid w:val="00CA301D"/>
    <w:rsid w:val="00CA302C"/>
    <w:rsid w:val="00CA3038"/>
    <w:rsid w:val="00CA30BB"/>
    <w:rsid w:val="00CA3111"/>
    <w:rsid w:val="00CA3121"/>
    <w:rsid w:val="00CA31CC"/>
    <w:rsid w:val="00CA325F"/>
    <w:rsid w:val="00CA32BC"/>
    <w:rsid w:val="00CA34A1"/>
    <w:rsid w:val="00CA35C5"/>
    <w:rsid w:val="00CA37AD"/>
    <w:rsid w:val="00CA3875"/>
    <w:rsid w:val="00CA392C"/>
    <w:rsid w:val="00CA39CF"/>
    <w:rsid w:val="00CA3AA6"/>
    <w:rsid w:val="00CA3AC1"/>
    <w:rsid w:val="00CA3B08"/>
    <w:rsid w:val="00CA3B7E"/>
    <w:rsid w:val="00CA3C86"/>
    <w:rsid w:val="00CA3E34"/>
    <w:rsid w:val="00CA3E55"/>
    <w:rsid w:val="00CA3F1A"/>
    <w:rsid w:val="00CA4080"/>
    <w:rsid w:val="00CA4174"/>
    <w:rsid w:val="00CA4210"/>
    <w:rsid w:val="00CA42A6"/>
    <w:rsid w:val="00CA42E9"/>
    <w:rsid w:val="00CA431A"/>
    <w:rsid w:val="00CA436F"/>
    <w:rsid w:val="00CA4417"/>
    <w:rsid w:val="00CA4470"/>
    <w:rsid w:val="00CA44AF"/>
    <w:rsid w:val="00CA46E3"/>
    <w:rsid w:val="00CA47EF"/>
    <w:rsid w:val="00CA4878"/>
    <w:rsid w:val="00CA48C6"/>
    <w:rsid w:val="00CA49AB"/>
    <w:rsid w:val="00CA4A31"/>
    <w:rsid w:val="00CA4BC0"/>
    <w:rsid w:val="00CA4BE5"/>
    <w:rsid w:val="00CA4C8A"/>
    <w:rsid w:val="00CA4CC1"/>
    <w:rsid w:val="00CA4D5C"/>
    <w:rsid w:val="00CA4D63"/>
    <w:rsid w:val="00CA4E60"/>
    <w:rsid w:val="00CA4E68"/>
    <w:rsid w:val="00CA4ECB"/>
    <w:rsid w:val="00CA4F0D"/>
    <w:rsid w:val="00CA50A7"/>
    <w:rsid w:val="00CA50B1"/>
    <w:rsid w:val="00CA50DC"/>
    <w:rsid w:val="00CA50F8"/>
    <w:rsid w:val="00CA5184"/>
    <w:rsid w:val="00CA5213"/>
    <w:rsid w:val="00CA526E"/>
    <w:rsid w:val="00CA5308"/>
    <w:rsid w:val="00CA531F"/>
    <w:rsid w:val="00CA5362"/>
    <w:rsid w:val="00CA5413"/>
    <w:rsid w:val="00CA5417"/>
    <w:rsid w:val="00CA5452"/>
    <w:rsid w:val="00CA5535"/>
    <w:rsid w:val="00CA5592"/>
    <w:rsid w:val="00CA55A9"/>
    <w:rsid w:val="00CA55F6"/>
    <w:rsid w:val="00CA5757"/>
    <w:rsid w:val="00CA5816"/>
    <w:rsid w:val="00CA5994"/>
    <w:rsid w:val="00CA5CA8"/>
    <w:rsid w:val="00CA5CAA"/>
    <w:rsid w:val="00CA5CC0"/>
    <w:rsid w:val="00CA5D5B"/>
    <w:rsid w:val="00CA5D8C"/>
    <w:rsid w:val="00CA5E0E"/>
    <w:rsid w:val="00CA5E80"/>
    <w:rsid w:val="00CA5F6B"/>
    <w:rsid w:val="00CA6031"/>
    <w:rsid w:val="00CA60AC"/>
    <w:rsid w:val="00CA60BB"/>
    <w:rsid w:val="00CA60EC"/>
    <w:rsid w:val="00CA60F0"/>
    <w:rsid w:val="00CA616C"/>
    <w:rsid w:val="00CA61AE"/>
    <w:rsid w:val="00CA624B"/>
    <w:rsid w:val="00CA628F"/>
    <w:rsid w:val="00CA6290"/>
    <w:rsid w:val="00CA62E5"/>
    <w:rsid w:val="00CA633A"/>
    <w:rsid w:val="00CA6359"/>
    <w:rsid w:val="00CA64ED"/>
    <w:rsid w:val="00CA669D"/>
    <w:rsid w:val="00CA672B"/>
    <w:rsid w:val="00CA6733"/>
    <w:rsid w:val="00CA673A"/>
    <w:rsid w:val="00CA6750"/>
    <w:rsid w:val="00CA680E"/>
    <w:rsid w:val="00CA682B"/>
    <w:rsid w:val="00CA68BF"/>
    <w:rsid w:val="00CA695B"/>
    <w:rsid w:val="00CA69D6"/>
    <w:rsid w:val="00CA6A43"/>
    <w:rsid w:val="00CA6A55"/>
    <w:rsid w:val="00CA6AB8"/>
    <w:rsid w:val="00CA6B02"/>
    <w:rsid w:val="00CA6B05"/>
    <w:rsid w:val="00CA6B56"/>
    <w:rsid w:val="00CA6C49"/>
    <w:rsid w:val="00CA6C5A"/>
    <w:rsid w:val="00CA6C65"/>
    <w:rsid w:val="00CA6D1C"/>
    <w:rsid w:val="00CA6D76"/>
    <w:rsid w:val="00CA6DA6"/>
    <w:rsid w:val="00CA6DB6"/>
    <w:rsid w:val="00CA7006"/>
    <w:rsid w:val="00CA701A"/>
    <w:rsid w:val="00CA702F"/>
    <w:rsid w:val="00CA7083"/>
    <w:rsid w:val="00CA720A"/>
    <w:rsid w:val="00CA7316"/>
    <w:rsid w:val="00CA734F"/>
    <w:rsid w:val="00CA74CB"/>
    <w:rsid w:val="00CA7539"/>
    <w:rsid w:val="00CA7578"/>
    <w:rsid w:val="00CA75BB"/>
    <w:rsid w:val="00CA75C4"/>
    <w:rsid w:val="00CA75E9"/>
    <w:rsid w:val="00CA76A5"/>
    <w:rsid w:val="00CA7816"/>
    <w:rsid w:val="00CA787B"/>
    <w:rsid w:val="00CA7A31"/>
    <w:rsid w:val="00CA7A49"/>
    <w:rsid w:val="00CA7C7E"/>
    <w:rsid w:val="00CA7DBF"/>
    <w:rsid w:val="00CA7E5C"/>
    <w:rsid w:val="00CA7EEB"/>
    <w:rsid w:val="00CA7F2E"/>
    <w:rsid w:val="00CA7F42"/>
    <w:rsid w:val="00CA7F70"/>
    <w:rsid w:val="00CA7F8C"/>
    <w:rsid w:val="00CB0001"/>
    <w:rsid w:val="00CB000B"/>
    <w:rsid w:val="00CB009C"/>
    <w:rsid w:val="00CB00C0"/>
    <w:rsid w:val="00CB0138"/>
    <w:rsid w:val="00CB0157"/>
    <w:rsid w:val="00CB01FB"/>
    <w:rsid w:val="00CB02BF"/>
    <w:rsid w:val="00CB02E8"/>
    <w:rsid w:val="00CB0319"/>
    <w:rsid w:val="00CB036C"/>
    <w:rsid w:val="00CB03E5"/>
    <w:rsid w:val="00CB0401"/>
    <w:rsid w:val="00CB0446"/>
    <w:rsid w:val="00CB0449"/>
    <w:rsid w:val="00CB050E"/>
    <w:rsid w:val="00CB0557"/>
    <w:rsid w:val="00CB0569"/>
    <w:rsid w:val="00CB0713"/>
    <w:rsid w:val="00CB0745"/>
    <w:rsid w:val="00CB07F0"/>
    <w:rsid w:val="00CB08C8"/>
    <w:rsid w:val="00CB08F5"/>
    <w:rsid w:val="00CB0A8C"/>
    <w:rsid w:val="00CB0AE9"/>
    <w:rsid w:val="00CB0BB0"/>
    <w:rsid w:val="00CB0C48"/>
    <w:rsid w:val="00CB0CCB"/>
    <w:rsid w:val="00CB0CF9"/>
    <w:rsid w:val="00CB0DD5"/>
    <w:rsid w:val="00CB0E11"/>
    <w:rsid w:val="00CB0EC3"/>
    <w:rsid w:val="00CB0F16"/>
    <w:rsid w:val="00CB0F86"/>
    <w:rsid w:val="00CB0FCB"/>
    <w:rsid w:val="00CB1020"/>
    <w:rsid w:val="00CB1109"/>
    <w:rsid w:val="00CB1191"/>
    <w:rsid w:val="00CB11F7"/>
    <w:rsid w:val="00CB125A"/>
    <w:rsid w:val="00CB137A"/>
    <w:rsid w:val="00CB137F"/>
    <w:rsid w:val="00CB13F7"/>
    <w:rsid w:val="00CB148D"/>
    <w:rsid w:val="00CB15DE"/>
    <w:rsid w:val="00CB16F5"/>
    <w:rsid w:val="00CB17B2"/>
    <w:rsid w:val="00CB17FB"/>
    <w:rsid w:val="00CB1818"/>
    <w:rsid w:val="00CB1889"/>
    <w:rsid w:val="00CB193D"/>
    <w:rsid w:val="00CB198C"/>
    <w:rsid w:val="00CB19AC"/>
    <w:rsid w:val="00CB19DC"/>
    <w:rsid w:val="00CB19EF"/>
    <w:rsid w:val="00CB1C63"/>
    <w:rsid w:val="00CB1CC5"/>
    <w:rsid w:val="00CB1CF3"/>
    <w:rsid w:val="00CB1D11"/>
    <w:rsid w:val="00CB1EA7"/>
    <w:rsid w:val="00CB1F29"/>
    <w:rsid w:val="00CB1F33"/>
    <w:rsid w:val="00CB1F86"/>
    <w:rsid w:val="00CB1FA4"/>
    <w:rsid w:val="00CB20AC"/>
    <w:rsid w:val="00CB20BD"/>
    <w:rsid w:val="00CB21FE"/>
    <w:rsid w:val="00CB2205"/>
    <w:rsid w:val="00CB2239"/>
    <w:rsid w:val="00CB22B8"/>
    <w:rsid w:val="00CB2350"/>
    <w:rsid w:val="00CB23C2"/>
    <w:rsid w:val="00CB247E"/>
    <w:rsid w:val="00CB24F0"/>
    <w:rsid w:val="00CB256A"/>
    <w:rsid w:val="00CB265A"/>
    <w:rsid w:val="00CB2673"/>
    <w:rsid w:val="00CB26D7"/>
    <w:rsid w:val="00CB2756"/>
    <w:rsid w:val="00CB2760"/>
    <w:rsid w:val="00CB27EC"/>
    <w:rsid w:val="00CB27F1"/>
    <w:rsid w:val="00CB2800"/>
    <w:rsid w:val="00CB28FE"/>
    <w:rsid w:val="00CB2906"/>
    <w:rsid w:val="00CB2A6E"/>
    <w:rsid w:val="00CB2ADC"/>
    <w:rsid w:val="00CB2AF6"/>
    <w:rsid w:val="00CB2B13"/>
    <w:rsid w:val="00CB2B29"/>
    <w:rsid w:val="00CB2BBA"/>
    <w:rsid w:val="00CB2BC4"/>
    <w:rsid w:val="00CB2C06"/>
    <w:rsid w:val="00CB2CEE"/>
    <w:rsid w:val="00CB2E0B"/>
    <w:rsid w:val="00CB2E7D"/>
    <w:rsid w:val="00CB2F6F"/>
    <w:rsid w:val="00CB30D8"/>
    <w:rsid w:val="00CB30ED"/>
    <w:rsid w:val="00CB31C8"/>
    <w:rsid w:val="00CB3396"/>
    <w:rsid w:val="00CB33A2"/>
    <w:rsid w:val="00CB340C"/>
    <w:rsid w:val="00CB3492"/>
    <w:rsid w:val="00CB349E"/>
    <w:rsid w:val="00CB352B"/>
    <w:rsid w:val="00CB35BE"/>
    <w:rsid w:val="00CB36F1"/>
    <w:rsid w:val="00CB3723"/>
    <w:rsid w:val="00CB3729"/>
    <w:rsid w:val="00CB3796"/>
    <w:rsid w:val="00CB382C"/>
    <w:rsid w:val="00CB385E"/>
    <w:rsid w:val="00CB397F"/>
    <w:rsid w:val="00CB39EC"/>
    <w:rsid w:val="00CB3AE5"/>
    <w:rsid w:val="00CB3B3F"/>
    <w:rsid w:val="00CB3BB0"/>
    <w:rsid w:val="00CB3F38"/>
    <w:rsid w:val="00CB3FF3"/>
    <w:rsid w:val="00CB4001"/>
    <w:rsid w:val="00CB4096"/>
    <w:rsid w:val="00CB40EA"/>
    <w:rsid w:val="00CB4132"/>
    <w:rsid w:val="00CB4227"/>
    <w:rsid w:val="00CB423F"/>
    <w:rsid w:val="00CB4249"/>
    <w:rsid w:val="00CB4310"/>
    <w:rsid w:val="00CB4367"/>
    <w:rsid w:val="00CB43E5"/>
    <w:rsid w:val="00CB444B"/>
    <w:rsid w:val="00CB44BD"/>
    <w:rsid w:val="00CB44DC"/>
    <w:rsid w:val="00CB4521"/>
    <w:rsid w:val="00CB45EA"/>
    <w:rsid w:val="00CB46B4"/>
    <w:rsid w:val="00CB4701"/>
    <w:rsid w:val="00CB4930"/>
    <w:rsid w:val="00CB495E"/>
    <w:rsid w:val="00CB4B0E"/>
    <w:rsid w:val="00CB4B57"/>
    <w:rsid w:val="00CB4BEC"/>
    <w:rsid w:val="00CB4C29"/>
    <w:rsid w:val="00CB4CF5"/>
    <w:rsid w:val="00CB4D2F"/>
    <w:rsid w:val="00CB4D41"/>
    <w:rsid w:val="00CB4D71"/>
    <w:rsid w:val="00CB4DF6"/>
    <w:rsid w:val="00CB4E6B"/>
    <w:rsid w:val="00CB4E86"/>
    <w:rsid w:val="00CB4F0A"/>
    <w:rsid w:val="00CB4F1F"/>
    <w:rsid w:val="00CB5080"/>
    <w:rsid w:val="00CB5205"/>
    <w:rsid w:val="00CB523F"/>
    <w:rsid w:val="00CB5280"/>
    <w:rsid w:val="00CB5351"/>
    <w:rsid w:val="00CB53FF"/>
    <w:rsid w:val="00CB54F4"/>
    <w:rsid w:val="00CB5566"/>
    <w:rsid w:val="00CB5574"/>
    <w:rsid w:val="00CB5585"/>
    <w:rsid w:val="00CB55BD"/>
    <w:rsid w:val="00CB55DA"/>
    <w:rsid w:val="00CB57DD"/>
    <w:rsid w:val="00CB5807"/>
    <w:rsid w:val="00CB5926"/>
    <w:rsid w:val="00CB59C9"/>
    <w:rsid w:val="00CB59FC"/>
    <w:rsid w:val="00CB5A14"/>
    <w:rsid w:val="00CB5A1E"/>
    <w:rsid w:val="00CB5AB7"/>
    <w:rsid w:val="00CB5B2A"/>
    <w:rsid w:val="00CB5BAD"/>
    <w:rsid w:val="00CB5BCE"/>
    <w:rsid w:val="00CB5BD9"/>
    <w:rsid w:val="00CB5E50"/>
    <w:rsid w:val="00CB5E99"/>
    <w:rsid w:val="00CB5ED9"/>
    <w:rsid w:val="00CB5EF5"/>
    <w:rsid w:val="00CB606E"/>
    <w:rsid w:val="00CB6131"/>
    <w:rsid w:val="00CB619F"/>
    <w:rsid w:val="00CB627E"/>
    <w:rsid w:val="00CB6627"/>
    <w:rsid w:val="00CB6641"/>
    <w:rsid w:val="00CB6681"/>
    <w:rsid w:val="00CB66C4"/>
    <w:rsid w:val="00CB670F"/>
    <w:rsid w:val="00CB683C"/>
    <w:rsid w:val="00CB6949"/>
    <w:rsid w:val="00CB69F5"/>
    <w:rsid w:val="00CB6A1D"/>
    <w:rsid w:val="00CB6A2C"/>
    <w:rsid w:val="00CB6A4A"/>
    <w:rsid w:val="00CB6AA8"/>
    <w:rsid w:val="00CB6CD1"/>
    <w:rsid w:val="00CB6D08"/>
    <w:rsid w:val="00CB6D1A"/>
    <w:rsid w:val="00CB6D74"/>
    <w:rsid w:val="00CB6EB0"/>
    <w:rsid w:val="00CB7016"/>
    <w:rsid w:val="00CB7035"/>
    <w:rsid w:val="00CB7098"/>
    <w:rsid w:val="00CB70F3"/>
    <w:rsid w:val="00CB7104"/>
    <w:rsid w:val="00CB71B4"/>
    <w:rsid w:val="00CB7276"/>
    <w:rsid w:val="00CB72C8"/>
    <w:rsid w:val="00CB73AA"/>
    <w:rsid w:val="00CB73BA"/>
    <w:rsid w:val="00CB745E"/>
    <w:rsid w:val="00CB74E9"/>
    <w:rsid w:val="00CB752B"/>
    <w:rsid w:val="00CB7566"/>
    <w:rsid w:val="00CB7619"/>
    <w:rsid w:val="00CB777F"/>
    <w:rsid w:val="00CB7822"/>
    <w:rsid w:val="00CB7873"/>
    <w:rsid w:val="00CB7874"/>
    <w:rsid w:val="00CB7985"/>
    <w:rsid w:val="00CB7A11"/>
    <w:rsid w:val="00CB7BC9"/>
    <w:rsid w:val="00CB7C15"/>
    <w:rsid w:val="00CB7C21"/>
    <w:rsid w:val="00CB7C85"/>
    <w:rsid w:val="00CB7D2B"/>
    <w:rsid w:val="00CB7D8C"/>
    <w:rsid w:val="00CB7D98"/>
    <w:rsid w:val="00CB7DEA"/>
    <w:rsid w:val="00CB7E03"/>
    <w:rsid w:val="00CB7E76"/>
    <w:rsid w:val="00CB7EBB"/>
    <w:rsid w:val="00CB7EE0"/>
    <w:rsid w:val="00CB7F82"/>
    <w:rsid w:val="00CB7FAD"/>
    <w:rsid w:val="00CB7FC1"/>
    <w:rsid w:val="00CC00C4"/>
    <w:rsid w:val="00CC0127"/>
    <w:rsid w:val="00CC031F"/>
    <w:rsid w:val="00CC0385"/>
    <w:rsid w:val="00CC04BE"/>
    <w:rsid w:val="00CC0545"/>
    <w:rsid w:val="00CC05C0"/>
    <w:rsid w:val="00CC061A"/>
    <w:rsid w:val="00CC06A8"/>
    <w:rsid w:val="00CC077F"/>
    <w:rsid w:val="00CC07BE"/>
    <w:rsid w:val="00CC099F"/>
    <w:rsid w:val="00CC09A2"/>
    <w:rsid w:val="00CC09B2"/>
    <w:rsid w:val="00CC09D3"/>
    <w:rsid w:val="00CC0AC6"/>
    <w:rsid w:val="00CC0B2A"/>
    <w:rsid w:val="00CC0B55"/>
    <w:rsid w:val="00CC0B5A"/>
    <w:rsid w:val="00CC0C65"/>
    <w:rsid w:val="00CC0C71"/>
    <w:rsid w:val="00CC0DA5"/>
    <w:rsid w:val="00CC0DAA"/>
    <w:rsid w:val="00CC0F37"/>
    <w:rsid w:val="00CC0F3C"/>
    <w:rsid w:val="00CC0F5B"/>
    <w:rsid w:val="00CC1004"/>
    <w:rsid w:val="00CC105A"/>
    <w:rsid w:val="00CC111A"/>
    <w:rsid w:val="00CC113E"/>
    <w:rsid w:val="00CC11E4"/>
    <w:rsid w:val="00CC1223"/>
    <w:rsid w:val="00CC12A5"/>
    <w:rsid w:val="00CC133C"/>
    <w:rsid w:val="00CC13C8"/>
    <w:rsid w:val="00CC13E7"/>
    <w:rsid w:val="00CC141B"/>
    <w:rsid w:val="00CC1461"/>
    <w:rsid w:val="00CC1612"/>
    <w:rsid w:val="00CC1643"/>
    <w:rsid w:val="00CC1670"/>
    <w:rsid w:val="00CC16D7"/>
    <w:rsid w:val="00CC16E8"/>
    <w:rsid w:val="00CC1706"/>
    <w:rsid w:val="00CC1714"/>
    <w:rsid w:val="00CC1765"/>
    <w:rsid w:val="00CC182A"/>
    <w:rsid w:val="00CC18BC"/>
    <w:rsid w:val="00CC195C"/>
    <w:rsid w:val="00CC19A6"/>
    <w:rsid w:val="00CC1B1B"/>
    <w:rsid w:val="00CC1B86"/>
    <w:rsid w:val="00CC1BA1"/>
    <w:rsid w:val="00CC1CCF"/>
    <w:rsid w:val="00CC1D70"/>
    <w:rsid w:val="00CC1EA7"/>
    <w:rsid w:val="00CC1EB9"/>
    <w:rsid w:val="00CC1F23"/>
    <w:rsid w:val="00CC1F2F"/>
    <w:rsid w:val="00CC1F56"/>
    <w:rsid w:val="00CC2003"/>
    <w:rsid w:val="00CC2043"/>
    <w:rsid w:val="00CC208D"/>
    <w:rsid w:val="00CC208F"/>
    <w:rsid w:val="00CC2202"/>
    <w:rsid w:val="00CC2215"/>
    <w:rsid w:val="00CC2220"/>
    <w:rsid w:val="00CC22CE"/>
    <w:rsid w:val="00CC230E"/>
    <w:rsid w:val="00CC238C"/>
    <w:rsid w:val="00CC239B"/>
    <w:rsid w:val="00CC23DE"/>
    <w:rsid w:val="00CC2458"/>
    <w:rsid w:val="00CC24B4"/>
    <w:rsid w:val="00CC24BF"/>
    <w:rsid w:val="00CC2552"/>
    <w:rsid w:val="00CC269A"/>
    <w:rsid w:val="00CC26C8"/>
    <w:rsid w:val="00CC2703"/>
    <w:rsid w:val="00CC28C9"/>
    <w:rsid w:val="00CC292B"/>
    <w:rsid w:val="00CC2A82"/>
    <w:rsid w:val="00CC2AAD"/>
    <w:rsid w:val="00CC2B5E"/>
    <w:rsid w:val="00CC2CAA"/>
    <w:rsid w:val="00CC2D36"/>
    <w:rsid w:val="00CC2DB6"/>
    <w:rsid w:val="00CC2EFA"/>
    <w:rsid w:val="00CC3066"/>
    <w:rsid w:val="00CC3147"/>
    <w:rsid w:val="00CC31EC"/>
    <w:rsid w:val="00CC3246"/>
    <w:rsid w:val="00CC330D"/>
    <w:rsid w:val="00CC33C5"/>
    <w:rsid w:val="00CC3437"/>
    <w:rsid w:val="00CC3459"/>
    <w:rsid w:val="00CC3568"/>
    <w:rsid w:val="00CC356A"/>
    <w:rsid w:val="00CC35B1"/>
    <w:rsid w:val="00CC3754"/>
    <w:rsid w:val="00CC382D"/>
    <w:rsid w:val="00CC386C"/>
    <w:rsid w:val="00CC396E"/>
    <w:rsid w:val="00CC3A75"/>
    <w:rsid w:val="00CC3A98"/>
    <w:rsid w:val="00CC3ACF"/>
    <w:rsid w:val="00CC3B1E"/>
    <w:rsid w:val="00CC3E71"/>
    <w:rsid w:val="00CC3E9D"/>
    <w:rsid w:val="00CC3EDC"/>
    <w:rsid w:val="00CC3F04"/>
    <w:rsid w:val="00CC3F3C"/>
    <w:rsid w:val="00CC3FB7"/>
    <w:rsid w:val="00CC3FC0"/>
    <w:rsid w:val="00CC4005"/>
    <w:rsid w:val="00CC400E"/>
    <w:rsid w:val="00CC409E"/>
    <w:rsid w:val="00CC40FB"/>
    <w:rsid w:val="00CC41A3"/>
    <w:rsid w:val="00CC41A8"/>
    <w:rsid w:val="00CC41DF"/>
    <w:rsid w:val="00CC42E2"/>
    <w:rsid w:val="00CC42E3"/>
    <w:rsid w:val="00CC4337"/>
    <w:rsid w:val="00CC43B2"/>
    <w:rsid w:val="00CC457C"/>
    <w:rsid w:val="00CC4584"/>
    <w:rsid w:val="00CC45B1"/>
    <w:rsid w:val="00CC4648"/>
    <w:rsid w:val="00CC4762"/>
    <w:rsid w:val="00CC4926"/>
    <w:rsid w:val="00CC4946"/>
    <w:rsid w:val="00CC496B"/>
    <w:rsid w:val="00CC49A9"/>
    <w:rsid w:val="00CC4A08"/>
    <w:rsid w:val="00CC4A7C"/>
    <w:rsid w:val="00CC4D03"/>
    <w:rsid w:val="00CC4D05"/>
    <w:rsid w:val="00CC4DA7"/>
    <w:rsid w:val="00CC4DC8"/>
    <w:rsid w:val="00CC4EBC"/>
    <w:rsid w:val="00CC4F73"/>
    <w:rsid w:val="00CC5077"/>
    <w:rsid w:val="00CC508C"/>
    <w:rsid w:val="00CC514B"/>
    <w:rsid w:val="00CC51A2"/>
    <w:rsid w:val="00CC52AF"/>
    <w:rsid w:val="00CC532D"/>
    <w:rsid w:val="00CC54AD"/>
    <w:rsid w:val="00CC551E"/>
    <w:rsid w:val="00CC5524"/>
    <w:rsid w:val="00CC559D"/>
    <w:rsid w:val="00CC559E"/>
    <w:rsid w:val="00CC5601"/>
    <w:rsid w:val="00CC5650"/>
    <w:rsid w:val="00CC56BC"/>
    <w:rsid w:val="00CC583C"/>
    <w:rsid w:val="00CC5870"/>
    <w:rsid w:val="00CC589B"/>
    <w:rsid w:val="00CC58B1"/>
    <w:rsid w:val="00CC590E"/>
    <w:rsid w:val="00CC591B"/>
    <w:rsid w:val="00CC592E"/>
    <w:rsid w:val="00CC5999"/>
    <w:rsid w:val="00CC5A48"/>
    <w:rsid w:val="00CC5AAB"/>
    <w:rsid w:val="00CC5BC9"/>
    <w:rsid w:val="00CC5D18"/>
    <w:rsid w:val="00CC5DA0"/>
    <w:rsid w:val="00CC5DED"/>
    <w:rsid w:val="00CC5F19"/>
    <w:rsid w:val="00CC5F6F"/>
    <w:rsid w:val="00CC5FB4"/>
    <w:rsid w:val="00CC6014"/>
    <w:rsid w:val="00CC61AB"/>
    <w:rsid w:val="00CC61E1"/>
    <w:rsid w:val="00CC6394"/>
    <w:rsid w:val="00CC639B"/>
    <w:rsid w:val="00CC63CA"/>
    <w:rsid w:val="00CC6504"/>
    <w:rsid w:val="00CC6510"/>
    <w:rsid w:val="00CC65B1"/>
    <w:rsid w:val="00CC6605"/>
    <w:rsid w:val="00CC6622"/>
    <w:rsid w:val="00CC6662"/>
    <w:rsid w:val="00CC66BA"/>
    <w:rsid w:val="00CC67AD"/>
    <w:rsid w:val="00CC67D8"/>
    <w:rsid w:val="00CC69DE"/>
    <w:rsid w:val="00CC6A35"/>
    <w:rsid w:val="00CC6ABF"/>
    <w:rsid w:val="00CC6AE5"/>
    <w:rsid w:val="00CC6B5C"/>
    <w:rsid w:val="00CC6B84"/>
    <w:rsid w:val="00CC6BE9"/>
    <w:rsid w:val="00CC6CA9"/>
    <w:rsid w:val="00CC6CDF"/>
    <w:rsid w:val="00CC6D78"/>
    <w:rsid w:val="00CC6DB0"/>
    <w:rsid w:val="00CC6F55"/>
    <w:rsid w:val="00CC722D"/>
    <w:rsid w:val="00CC7289"/>
    <w:rsid w:val="00CC7377"/>
    <w:rsid w:val="00CC74A8"/>
    <w:rsid w:val="00CC74AE"/>
    <w:rsid w:val="00CC7519"/>
    <w:rsid w:val="00CC75D3"/>
    <w:rsid w:val="00CC7718"/>
    <w:rsid w:val="00CC7771"/>
    <w:rsid w:val="00CC77A0"/>
    <w:rsid w:val="00CC7873"/>
    <w:rsid w:val="00CC78BC"/>
    <w:rsid w:val="00CC78CE"/>
    <w:rsid w:val="00CC7948"/>
    <w:rsid w:val="00CC795A"/>
    <w:rsid w:val="00CC79E7"/>
    <w:rsid w:val="00CC79F6"/>
    <w:rsid w:val="00CC7A23"/>
    <w:rsid w:val="00CC7B2A"/>
    <w:rsid w:val="00CC7C1E"/>
    <w:rsid w:val="00CC7C2F"/>
    <w:rsid w:val="00CC7C4E"/>
    <w:rsid w:val="00CC7C59"/>
    <w:rsid w:val="00CC7D97"/>
    <w:rsid w:val="00CC7DC1"/>
    <w:rsid w:val="00CC7E1A"/>
    <w:rsid w:val="00CC7E35"/>
    <w:rsid w:val="00CC7E47"/>
    <w:rsid w:val="00CD00F0"/>
    <w:rsid w:val="00CD01B0"/>
    <w:rsid w:val="00CD0239"/>
    <w:rsid w:val="00CD0364"/>
    <w:rsid w:val="00CD0453"/>
    <w:rsid w:val="00CD04D8"/>
    <w:rsid w:val="00CD0538"/>
    <w:rsid w:val="00CD05E1"/>
    <w:rsid w:val="00CD05E4"/>
    <w:rsid w:val="00CD0844"/>
    <w:rsid w:val="00CD0853"/>
    <w:rsid w:val="00CD08B9"/>
    <w:rsid w:val="00CD0920"/>
    <w:rsid w:val="00CD094B"/>
    <w:rsid w:val="00CD09AE"/>
    <w:rsid w:val="00CD0A0A"/>
    <w:rsid w:val="00CD0A7B"/>
    <w:rsid w:val="00CD0AEA"/>
    <w:rsid w:val="00CD0B55"/>
    <w:rsid w:val="00CD0BAF"/>
    <w:rsid w:val="00CD0BD5"/>
    <w:rsid w:val="00CD0BE9"/>
    <w:rsid w:val="00CD0C00"/>
    <w:rsid w:val="00CD0C1B"/>
    <w:rsid w:val="00CD0CD1"/>
    <w:rsid w:val="00CD0CD7"/>
    <w:rsid w:val="00CD0E1E"/>
    <w:rsid w:val="00CD0E7E"/>
    <w:rsid w:val="00CD0F04"/>
    <w:rsid w:val="00CD1065"/>
    <w:rsid w:val="00CD1091"/>
    <w:rsid w:val="00CD1288"/>
    <w:rsid w:val="00CD1323"/>
    <w:rsid w:val="00CD1383"/>
    <w:rsid w:val="00CD1412"/>
    <w:rsid w:val="00CD1456"/>
    <w:rsid w:val="00CD14D8"/>
    <w:rsid w:val="00CD1555"/>
    <w:rsid w:val="00CD15BA"/>
    <w:rsid w:val="00CD1704"/>
    <w:rsid w:val="00CD176F"/>
    <w:rsid w:val="00CD1925"/>
    <w:rsid w:val="00CD1936"/>
    <w:rsid w:val="00CD1963"/>
    <w:rsid w:val="00CD1A28"/>
    <w:rsid w:val="00CD1A46"/>
    <w:rsid w:val="00CD1BDC"/>
    <w:rsid w:val="00CD1C98"/>
    <w:rsid w:val="00CD1D14"/>
    <w:rsid w:val="00CD1D35"/>
    <w:rsid w:val="00CD1DAC"/>
    <w:rsid w:val="00CD1E5A"/>
    <w:rsid w:val="00CD1F59"/>
    <w:rsid w:val="00CD2014"/>
    <w:rsid w:val="00CD2084"/>
    <w:rsid w:val="00CD20C1"/>
    <w:rsid w:val="00CD2164"/>
    <w:rsid w:val="00CD2188"/>
    <w:rsid w:val="00CD21B5"/>
    <w:rsid w:val="00CD23C7"/>
    <w:rsid w:val="00CD24A9"/>
    <w:rsid w:val="00CD2535"/>
    <w:rsid w:val="00CD253A"/>
    <w:rsid w:val="00CD256A"/>
    <w:rsid w:val="00CD25DF"/>
    <w:rsid w:val="00CD261C"/>
    <w:rsid w:val="00CD26AC"/>
    <w:rsid w:val="00CD26D8"/>
    <w:rsid w:val="00CD2742"/>
    <w:rsid w:val="00CD2765"/>
    <w:rsid w:val="00CD27C5"/>
    <w:rsid w:val="00CD27ED"/>
    <w:rsid w:val="00CD2819"/>
    <w:rsid w:val="00CD2983"/>
    <w:rsid w:val="00CD2A91"/>
    <w:rsid w:val="00CD2B70"/>
    <w:rsid w:val="00CD2BC4"/>
    <w:rsid w:val="00CD2C30"/>
    <w:rsid w:val="00CD2C84"/>
    <w:rsid w:val="00CD2CEA"/>
    <w:rsid w:val="00CD2E55"/>
    <w:rsid w:val="00CD2EE3"/>
    <w:rsid w:val="00CD2F5F"/>
    <w:rsid w:val="00CD2F63"/>
    <w:rsid w:val="00CD2FA1"/>
    <w:rsid w:val="00CD2FB5"/>
    <w:rsid w:val="00CD2FE0"/>
    <w:rsid w:val="00CD30C7"/>
    <w:rsid w:val="00CD3119"/>
    <w:rsid w:val="00CD3126"/>
    <w:rsid w:val="00CD31CA"/>
    <w:rsid w:val="00CD3254"/>
    <w:rsid w:val="00CD330E"/>
    <w:rsid w:val="00CD3327"/>
    <w:rsid w:val="00CD3398"/>
    <w:rsid w:val="00CD339B"/>
    <w:rsid w:val="00CD33F1"/>
    <w:rsid w:val="00CD3454"/>
    <w:rsid w:val="00CD35E8"/>
    <w:rsid w:val="00CD363C"/>
    <w:rsid w:val="00CD369E"/>
    <w:rsid w:val="00CD36B0"/>
    <w:rsid w:val="00CD36DE"/>
    <w:rsid w:val="00CD36E9"/>
    <w:rsid w:val="00CD3773"/>
    <w:rsid w:val="00CD37BA"/>
    <w:rsid w:val="00CD38E8"/>
    <w:rsid w:val="00CD39FC"/>
    <w:rsid w:val="00CD3B00"/>
    <w:rsid w:val="00CD3BBD"/>
    <w:rsid w:val="00CD3C65"/>
    <w:rsid w:val="00CD3C94"/>
    <w:rsid w:val="00CD3D71"/>
    <w:rsid w:val="00CD3DDF"/>
    <w:rsid w:val="00CD3DFF"/>
    <w:rsid w:val="00CD3ECE"/>
    <w:rsid w:val="00CD3EE3"/>
    <w:rsid w:val="00CD3F25"/>
    <w:rsid w:val="00CD3FD9"/>
    <w:rsid w:val="00CD40E7"/>
    <w:rsid w:val="00CD40EF"/>
    <w:rsid w:val="00CD410A"/>
    <w:rsid w:val="00CD41A5"/>
    <w:rsid w:val="00CD41DE"/>
    <w:rsid w:val="00CD41E0"/>
    <w:rsid w:val="00CD4270"/>
    <w:rsid w:val="00CD4338"/>
    <w:rsid w:val="00CD43B3"/>
    <w:rsid w:val="00CD4433"/>
    <w:rsid w:val="00CD44EC"/>
    <w:rsid w:val="00CD4542"/>
    <w:rsid w:val="00CD45DD"/>
    <w:rsid w:val="00CD460F"/>
    <w:rsid w:val="00CD477F"/>
    <w:rsid w:val="00CD47A3"/>
    <w:rsid w:val="00CD47E8"/>
    <w:rsid w:val="00CD487C"/>
    <w:rsid w:val="00CD4890"/>
    <w:rsid w:val="00CD48C7"/>
    <w:rsid w:val="00CD496A"/>
    <w:rsid w:val="00CD4A07"/>
    <w:rsid w:val="00CD4A2E"/>
    <w:rsid w:val="00CD4A54"/>
    <w:rsid w:val="00CD4A66"/>
    <w:rsid w:val="00CD4BD0"/>
    <w:rsid w:val="00CD4CC3"/>
    <w:rsid w:val="00CD4CD9"/>
    <w:rsid w:val="00CD4DCF"/>
    <w:rsid w:val="00CD4E77"/>
    <w:rsid w:val="00CD4E83"/>
    <w:rsid w:val="00CD4F33"/>
    <w:rsid w:val="00CD4F96"/>
    <w:rsid w:val="00CD50BA"/>
    <w:rsid w:val="00CD50DB"/>
    <w:rsid w:val="00CD5230"/>
    <w:rsid w:val="00CD53E3"/>
    <w:rsid w:val="00CD5425"/>
    <w:rsid w:val="00CD5450"/>
    <w:rsid w:val="00CD54AA"/>
    <w:rsid w:val="00CD561F"/>
    <w:rsid w:val="00CD5627"/>
    <w:rsid w:val="00CD5646"/>
    <w:rsid w:val="00CD56F9"/>
    <w:rsid w:val="00CD594C"/>
    <w:rsid w:val="00CD59C1"/>
    <w:rsid w:val="00CD5A54"/>
    <w:rsid w:val="00CD5AC1"/>
    <w:rsid w:val="00CD5B23"/>
    <w:rsid w:val="00CD5B49"/>
    <w:rsid w:val="00CD5BB3"/>
    <w:rsid w:val="00CD5ECC"/>
    <w:rsid w:val="00CD5EF8"/>
    <w:rsid w:val="00CD5F0A"/>
    <w:rsid w:val="00CD5F57"/>
    <w:rsid w:val="00CD6143"/>
    <w:rsid w:val="00CD6171"/>
    <w:rsid w:val="00CD6246"/>
    <w:rsid w:val="00CD628A"/>
    <w:rsid w:val="00CD6322"/>
    <w:rsid w:val="00CD63CE"/>
    <w:rsid w:val="00CD654B"/>
    <w:rsid w:val="00CD65FF"/>
    <w:rsid w:val="00CD6715"/>
    <w:rsid w:val="00CD6853"/>
    <w:rsid w:val="00CD68C5"/>
    <w:rsid w:val="00CD691D"/>
    <w:rsid w:val="00CD69BB"/>
    <w:rsid w:val="00CD69BC"/>
    <w:rsid w:val="00CD6AB2"/>
    <w:rsid w:val="00CD6B17"/>
    <w:rsid w:val="00CD6B9F"/>
    <w:rsid w:val="00CD6C6B"/>
    <w:rsid w:val="00CD6C74"/>
    <w:rsid w:val="00CD6CAA"/>
    <w:rsid w:val="00CD6DE0"/>
    <w:rsid w:val="00CD6E56"/>
    <w:rsid w:val="00CD6EF6"/>
    <w:rsid w:val="00CD6F83"/>
    <w:rsid w:val="00CD710A"/>
    <w:rsid w:val="00CD7132"/>
    <w:rsid w:val="00CD7140"/>
    <w:rsid w:val="00CD7176"/>
    <w:rsid w:val="00CD73DB"/>
    <w:rsid w:val="00CD7585"/>
    <w:rsid w:val="00CD7678"/>
    <w:rsid w:val="00CD76D7"/>
    <w:rsid w:val="00CD774F"/>
    <w:rsid w:val="00CD7769"/>
    <w:rsid w:val="00CD77D7"/>
    <w:rsid w:val="00CD7890"/>
    <w:rsid w:val="00CD78A6"/>
    <w:rsid w:val="00CD7963"/>
    <w:rsid w:val="00CD797C"/>
    <w:rsid w:val="00CD79A2"/>
    <w:rsid w:val="00CD79CC"/>
    <w:rsid w:val="00CD7A26"/>
    <w:rsid w:val="00CD7A4D"/>
    <w:rsid w:val="00CD7AE8"/>
    <w:rsid w:val="00CD7B14"/>
    <w:rsid w:val="00CD7B48"/>
    <w:rsid w:val="00CD7C09"/>
    <w:rsid w:val="00CD7E23"/>
    <w:rsid w:val="00CD7E86"/>
    <w:rsid w:val="00CD7F78"/>
    <w:rsid w:val="00CE0002"/>
    <w:rsid w:val="00CE00A2"/>
    <w:rsid w:val="00CE00B7"/>
    <w:rsid w:val="00CE011E"/>
    <w:rsid w:val="00CE01D1"/>
    <w:rsid w:val="00CE0243"/>
    <w:rsid w:val="00CE0286"/>
    <w:rsid w:val="00CE0466"/>
    <w:rsid w:val="00CE046B"/>
    <w:rsid w:val="00CE04BA"/>
    <w:rsid w:val="00CE0598"/>
    <w:rsid w:val="00CE0901"/>
    <w:rsid w:val="00CE096C"/>
    <w:rsid w:val="00CE09A7"/>
    <w:rsid w:val="00CE0ABB"/>
    <w:rsid w:val="00CE0AD3"/>
    <w:rsid w:val="00CE0AFE"/>
    <w:rsid w:val="00CE0BA9"/>
    <w:rsid w:val="00CE0BB4"/>
    <w:rsid w:val="00CE0BC4"/>
    <w:rsid w:val="00CE0C33"/>
    <w:rsid w:val="00CE0C85"/>
    <w:rsid w:val="00CE0CAE"/>
    <w:rsid w:val="00CE0D0F"/>
    <w:rsid w:val="00CE0D1E"/>
    <w:rsid w:val="00CE0D23"/>
    <w:rsid w:val="00CE0D5D"/>
    <w:rsid w:val="00CE0D8F"/>
    <w:rsid w:val="00CE0DAA"/>
    <w:rsid w:val="00CE0DB7"/>
    <w:rsid w:val="00CE0F06"/>
    <w:rsid w:val="00CE0F3B"/>
    <w:rsid w:val="00CE0F6F"/>
    <w:rsid w:val="00CE0FD5"/>
    <w:rsid w:val="00CE0FDD"/>
    <w:rsid w:val="00CE104B"/>
    <w:rsid w:val="00CE1102"/>
    <w:rsid w:val="00CE1283"/>
    <w:rsid w:val="00CE1298"/>
    <w:rsid w:val="00CE12B8"/>
    <w:rsid w:val="00CE136A"/>
    <w:rsid w:val="00CE1562"/>
    <w:rsid w:val="00CE15C2"/>
    <w:rsid w:val="00CE15FE"/>
    <w:rsid w:val="00CE1665"/>
    <w:rsid w:val="00CE168F"/>
    <w:rsid w:val="00CE178B"/>
    <w:rsid w:val="00CE18AE"/>
    <w:rsid w:val="00CE195D"/>
    <w:rsid w:val="00CE197C"/>
    <w:rsid w:val="00CE19D6"/>
    <w:rsid w:val="00CE1A4E"/>
    <w:rsid w:val="00CE1AD8"/>
    <w:rsid w:val="00CE1AE6"/>
    <w:rsid w:val="00CE1AEB"/>
    <w:rsid w:val="00CE1AF6"/>
    <w:rsid w:val="00CE1D87"/>
    <w:rsid w:val="00CE1EA3"/>
    <w:rsid w:val="00CE1EAC"/>
    <w:rsid w:val="00CE1EF8"/>
    <w:rsid w:val="00CE1F4E"/>
    <w:rsid w:val="00CE1FC4"/>
    <w:rsid w:val="00CE208F"/>
    <w:rsid w:val="00CE20E1"/>
    <w:rsid w:val="00CE21DA"/>
    <w:rsid w:val="00CE21FF"/>
    <w:rsid w:val="00CE223E"/>
    <w:rsid w:val="00CE22F4"/>
    <w:rsid w:val="00CE2374"/>
    <w:rsid w:val="00CE240B"/>
    <w:rsid w:val="00CE243F"/>
    <w:rsid w:val="00CE2470"/>
    <w:rsid w:val="00CE252D"/>
    <w:rsid w:val="00CE256D"/>
    <w:rsid w:val="00CE262E"/>
    <w:rsid w:val="00CE2737"/>
    <w:rsid w:val="00CE2885"/>
    <w:rsid w:val="00CE289E"/>
    <w:rsid w:val="00CE28A3"/>
    <w:rsid w:val="00CE28C0"/>
    <w:rsid w:val="00CE28F5"/>
    <w:rsid w:val="00CE2917"/>
    <w:rsid w:val="00CE2978"/>
    <w:rsid w:val="00CE29CC"/>
    <w:rsid w:val="00CE2A3B"/>
    <w:rsid w:val="00CE2A69"/>
    <w:rsid w:val="00CE2ADF"/>
    <w:rsid w:val="00CE2B53"/>
    <w:rsid w:val="00CE2B94"/>
    <w:rsid w:val="00CE2BF7"/>
    <w:rsid w:val="00CE2C5D"/>
    <w:rsid w:val="00CE2C7C"/>
    <w:rsid w:val="00CE2E16"/>
    <w:rsid w:val="00CE2FAC"/>
    <w:rsid w:val="00CE2FD2"/>
    <w:rsid w:val="00CE30F2"/>
    <w:rsid w:val="00CE3191"/>
    <w:rsid w:val="00CE31D9"/>
    <w:rsid w:val="00CE31FD"/>
    <w:rsid w:val="00CE3284"/>
    <w:rsid w:val="00CE3311"/>
    <w:rsid w:val="00CE332D"/>
    <w:rsid w:val="00CE33A9"/>
    <w:rsid w:val="00CE33FC"/>
    <w:rsid w:val="00CE3442"/>
    <w:rsid w:val="00CE3450"/>
    <w:rsid w:val="00CE349F"/>
    <w:rsid w:val="00CE34FF"/>
    <w:rsid w:val="00CE3521"/>
    <w:rsid w:val="00CE35CE"/>
    <w:rsid w:val="00CE3688"/>
    <w:rsid w:val="00CE375B"/>
    <w:rsid w:val="00CE37CF"/>
    <w:rsid w:val="00CE38F3"/>
    <w:rsid w:val="00CE38FE"/>
    <w:rsid w:val="00CE394B"/>
    <w:rsid w:val="00CE397B"/>
    <w:rsid w:val="00CE39C2"/>
    <w:rsid w:val="00CE39E6"/>
    <w:rsid w:val="00CE3A7B"/>
    <w:rsid w:val="00CE3AF4"/>
    <w:rsid w:val="00CE3B03"/>
    <w:rsid w:val="00CE3B3B"/>
    <w:rsid w:val="00CE3C99"/>
    <w:rsid w:val="00CE3D2F"/>
    <w:rsid w:val="00CE3E1D"/>
    <w:rsid w:val="00CE3E34"/>
    <w:rsid w:val="00CE3E74"/>
    <w:rsid w:val="00CE3ECF"/>
    <w:rsid w:val="00CE41FB"/>
    <w:rsid w:val="00CE42D7"/>
    <w:rsid w:val="00CE443D"/>
    <w:rsid w:val="00CE446E"/>
    <w:rsid w:val="00CE4498"/>
    <w:rsid w:val="00CE449C"/>
    <w:rsid w:val="00CE46F9"/>
    <w:rsid w:val="00CE4701"/>
    <w:rsid w:val="00CE476B"/>
    <w:rsid w:val="00CE4794"/>
    <w:rsid w:val="00CE47B5"/>
    <w:rsid w:val="00CE4810"/>
    <w:rsid w:val="00CE48C5"/>
    <w:rsid w:val="00CE48D8"/>
    <w:rsid w:val="00CE4A00"/>
    <w:rsid w:val="00CE4A18"/>
    <w:rsid w:val="00CE4C4D"/>
    <w:rsid w:val="00CE4CC4"/>
    <w:rsid w:val="00CE4D64"/>
    <w:rsid w:val="00CE4D79"/>
    <w:rsid w:val="00CE4D93"/>
    <w:rsid w:val="00CE4DCD"/>
    <w:rsid w:val="00CE4DE7"/>
    <w:rsid w:val="00CE4E09"/>
    <w:rsid w:val="00CE4E82"/>
    <w:rsid w:val="00CE5021"/>
    <w:rsid w:val="00CE515F"/>
    <w:rsid w:val="00CE516C"/>
    <w:rsid w:val="00CE517E"/>
    <w:rsid w:val="00CE51EE"/>
    <w:rsid w:val="00CE52B9"/>
    <w:rsid w:val="00CE5308"/>
    <w:rsid w:val="00CE5318"/>
    <w:rsid w:val="00CE536A"/>
    <w:rsid w:val="00CE53C4"/>
    <w:rsid w:val="00CE54C4"/>
    <w:rsid w:val="00CE5526"/>
    <w:rsid w:val="00CE55E9"/>
    <w:rsid w:val="00CE562A"/>
    <w:rsid w:val="00CE569D"/>
    <w:rsid w:val="00CE56AD"/>
    <w:rsid w:val="00CE56FC"/>
    <w:rsid w:val="00CE57E8"/>
    <w:rsid w:val="00CE5944"/>
    <w:rsid w:val="00CE5A2C"/>
    <w:rsid w:val="00CE5AB3"/>
    <w:rsid w:val="00CE5AD6"/>
    <w:rsid w:val="00CE5B6B"/>
    <w:rsid w:val="00CE5B73"/>
    <w:rsid w:val="00CE5BA8"/>
    <w:rsid w:val="00CE5C48"/>
    <w:rsid w:val="00CE5CDF"/>
    <w:rsid w:val="00CE5D10"/>
    <w:rsid w:val="00CE5F54"/>
    <w:rsid w:val="00CE5F6F"/>
    <w:rsid w:val="00CE6015"/>
    <w:rsid w:val="00CE6063"/>
    <w:rsid w:val="00CE6069"/>
    <w:rsid w:val="00CE6379"/>
    <w:rsid w:val="00CE6461"/>
    <w:rsid w:val="00CE65AE"/>
    <w:rsid w:val="00CE65F0"/>
    <w:rsid w:val="00CE6661"/>
    <w:rsid w:val="00CE666A"/>
    <w:rsid w:val="00CE667B"/>
    <w:rsid w:val="00CE6699"/>
    <w:rsid w:val="00CE66A8"/>
    <w:rsid w:val="00CE6985"/>
    <w:rsid w:val="00CE6997"/>
    <w:rsid w:val="00CE69BC"/>
    <w:rsid w:val="00CE6B3E"/>
    <w:rsid w:val="00CE6C5B"/>
    <w:rsid w:val="00CE6CA5"/>
    <w:rsid w:val="00CE6DB8"/>
    <w:rsid w:val="00CE6DC4"/>
    <w:rsid w:val="00CE6E57"/>
    <w:rsid w:val="00CE6FC1"/>
    <w:rsid w:val="00CE6FEA"/>
    <w:rsid w:val="00CE712F"/>
    <w:rsid w:val="00CE719D"/>
    <w:rsid w:val="00CE71B9"/>
    <w:rsid w:val="00CE71C2"/>
    <w:rsid w:val="00CE72CB"/>
    <w:rsid w:val="00CE72D1"/>
    <w:rsid w:val="00CE72D9"/>
    <w:rsid w:val="00CE7547"/>
    <w:rsid w:val="00CE7591"/>
    <w:rsid w:val="00CE75C7"/>
    <w:rsid w:val="00CE7725"/>
    <w:rsid w:val="00CE7753"/>
    <w:rsid w:val="00CE777B"/>
    <w:rsid w:val="00CE7916"/>
    <w:rsid w:val="00CE7917"/>
    <w:rsid w:val="00CE791A"/>
    <w:rsid w:val="00CE7A31"/>
    <w:rsid w:val="00CE7B69"/>
    <w:rsid w:val="00CE7BC4"/>
    <w:rsid w:val="00CE7D1C"/>
    <w:rsid w:val="00CE7D29"/>
    <w:rsid w:val="00CE7D53"/>
    <w:rsid w:val="00CE7F66"/>
    <w:rsid w:val="00CE7F77"/>
    <w:rsid w:val="00CF00AA"/>
    <w:rsid w:val="00CF00BA"/>
    <w:rsid w:val="00CF0187"/>
    <w:rsid w:val="00CF01BC"/>
    <w:rsid w:val="00CF0207"/>
    <w:rsid w:val="00CF0229"/>
    <w:rsid w:val="00CF02AD"/>
    <w:rsid w:val="00CF02CC"/>
    <w:rsid w:val="00CF02E4"/>
    <w:rsid w:val="00CF0306"/>
    <w:rsid w:val="00CF04A9"/>
    <w:rsid w:val="00CF0581"/>
    <w:rsid w:val="00CF05B6"/>
    <w:rsid w:val="00CF05E1"/>
    <w:rsid w:val="00CF0620"/>
    <w:rsid w:val="00CF0775"/>
    <w:rsid w:val="00CF0777"/>
    <w:rsid w:val="00CF07FD"/>
    <w:rsid w:val="00CF08A8"/>
    <w:rsid w:val="00CF094B"/>
    <w:rsid w:val="00CF096B"/>
    <w:rsid w:val="00CF0B05"/>
    <w:rsid w:val="00CF0B67"/>
    <w:rsid w:val="00CF0BCE"/>
    <w:rsid w:val="00CF0C97"/>
    <w:rsid w:val="00CF0D22"/>
    <w:rsid w:val="00CF0D37"/>
    <w:rsid w:val="00CF0D40"/>
    <w:rsid w:val="00CF0E33"/>
    <w:rsid w:val="00CF0E3B"/>
    <w:rsid w:val="00CF0EEB"/>
    <w:rsid w:val="00CF0F64"/>
    <w:rsid w:val="00CF0F6D"/>
    <w:rsid w:val="00CF0FD8"/>
    <w:rsid w:val="00CF10A1"/>
    <w:rsid w:val="00CF10F9"/>
    <w:rsid w:val="00CF1161"/>
    <w:rsid w:val="00CF11BE"/>
    <w:rsid w:val="00CF11CB"/>
    <w:rsid w:val="00CF1220"/>
    <w:rsid w:val="00CF1280"/>
    <w:rsid w:val="00CF12A0"/>
    <w:rsid w:val="00CF12E6"/>
    <w:rsid w:val="00CF131B"/>
    <w:rsid w:val="00CF13AD"/>
    <w:rsid w:val="00CF13FA"/>
    <w:rsid w:val="00CF14DF"/>
    <w:rsid w:val="00CF1504"/>
    <w:rsid w:val="00CF1714"/>
    <w:rsid w:val="00CF1748"/>
    <w:rsid w:val="00CF1966"/>
    <w:rsid w:val="00CF1A85"/>
    <w:rsid w:val="00CF1B0F"/>
    <w:rsid w:val="00CF1B96"/>
    <w:rsid w:val="00CF1BB8"/>
    <w:rsid w:val="00CF1CCB"/>
    <w:rsid w:val="00CF1CF6"/>
    <w:rsid w:val="00CF1D69"/>
    <w:rsid w:val="00CF1DD6"/>
    <w:rsid w:val="00CF1E00"/>
    <w:rsid w:val="00CF1E71"/>
    <w:rsid w:val="00CF1EFE"/>
    <w:rsid w:val="00CF2000"/>
    <w:rsid w:val="00CF201F"/>
    <w:rsid w:val="00CF2033"/>
    <w:rsid w:val="00CF2088"/>
    <w:rsid w:val="00CF209D"/>
    <w:rsid w:val="00CF209E"/>
    <w:rsid w:val="00CF20B7"/>
    <w:rsid w:val="00CF2135"/>
    <w:rsid w:val="00CF2376"/>
    <w:rsid w:val="00CF237E"/>
    <w:rsid w:val="00CF2395"/>
    <w:rsid w:val="00CF23BC"/>
    <w:rsid w:val="00CF249E"/>
    <w:rsid w:val="00CF2548"/>
    <w:rsid w:val="00CF25A8"/>
    <w:rsid w:val="00CF25B8"/>
    <w:rsid w:val="00CF268D"/>
    <w:rsid w:val="00CF2698"/>
    <w:rsid w:val="00CF2775"/>
    <w:rsid w:val="00CF27AE"/>
    <w:rsid w:val="00CF28CA"/>
    <w:rsid w:val="00CF2930"/>
    <w:rsid w:val="00CF2A29"/>
    <w:rsid w:val="00CF2B05"/>
    <w:rsid w:val="00CF2C19"/>
    <w:rsid w:val="00CF2C42"/>
    <w:rsid w:val="00CF2D30"/>
    <w:rsid w:val="00CF2D6B"/>
    <w:rsid w:val="00CF2E38"/>
    <w:rsid w:val="00CF2EC2"/>
    <w:rsid w:val="00CF3115"/>
    <w:rsid w:val="00CF31CA"/>
    <w:rsid w:val="00CF3202"/>
    <w:rsid w:val="00CF324C"/>
    <w:rsid w:val="00CF3296"/>
    <w:rsid w:val="00CF32B6"/>
    <w:rsid w:val="00CF32DB"/>
    <w:rsid w:val="00CF3346"/>
    <w:rsid w:val="00CF343E"/>
    <w:rsid w:val="00CF35E6"/>
    <w:rsid w:val="00CF3655"/>
    <w:rsid w:val="00CF367C"/>
    <w:rsid w:val="00CF3683"/>
    <w:rsid w:val="00CF36A8"/>
    <w:rsid w:val="00CF377C"/>
    <w:rsid w:val="00CF37A6"/>
    <w:rsid w:val="00CF3860"/>
    <w:rsid w:val="00CF3A39"/>
    <w:rsid w:val="00CF3C25"/>
    <w:rsid w:val="00CF3C38"/>
    <w:rsid w:val="00CF3C4F"/>
    <w:rsid w:val="00CF3C6A"/>
    <w:rsid w:val="00CF3DAB"/>
    <w:rsid w:val="00CF3F0D"/>
    <w:rsid w:val="00CF4021"/>
    <w:rsid w:val="00CF4078"/>
    <w:rsid w:val="00CF411A"/>
    <w:rsid w:val="00CF4148"/>
    <w:rsid w:val="00CF41B2"/>
    <w:rsid w:val="00CF4201"/>
    <w:rsid w:val="00CF4221"/>
    <w:rsid w:val="00CF4233"/>
    <w:rsid w:val="00CF4246"/>
    <w:rsid w:val="00CF428F"/>
    <w:rsid w:val="00CF42DF"/>
    <w:rsid w:val="00CF42EA"/>
    <w:rsid w:val="00CF4395"/>
    <w:rsid w:val="00CF444C"/>
    <w:rsid w:val="00CF45B5"/>
    <w:rsid w:val="00CF4622"/>
    <w:rsid w:val="00CF466C"/>
    <w:rsid w:val="00CF46CF"/>
    <w:rsid w:val="00CF470D"/>
    <w:rsid w:val="00CF48C4"/>
    <w:rsid w:val="00CF48C5"/>
    <w:rsid w:val="00CF4A14"/>
    <w:rsid w:val="00CF4A68"/>
    <w:rsid w:val="00CF4AA3"/>
    <w:rsid w:val="00CF4BD2"/>
    <w:rsid w:val="00CF4C88"/>
    <w:rsid w:val="00CF4D11"/>
    <w:rsid w:val="00CF4DE0"/>
    <w:rsid w:val="00CF4E7E"/>
    <w:rsid w:val="00CF4EAB"/>
    <w:rsid w:val="00CF4F6D"/>
    <w:rsid w:val="00CF5019"/>
    <w:rsid w:val="00CF529A"/>
    <w:rsid w:val="00CF5374"/>
    <w:rsid w:val="00CF5390"/>
    <w:rsid w:val="00CF553B"/>
    <w:rsid w:val="00CF556F"/>
    <w:rsid w:val="00CF5664"/>
    <w:rsid w:val="00CF56C3"/>
    <w:rsid w:val="00CF5775"/>
    <w:rsid w:val="00CF5931"/>
    <w:rsid w:val="00CF5A65"/>
    <w:rsid w:val="00CF5B2A"/>
    <w:rsid w:val="00CF5B3A"/>
    <w:rsid w:val="00CF5B8F"/>
    <w:rsid w:val="00CF5C10"/>
    <w:rsid w:val="00CF5D5A"/>
    <w:rsid w:val="00CF5E02"/>
    <w:rsid w:val="00CF5E19"/>
    <w:rsid w:val="00CF5F7D"/>
    <w:rsid w:val="00CF6062"/>
    <w:rsid w:val="00CF608F"/>
    <w:rsid w:val="00CF60E5"/>
    <w:rsid w:val="00CF60FE"/>
    <w:rsid w:val="00CF611D"/>
    <w:rsid w:val="00CF616C"/>
    <w:rsid w:val="00CF6268"/>
    <w:rsid w:val="00CF6388"/>
    <w:rsid w:val="00CF6470"/>
    <w:rsid w:val="00CF66E5"/>
    <w:rsid w:val="00CF67A8"/>
    <w:rsid w:val="00CF67FC"/>
    <w:rsid w:val="00CF699D"/>
    <w:rsid w:val="00CF6BFB"/>
    <w:rsid w:val="00CF6D2B"/>
    <w:rsid w:val="00CF6D82"/>
    <w:rsid w:val="00CF6E8F"/>
    <w:rsid w:val="00CF6EB0"/>
    <w:rsid w:val="00CF6F26"/>
    <w:rsid w:val="00CF6F91"/>
    <w:rsid w:val="00CF70A3"/>
    <w:rsid w:val="00CF70D3"/>
    <w:rsid w:val="00CF71B1"/>
    <w:rsid w:val="00CF72AC"/>
    <w:rsid w:val="00CF72B6"/>
    <w:rsid w:val="00CF72BD"/>
    <w:rsid w:val="00CF730A"/>
    <w:rsid w:val="00CF7346"/>
    <w:rsid w:val="00CF73F2"/>
    <w:rsid w:val="00CF740A"/>
    <w:rsid w:val="00CF745C"/>
    <w:rsid w:val="00CF7486"/>
    <w:rsid w:val="00CF75FB"/>
    <w:rsid w:val="00CF793D"/>
    <w:rsid w:val="00CF79B4"/>
    <w:rsid w:val="00CF7B93"/>
    <w:rsid w:val="00CF7BB2"/>
    <w:rsid w:val="00CF7D87"/>
    <w:rsid w:val="00CF7DC0"/>
    <w:rsid w:val="00CF7E82"/>
    <w:rsid w:val="00CF7E93"/>
    <w:rsid w:val="00CF7EA0"/>
    <w:rsid w:val="00CF7F2D"/>
    <w:rsid w:val="00CF7F32"/>
    <w:rsid w:val="00CF7F76"/>
    <w:rsid w:val="00D00091"/>
    <w:rsid w:val="00D000B9"/>
    <w:rsid w:val="00D00172"/>
    <w:rsid w:val="00D00199"/>
    <w:rsid w:val="00D001B2"/>
    <w:rsid w:val="00D001C1"/>
    <w:rsid w:val="00D00643"/>
    <w:rsid w:val="00D00736"/>
    <w:rsid w:val="00D0076C"/>
    <w:rsid w:val="00D007A1"/>
    <w:rsid w:val="00D0088A"/>
    <w:rsid w:val="00D008B2"/>
    <w:rsid w:val="00D008FC"/>
    <w:rsid w:val="00D00912"/>
    <w:rsid w:val="00D00A13"/>
    <w:rsid w:val="00D00A9B"/>
    <w:rsid w:val="00D00BFE"/>
    <w:rsid w:val="00D00C41"/>
    <w:rsid w:val="00D00C64"/>
    <w:rsid w:val="00D00C8E"/>
    <w:rsid w:val="00D00CBC"/>
    <w:rsid w:val="00D00D5F"/>
    <w:rsid w:val="00D00E8F"/>
    <w:rsid w:val="00D00EB9"/>
    <w:rsid w:val="00D00FA9"/>
    <w:rsid w:val="00D0111D"/>
    <w:rsid w:val="00D01156"/>
    <w:rsid w:val="00D01178"/>
    <w:rsid w:val="00D011FA"/>
    <w:rsid w:val="00D0123B"/>
    <w:rsid w:val="00D012DA"/>
    <w:rsid w:val="00D01470"/>
    <w:rsid w:val="00D015A2"/>
    <w:rsid w:val="00D01638"/>
    <w:rsid w:val="00D016AC"/>
    <w:rsid w:val="00D01704"/>
    <w:rsid w:val="00D017B2"/>
    <w:rsid w:val="00D0199F"/>
    <w:rsid w:val="00D019A4"/>
    <w:rsid w:val="00D01AFB"/>
    <w:rsid w:val="00D01B42"/>
    <w:rsid w:val="00D01C4C"/>
    <w:rsid w:val="00D01E3A"/>
    <w:rsid w:val="00D01EC2"/>
    <w:rsid w:val="00D01EF5"/>
    <w:rsid w:val="00D01F3A"/>
    <w:rsid w:val="00D01F42"/>
    <w:rsid w:val="00D01FBA"/>
    <w:rsid w:val="00D02028"/>
    <w:rsid w:val="00D020DD"/>
    <w:rsid w:val="00D02129"/>
    <w:rsid w:val="00D02223"/>
    <w:rsid w:val="00D02278"/>
    <w:rsid w:val="00D02289"/>
    <w:rsid w:val="00D0232C"/>
    <w:rsid w:val="00D02468"/>
    <w:rsid w:val="00D02491"/>
    <w:rsid w:val="00D024D4"/>
    <w:rsid w:val="00D02625"/>
    <w:rsid w:val="00D026CF"/>
    <w:rsid w:val="00D0271F"/>
    <w:rsid w:val="00D0277D"/>
    <w:rsid w:val="00D0278F"/>
    <w:rsid w:val="00D0293B"/>
    <w:rsid w:val="00D0299D"/>
    <w:rsid w:val="00D029B7"/>
    <w:rsid w:val="00D02B56"/>
    <w:rsid w:val="00D02B66"/>
    <w:rsid w:val="00D02BC9"/>
    <w:rsid w:val="00D02C58"/>
    <w:rsid w:val="00D02CAD"/>
    <w:rsid w:val="00D02CD6"/>
    <w:rsid w:val="00D02DAB"/>
    <w:rsid w:val="00D02DFB"/>
    <w:rsid w:val="00D02F5F"/>
    <w:rsid w:val="00D02FF5"/>
    <w:rsid w:val="00D030D7"/>
    <w:rsid w:val="00D030F9"/>
    <w:rsid w:val="00D03108"/>
    <w:rsid w:val="00D0313D"/>
    <w:rsid w:val="00D03161"/>
    <w:rsid w:val="00D035C1"/>
    <w:rsid w:val="00D036F5"/>
    <w:rsid w:val="00D03731"/>
    <w:rsid w:val="00D0373B"/>
    <w:rsid w:val="00D03784"/>
    <w:rsid w:val="00D037A1"/>
    <w:rsid w:val="00D03861"/>
    <w:rsid w:val="00D038CF"/>
    <w:rsid w:val="00D038F5"/>
    <w:rsid w:val="00D03953"/>
    <w:rsid w:val="00D03ABB"/>
    <w:rsid w:val="00D03AF5"/>
    <w:rsid w:val="00D03B93"/>
    <w:rsid w:val="00D03B94"/>
    <w:rsid w:val="00D03C14"/>
    <w:rsid w:val="00D03C24"/>
    <w:rsid w:val="00D03C9A"/>
    <w:rsid w:val="00D03CA9"/>
    <w:rsid w:val="00D03D61"/>
    <w:rsid w:val="00D03DC5"/>
    <w:rsid w:val="00D03DDB"/>
    <w:rsid w:val="00D03DFA"/>
    <w:rsid w:val="00D03F0F"/>
    <w:rsid w:val="00D03F92"/>
    <w:rsid w:val="00D03F94"/>
    <w:rsid w:val="00D03FEA"/>
    <w:rsid w:val="00D0408D"/>
    <w:rsid w:val="00D040CD"/>
    <w:rsid w:val="00D04142"/>
    <w:rsid w:val="00D0421C"/>
    <w:rsid w:val="00D0422F"/>
    <w:rsid w:val="00D042A5"/>
    <w:rsid w:val="00D042CA"/>
    <w:rsid w:val="00D042EC"/>
    <w:rsid w:val="00D045DF"/>
    <w:rsid w:val="00D0464F"/>
    <w:rsid w:val="00D04658"/>
    <w:rsid w:val="00D04698"/>
    <w:rsid w:val="00D0473F"/>
    <w:rsid w:val="00D047AB"/>
    <w:rsid w:val="00D047FF"/>
    <w:rsid w:val="00D04949"/>
    <w:rsid w:val="00D0495F"/>
    <w:rsid w:val="00D04965"/>
    <w:rsid w:val="00D04A32"/>
    <w:rsid w:val="00D04A42"/>
    <w:rsid w:val="00D04A80"/>
    <w:rsid w:val="00D04B03"/>
    <w:rsid w:val="00D04BB6"/>
    <w:rsid w:val="00D04C1D"/>
    <w:rsid w:val="00D04CA8"/>
    <w:rsid w:val="00D04CE4"/>
    <w:rsid w:val="00D04E4C"/>
    <w:rsid w:val="00D04EDE"/>
    <w:rsid w:val="00D04F14"/>
    <w:rsid w:val="00D05003"/>
    <w:rsid w:val="00D05053"/>
    <w:rsid w:val="00D050CD"/>
    <w:rsid w:val="00D05166"/>
    <w:rsid w:val="00D05288"/>
    <w:rsid w:val="00D052C1"/>
    <w:rsid w:val="00D052DF"/>
    <w:rsid w:val="00D052F7"/>
    <w:rsid w:val="00D05323"/>
    <w:rsid w:val="00D05342"/>
    <w:rsid w:val="00D053A6"/>
    <w:rsid w:val="00D053BA"/>
    <w:rsid w:val="00D05433"/>
    <w:rsid w:val="00D05448"/>
    <w:rsid w:val="00D05472"/>
    <w:rsid w:val="00D055B0"/>
    <w:rsid w:val="00D0560E"/>
    <w:rsid w:val="00D05622"/>
    <w:rsid w:val="00D05632"/>
    <w:rsid w:val="00D05662"/>
    <w:rsid w:val="00D0567E"/>
    <w:rsid w:val="00D05680"/>
    <w:rsid w:val="00D05713"/>
    <w:rsid w:val="00D0579E"/>
    <w:rsid w:val="00D0580B"/>
    <w:rsid w:val="00D05878"/>
    <w:rsid w:val="00D058C7"/>
    <w:rsid w:val="00D059CB"/>
    <w:rsid w:val="00D05A22"/>
    <w:rsid w:val="00D05A5E"/>
    <w:rsid w:val="00D05AA7"/>
    <w:rsid w:val="00D05AF3"/>
    <w:rsid w:val="00D05AFD"/>
    <w:rsid w:val="00D05B0B"/>
    <w:rsid w:val="00D05C10"/>
    <w:rsid w:val="00D05D02"/>
    <w:rsid w:val="00D05D39"/>
    <w:rsid w:val="00D05E48"/>
    <w:rsid w:val="00D05EEA"/>
    <w:rsid w:val="00D05F2D"/>
    <w:rsid w:val="00D05FC1"/>
    <w:rsid w:val="00D0601A"/>
    <w:rsid w:val="00D0603E"/>
    <w:rsid w:val="00D0615B"/>
    <w:rsid w:val="00D061D6"/>
    <w:rsid w:val="00D061F1"/>
    <w:rsid w:val="00D06239"/>
    <w:rsid w:val="00D06293"/>
    <w:rsid w:val="00D062B3"/>
    <w:rsid w:val="00D0631E"/>
    <w:rsid w:val="00D063D4"/>
    <w:rsid w:val="00D063DC"/>
    <w:rsid w:val="00D0641A"/>
    <w:rsid w:val="00D064D3"/>
    <w:rsid w:val="00D06603"/>
    <w:rsid w:val="00D06681"/>
    <w:rsid w:val="00D06718"/>
    <w:rsid w:val="00D067D9"/>
    <w:rsid w:val="00D06892"/>
    <w:rsid w:val="00D068EC"/>
    <w:rsid w:val="00D06A32"/>
    <w:rsid w:val="00D06A98"/>
    <w:rsid w:val="00D06A99"/>
    <w:rsid w:val="00D06B5B"/>
    <w:rsid w:val="00D06C18"/>
    <w:rsid w:val="00D06CF3"/>
    <w:rsid w:val="00D06DEF"/>
    <w:rsid w:val="00D06DF1"/>
    <w:rsid w:val="00D06DFC"/>
    <w:rsid w:val="00D06E18"/>
    <w:rsid w:val="00D06EA8"/>
    <w:rsid w:val="00D06EF3"/>
    <w:rsid w:val="00D06F46"/>
    <w:rsid w:val="00D07012"/>
    <w:rsid w:val="00D0702A"/>
    <w:rsid w:val="00D0705E"/>
    <w:rsid w:val="00D070CB"/>
    <w:rsid w:val="00D0711F"/>
    <w:rsid w:val="00D0714E"/>
    <w:rsid w:val="00D07219"/>
    <w:rsid w:val="00D072A2"/>
    <w:rsid w:val="00D0732A"/>
    <w:rsid w:val="00D0734C"/>
    <w:rsid w:val="00D0735D"/>
    <w:rsid w:val="00D073D2"/>
    <w:rsid w:val="00D073E6"/>
    <w:rsid w:val="00D075BF"/>
    <w:rsid w:val="00D07612"/>
    <w:rsid w:val="00D07666"/>
    <w:rsid w:val="00D0766E"/>
    <w:rsid w:val="00D076A8"/>
    <w:rsid w:val="00D07777"/>
    <w:rsid w:val="00D078FD"/>
    <w:rsid w:val="00D07A87"/>
    <w:rsid w:val="00D07AE0"/>
    <w:rsid w:val="00D07BE7"/>
    <w:rsid w:val="00D07BF0"/>
    <w:rsid w:val="00D07C88"/>
    <w:rsid w:val="00D07D3F"/>
    <w:rsid w:val="00D07D42"/>
    <w:rsid w:val="00D07E12"/>
    <w:rsid w:val="00D07FD3"/>
    <w:rsid w:val="00D10070"/>
    <w:rsid w:val="00D1008E"/>
    <w:rsid w:val="00D10114"/>
    <w:rsid w:val="00D101AA"/>
    <w:rsid w:val="00D101BC"/>
    <w:rsid w:val="00D101F7"/>
    <w:rsid w:val="00D1028C"/>
    <w:rsid w:val="00D10338"/>
    <w:rsid w:val="00D10372"/>
    <w:rsid w:val="00D103CD"/>
    <w:rsid w:val="00D10660"/>
    <w:rsid w:val="00D1066F"/>
    <w:rsid w:val="00D106F5"/>
    <w:rsid w:val="00D106FC"/>
    <w:rsid w:val="00D107EE"/>
    <w:rsid w:val="00D10843"/>
    <w:rsid w:val="00D109C9"/>
    <w:rsid w:val="00D10B30"/>
    <w:rsid w:val="00D10B3D"/>
    <w:rsid w:val="00D10CCF"/>
    <w:rsid w:val="00D10D47"/>
    <w:rsid w:val="00D10D6C"/>
    <w:rsid w:val="00D10D90"/>
    <w:rsid w:val="00D10E59"/>
    <w:rsid w:val="00D10F35"/>
    <w:rsid w:val="00D10FB7"/>
    <w:rsid w:val="00D10FD9"/>
    <w:rsid w:val="00D1108D"/>
    <w:rsid w:val="00D110A6"/>
    <w:rsid w:val="00D11118"/>
    <w:rsid w:val="00D111FA"/>
    <w:rsid w:val="00D1127A"/>
    <w:rsid w:val="00D11285"/>
    <w:rsid w:val="00D11302"/>
    <w:rsid w:val="00D11390"/>
    <w:rsid w:val="00D11452"/>
    <w:rsid w:val="00D11488"/>
    <w:rsid w:val="00D1155A"/>
    <w:rsid w:val="00D1161C"/>
    <w:rsid w:val="00D116C8"/>
    <w:rsid w:val="00D116DE"/>
    <w:rsid w:val="00D1172D"/>
    <w:rsid w:val="00D118CC"/>
    <w:rsid w:val="00D11938"/>
    <w:rsid w:val="00D119A8"/>
    <w:rsid w:val="00D11A38"/>
    <w:rsid w:val="00D11A64"/>
    <w:rsid w:val="00D11B41"/>
    <w:rsid w:val="00D11B42"/>
    <w:rsid w:val="00D11BBB"/>
    <w:rsid w:val="00D11BFE"/>
    <w:rsid w:val="00D11D81"/>
    <w:rsid w:val="00D11E55"/>
    <w:rsid w:val="00D11EB1"/>
    <w:rsid w:val="00D11EFA"/>
    <w:rsid w:val="00D11F57"/>
    <w:rsid w:val="00D12034"/>
    <w:rsid w:val="00D12039"/>
    <w:rsid w:val="00D1205F"/>
    <w:rsid w:val="00D12147"/>
    <w:rsid w:val="00D1217A"/>
    <w:rsid w:val="00D12222"/>
    <w:rsid w:val="00D12295"/>
    <w:rsid w:val="00D122D8"/>
    <w:rsid w:val="00D122F5"/>
    <w:rsid w:val="00D1239D"/>
    <w:rsid w:val="00D124CE"/>
    <w:rsid w:val="00D124D2"/>
    <w:rsid w:val="00D12582"/>
    <w:rsid w:val="00D125E0"/>
    <w:rsid w:val="00D1265C"/>
    <w:rsid w:val="00D12716"/>
    <w:rsid w:val="00D12774"/>
    <w:rsid w:val="00D12844"/>
    <w:rsid w:val="00D1287D"/>
    <w:rsid w:val="00D12882"/>
    <w:rsid w:val="00D128EB"/>
    <w:rsid w:val="00D12916"/>
    <w:rsid w:val="00D12968"/>
    <w:rsid w:val="00D129DD"/>
    <w:rsid w:val="00D12A3F"/>
    <w:rsid w:val="00D12AFD"/>
    <w:rsid w:val="00D12B3F"/>
    <w:rsid w:val="00D12B6B"/>
    <w:rsid w:val="00D12BA9"/>
    <w:rsid w:val="00D12E48"/>
    <w:rsid w:val="00D12E74"/>
    <w:rsid w:val="00D12E8F"/>
    <w:rsid w:val="00D12F85"/>
    <w:rsid w:val="00D12FA7"/>
    <w:rsid w:val="00D13039"/>
    <w:rsid w:val="00D130C3"/>
    <w:rsid w:val="00D13133"/>
    <w:rsid w:val="00D13164"/>
    <w:rsid w:val="00D131BB"/>
    <w:rsid w:val="00D13245"/>
    <w:rsid w:val="00D132DD"/>
    <w:rsid w:val="00D132E0"/>
    <w:rsid w:val="00D13401"/>
    <w:rsid w:val="00D1341D"/>
    <w:rsid w:val="00D13440"/>
    <w:rsid w:val="00D13483"/>
    <w:rsid w:val="00D1353F"/>
    <w:rsid w:val="00D13779"/>
    <w:rsid w:val="00D13856"/>
    <w:rsid w:val="00D138D8"/>
    <w:rsid w:val="00D138E5"/>
    <w:rsid w:val="00D13C34"/>
    <w:rsid w:val="00D13C51"/>
    <w:rsid w:val="00D13CAE"/>
    <w:rsid w:val="00D13D57"/>
    <w:rsid w:val="00D13DE0"/>
    <w:rsid w:val="00D13DE9"/>
    <w:rsid w:val="00D13E26"/>
    <w:rsid w:val="00D13E67"/>
    <w:rsid w:val="00D13F25"/>
    <w:rsid w:val="00D13F85"/>
    <w:rsid w:val="00D13FF4"/>
    <w:rsid w:val="00D14097"/>
    <w:rsid w:val="00D1424C"/>
    <w:rsid w:val="00D14271"/>
    <w:rsid w:val="00D142C9"/>
    <w:rsid w:val="00D1431E"/>
    <w:rsid w:val="00D1445F"/>
    <w:rsid w:val="00D144A6"/>
    <w:rsid w:val="00D1451F"/>
    <w:rsid w:val="00D145F5"/>
    <w:rsid w:val="00D145FA"/>
    <w:rsid w:val="00D147E5"/>
    <w:rsid w:val="00D14859"/>
    <w:rsid w:val="00D14924"/>
    <w:rsid w:val="00D1497B"/>
    <w:rsid w:val="00D149A1"/>
    <w:rsid w:val="00D14A6D"/>
    <w:rsid w:val="00D14B5B"/>
    <w:rsid w:val="00D14B5C"/>
    <w:rsid w:val="00D14C70"/>
    <w:rsid w:val="00D14C79"/>
    <w:rsid w:val="00D14D0F"/>
    <w:rsid w:val="00D14D33"/>
    <w:rsid w:val="00D14DC3"/>
    <w:rsid w:val="00D14DED"/>
    <w:rsid w:val="00D14E26"/>
    <w:rsid w:val="00D14EE9"/>
    <w:rsid w:val="00D14F01"/>
    <w:rsid w:val="00D14FCB"/>
    <w:rsid w:val="00D15093"/>
    <w:rsid w:val="00D152A4"/>
    <w:rsid w:val="00D153CB"/>
    <w:rsid w:val="00D154C0"/>
    <w:rsid w:val="00D154D0"/>
    <w:rsid w:val="00D154E0"/>
    <w:rsid w:val="00D15545"/>
    <w:rsid w:val="00D1554B"/>
    <w:rsid w:val="00D155A1"/>
    <w:rsid w:val="00D15638"/>
    <w:rsid w:val="00D156CC"/>
    <w:rsid w:val="00D156D4"/>
    <w:rsid w:val="00D1570E"/>
    <w:rsid w:val="00D1583B"/>
    <w:rsid w:val="00D1589C"/>
    <w:rsid w:val="00D1595A"/>
    <w:rsid w:val="00D15984"/>
    <w:rsid w:val="00D15A2B"/>
    <w:rsid w:val="00D15A7A"/>
    <w:rsid w:val="00D15AA3"/>
    <w:rsid w:val="00D15B11"/>
    <w:rsid w:val="00D15B88"/>
    <w:rsid w:val="00D15C60"/>
    <w:rsid w:val="00D15D2F"/>
    <w:rsid w:val="00D15D3B"/>
    <w:rsid w:val="00D15D88"/>
    <w:rsid w:val="00D15DE7"/>
    <w:rsid w:val="00D15E2B"/>
    <w:rsid w:val="00D16000"/>
    <w:rsid w:val="00D16005"/>
    <w:rsid w:val="00D1603B"/>
    <w:rsid w:val="00D1607B"/>
    <w:rsid w:val="00D1614E"/>
    <w:rsid w:val="00D16191"/>
    <w:rsid w:val="00D162B1"/>
    <w:rsid w:val="00D162FF"/>
    <w:rsid w:val="00D16300"/>
    <w:rsid w:val="00D16309"/>
    <w:rsid w:val="00D16334"/>
    <w:rsid w:val="00D16339"/>
    <w:rsid w:val="00D1652A"/>
    <w:rsid w:val="00D16741"/>
    <w:rsid w:val="00D16840"/>
    <w:rsid w:val="00D1685F"/>
    <w:rsid w:val="00D16869"/>
    <w:rsid w:val="00D168B5"/>
    <w:rsid w:val="00D168EC"/>
    <w:rsid w:val="00D168F6"/>
    <w:rsid w:val="00D169D3"/>
    <w:rsid w:val="00D16A37"/>
    <w:rsid w:val="00D16A57"/>
    <w:rsid w:val="00D16CA8"/>
    <w:rsid w:val="00D16CF1"/>
    <w:rsid w:val="00D16D6B"/>
    <w:rsid w:val="00D16F71"/>
    <w:rsid w:val="00D16FA8"/>
    <w:rsid w:val="00D16FAF"/>
    <w:rsid w:val="00D17010"/>
    <w:rsid w:val="00D17074"/>
    <w:rsid w:val="00D170BA"/>
    <w:rsid w:val="00D17128"/>
    <w:rsid w:val="00D1716C"/>
    <w:rsid w:val="00D171CB"/>
    <w:rsid w:val="00D1720F"/>
    <w:rsid w:val="00D17231"/>
    <w:rsid w:val="00D17291"/>
    <w:rsid w:val="00D172C5"/>
    <w:rsid w:val="00D17358"/>
    <w:rsid w:val="00D17369"/>
    <w:rsid w:val="00D173EC"/>
    <w:rsid w:val="00D17457"/>
    <w:rsid w:val="00D1746E"/>
    <w:rsid w:val="00D17630"/>
    <w:rsid w:val="00D17636"/>
    <w:rsid w:val="00D1768A"/>
    <w:rsid w:val="00D17881"/>
    <w:rsid w:val="00D178E6"/>
    <w:rsid w:val="00D17ABA"/>
    <w:rsid w:val="00D17B2A"/>
    <w:rsid w:val="00D17C14"/>
    <w:rsid w:val="00D17D96"/>
    <w:rsid w:val="00D17E7E"/>
    <w:rsid w:val="00D17F22"/>
    <w:rsid w:val="00D17FB0"/>
    <w:rsid w:val="00D20100"/>
    <w:rsid w:val="00D20127"/>
    <w:rsid w:val="00D201F9"/>
    <w:rsid w:val="00D202AA"/>
    <w:rsid w:val="00D20331"/>
    <w:rsid w:val="00D20353"/>
    <w:rsid w:val="00D20366"/>
    <w:rsid w:val="00D203BF"/>
    <w:rsid w:val="00D203D6"/>
    <w:rsid w:val="00D2049A"/>
    <w:rsid w:val="00D20567"/>
    <w:rsid w:val="00D207AA"/>
    <w:rsid w:val="00D207F9"/>
    <w:rsid w:val="00D2089F"/>
    <w:rsid w:val="00D209D7"/>
    <w:rsid w:val="00D20A4B"/>
    <w:rsid w:val="00D20AEC"/>
    <w:rsid w:val="00D20B1F"/>
    <w:rsid w:val="00D20BDF"/>
    <w:rsid w:val="00D20BFF"/>
    <w:rsid w:val="00D20CA0"/>
    <w:rsid w:val="00D20CEC"/>
    <w:rsid w:val="00D20D41"/>
    <w:rsid w:val="00D20D7E"/>
    <w:rsid w:val="00D20DC6"/>
    <w:rsid w:val="00D20F20"/>
    <w:rsid w:val="00D20F3A"/>
    <w:rsid w:val="00D20F60"/>
    <w:rsid w:val="00D21058"/>
    <w:rsid w:val="00D2111D"/>
    <w:rsid w:val="00D21171"/>
    <w:rsid w:val="00D212AD"/>
    <w:rsid w:val="00D21332"/>
    <w:rsid w:val="00D21401"/>
    <w:rsid w:val="00D21443"/>
    <w:rsid w:val="00D21461"/>
    <w:rsid w:val="00D2150D"/>
    <w:rsid w:val="00D215B3"/>
    <w:rsid w:val="00D21601"/>
    <w:rsid w:val="00D2162E"/>
    <w:rsid w:val="00D21738"/>
    <w:rsid w:val="00D21792"/>
    <w:rsid w:val="00D217DB"/>
    <w:rsid w:val="00D21837"/>
    <w:rsid w:val="00D21838"/>
    <w:rsid w:val="00D21891"/>
    <w:rsid w:val="00D218D0"/>
    <w:rsid w:val="00D218DE"/>
    <w:rsid w:val="00D21958"/>
    <w:rsid w:val="00D219F7"/>
    <w:rsid w:val="00D21ADD"/>
    <w:rsid w:val="00D21AE4"/>
    <w:rsid w:val="00D21B28"/>
    <w:rsid w:val="00D21B95"/>
    <w:rsid w:val="00D21C05"/>
    <w:rsid w:val="00D21C4F"/>
    <w:rsid w:val="00D21C71"/>
    <w:rsid w:val="00D21CBA"/>
    <w:rsid w:val="00D21D13"/>
    <w:rsid w:val="00D21DBD"/>
    <w:rsid w:val="00D21EDF"/>
    <w:rsid w:val="00D21F98"/>
    <w:rsid w:val="00D21FB8"/>
    <w:rsid w:val="00D21FD5"/>
    <w:rsid w:val="00D22014"/>
    <w:rsid w:val="00D2201A"/>
    <w:rsid w:val="00D22129"/>
    <w:rsid w:val="00D222D9"/>
    <w:rsid w:val="00D22550"/>
    <w:rsid w:val="00D22594"/>
    <w:rsid w:val="00D22661"/>
    <w:rsid w:val="00D22672"/>
    <w:rsid w:val="00D226D6"/>
    <w:rsid w:val="00D2284C"/>
    <w:rsid w:val="00D22907"/>
    <w:rsid w:val="00D22951"/>
    <w:rsid w:val="00D22ABA"/>
    <w:rsid w:val="00D22CEC"/>
    <w:rsid w:val="00D22D21"/>
    <w:rsid w:val="00D22D3E"/>
    <w:rsid w:val="00D22D59"/>
    <w:rsid w:val="00D22E63"/>
    <w:rsid w:val="00D22EA2"/>
    <w:rsid w:val="00D23030"/>
    <w:rsid w:val="00D230EC"/>
    <w:rsid w:val="00D23187"/>
    <w:rsid w:val="00D2329F"/>
    <w:rsid w:val="00D232FA"/>
    <w:rsid w:val="00D23325"/>
    <w:rsid w:val="00D2338B"/>
    <w:rsid w:val="00D23482"/>
    <w:rsid w:val="00D234E3"/>
    <w:rsid w:val="00D234FF"/>
    <w:rsid w:val="00D23531"/>
    <w:rsid w:val="00D23599"/>
    <w:rsid w:val="00D2361F"/>
    <w:rsid w:val="00D236AC"/>
    <w:rsid w:val="00D2376D"/>
    <w:rsid w:val="00D23940"/>
    <w:rsid w:val="00D23943"/>
    <w:rsid w:val="00D239BF"/>
    <w:rsid w:val="00D239D7"/>
    <w:rsid w:val="00D23A68"/>
    <w:rsid w:val="00D23BA4"/>
    <w:rsid w:val="00D23C12"/>
    <w:rsid w:val="00D23CE0"/>
    <w:rsid w:val="00D23D53"/>
    <w:rsid w:val="00D23DF6"/>
    <w:rsid w:val="00D23EC9"/>
    <w:rsid w:val="00D23F3A"/>
    <w:rsid w:val="00D23FA1"/>
    <w:rsid w:val="00D23FB7"/>
    <w:rsid w:val="00D24024"/>
    <w:rsid w:val="00D2409B"/>
    <w:rsid w:val="00D2413B"/>
    <w:rsid w:val="00D2419D"/>
    <w:rsid w:val="00D241A5"/>
    <w:rsid w:val="00D24223"/>
    <w:rsid w:val="00D24233"/>
    <w:rsid w:val="00D2425A"/>
    <w:rsid w:val="00D2426D"/>
    <w:rsid w:val="00D242EC"/>
    <w:rsid w:val="00D243B3"/>
    <w:rsid w:val="00D24547"/>
    <w:rsid w:val="00D24577"/>
    <w:rsid w:val="00D24640"/>
    <w:rsid w:val="00D246DE"/>
    <w:rsid w:val="00D246ED"/>
    <w:rsid w:val="00D247D2"/>
    <w:rsid w:val="00D247FE"/>
    <w:rsid w:val="00D2482D"/>
    <w:rsid w:val="00D24832"/>
    <w:rsid w:val="00D2487C"/>
    <w:rsid w:val="00D2499D"/>
    <w:rsid w:val="00D249C5"/>
    <w:rsid w:val="00D24B78"/>
    <w:rsid w:val="00D24DF6"/>
    <w:rsid w:val="00D24E43"/>
    <w:rsid w:val="00D24E73"/>
    <w:rsid w:val="00D25063"/>
    <w:rsid w:val="00D2508A"/>
    <w:rsid w:val="00D25098"/>
    <w:rsid w:val="00D250D2"/>
    <w:rsid w:val="00D25194"/>
    <w:rsid w:val="00D25282"/>
    <w:rsid w:val="00D25332"/>
    <w:rsid w:val="00D2542F"/>
    <w:rsid w:val="00D25584"/>
    <w:rsid w:val="00D255A3"/>
    <w:rsid w:val="00D255B1"/>
    <w:rsid w:val="00D255FB"/>
    <w:rsid w:val="00D256B1"/>
    <w:rsid w:val="00D2574F"/>
    <w:rsid w:val="00D2594A"/>
    <w:rsid w:val="00D25AF0"/>
    <w:rsid w:val="00D25B1C"/>
    <w:rsid w:val="00D25B5F"/>
    <w:rsid w:val="00D25BC4"/>
    <w:rsid w:val="00D25D7E"/>
    <w:rsid w:val="00D25EB9"/>
    <w:rsid w:val="00D260F8"/>
    <w:rsid w:val="00D2612B"/>
    <w:rsid w:val="00D2622D"/>
    <w:rsid w:val="00D262FE"/>
    <w:rsid w:val="00D26328"/>
    <w:rsid w:val="00D26548"/>
    <w:rsid w:val="00D2655B"/>
    <w:rsid w:val="00D26701"/>
    <w:rsid w:val="00D26706"/>
    <w:rsid w:val="00D267BD"/>
    <w:rsid w:val="00D2695F"/>
    <w:rsid w:val="00D26A97"/>
    <w:rsid w:val="00D26AAF"/>
    <w:rsid w:val="00D26B65"/>
    <w:rsid w:val="00D26C58"/>
    <w:rsid w:val="00D26C75"/>
    <w:rsid w:val="00D26C8E"/>
    <w:rsid w:val="00D26C93"/>
    <w:rsid w:val="00D26CCE"/>
    <w:rsid w:val="00D26D40"/>
    <w:rsid w:val="00D26D75"/>
    <w:rsid w:val="00D26FDC"/>
    <w:rsid w:val="00D26FF4"/>
    <w:rsid w:val="00D27020"/>
    <w:rsid w:val="00D27021"/>
    <w:rsid w:val="00D270BC"/>
    <w:rsid w:val="00D270EB"/>
    <w:rsid w:val="00D27189"/>
    <w:rsid w:val="00D27249"/>
    <w:rsid w:val="00D27269"/>
    <w:rsid w:val="00D272C2"/>
    <w:rsid w:val="00D272F1"/>
    <w:rsid w:val="00D273CA"/>
    <w:rsid w:val="00D2750E"/>
    <w:rsid w:val="00D27582"/>
    <w:rsid w:val="00D275CF"/>
    <w:rsid w:val="00D27606"/>
    <w:rsid w:val="00D279E4"/>
    <w:rsid w:val="00D27A26"/>
    <w:rsid w:val="00D27A51"/>
    <w:rsid w:val="00D27BD2"/>
    <w:rsid w:val="00D27C76"/>
    <w:rsid w:val="00D27DB8"/>
    <w:rsid w:val="00D27FA7"/>
    <w:rsid w:val="00D300B8"/>
    <w:rsid w:val="00D301C7"/>
    <w:rsid w:val="00D30205"/>
    <w:rsid w:val="00D30267"/>
    <w:rsid w:val="00D3028B"/>
    <w:rsid w:val="00D30294"/>
    <w:rsid w:val="00D302A5"/>
    <w:rsid w:val="00D30423"/>
    <w:rsid w:val="00D30430"/>
    <w:rsid w:val="00D304B1"/>
    <w:rsid w:val="00D3050F"/>
    <w:rsid w:val="00D306AD"/>
    <w:rsid w:val="00D306B6"/>
    <w:rsid w:val="00D306D4"/>
    <w:rsid w:val="00D3081B"/>
    <w:rsid w:val="00D30831"/>
    <w:rsid w:val="00D30862"/>
    <w:rsid w:val="00D308A5"/>
    <w:rsid w:val="00D308FC"/>
    <w:rsid w:val="00D30966"/>
    <w:rsid w:val="00D309CD"/>
    <w:rsid w:val="00D30A99"/>
    <w:rsid w:val="00D30ABD"/>
    <w:rsid w:val="00D30AF6"/>
    <w:rsid w:val="00D30B3C"/>
    <w:rsid w:val="00D30B95"/>
    <w:rsid w:val="00D30CD2"/>
    <w:rsid w:val="00D30E1A"/>
    <w:rsid w:val="00D30EEC"/>
    <w:rsid w:val="00D30F67"/>
    <w:rsid w:val="00D31048"/>
    <w:rsid w:val="00D310A5"/>
    <w:rsid w:val="00D310E9"/>
    <w:rsid w:val="00D3126E"/>
    <w:rsid w:val="00D31398"/>
    <w:rsid w:val="00D3142C"/>
    <w:rsid w:val="00D31441"/>
    <w:rsid w:val="00D31447"/>
    <w:rsid w:val="00D31464"/>
    <w:rsid w:val="00D31562"/>
    <w:rsid w:val="00D31687"/>
    <w:rsid w:val="00D316B0"/>
    <w:rsid w:val="00D317B5"/>
    <w:rsid w:val="00D317DA"/>
    <w:rsid w:val="00D318F1"/>
    <w:rsid w:val="00D31B23"/>
    <w:rsid w:val="00D31B71"/>
    <w:rsid w:val="00D31B78"/>
    <w:rsid w:val="00D31BB1"/>
    <w:rsid w:val="00D31C21"/>
    <w:rsid w:val="00D31CAE"/>
    <w:rsid w:val="00D31D2A"/>
    <w:rsid w:val="00D31D40"/>
    <w:rsid w:val="00D31E20"/>
    <w:rsid w:val="00D31E44"/>
    <w:rsid w:val="00D31E5A"/>
    <w:rsid w:val="00D31E71"/>
    <w:rsid w:val="00D31F26"/>
    <w:rsid w:val="00D31FFE"/>
    <w:rsid w:val="00D321DB"/>
    <w:rsid w:val="00D32237"/>
    <w:rsid w:val="00D322FE"/>
    <w:rsid w:val="00D32348"/>
    <w:rsid w:val="00D32394"/>
    <w:rsid w:val="00D32470"/>
    <w:rsid w:val="00D324F2"/>
    <w:rsid w:val="00D32506"/>
    <w:rsid w:val="00D32525"/>
    <w:rsid w:val="00D3252C"/>
    <w:rsid w:val="00D32540"/>
    <w:rsid w:val="00D3259F"/>
    <w:rsid w:val="00D325CA"/>
    <w:rsid w:val="00D3269C"/>
    <w:rsid w:val="00D32775"/>
    <w:rsid w:val="00D327C3"/>
    <w:rsid w:val="00D327C7"/>
    <w:rsid w:val="00D32907"/>
    <w:rsid w:val="00D32963"/>
    <w:rsid w:val="00D329B1"/>
    <w:rsid w:val="00D329C1"/>
    <w:rsid w:val="00D329F3"/>
    <w:rsid w:val="00D32A0D"/>
    <w:rsid w:val="00D32A1D"/>
    <w:rsid w:val="00D32A29"/>
    <w:rsid w:val="00D32A63"/>
    <w:rsid w:val="00D32AFE"/>
    <w:rsid w:val="00D32B24"/>
    <w:rsid w:val="00D32B59"/>
    <w:rsid w:val="00D32CC5"/>
    <w:rsid w:val="00D32D04"/>
    <w:rsid w:val="00D32D1A"/>
    <w:rsid w:val="00D32D88"/>
    <w:rsid w:val="00D32DC4"/>
    <w:rsid w:val="00D32E2B"/>
    <w:rsid w:val="00D32F1B"/>
    <w:rsid w:val="00D32F37"/>
    <w:rsid w:val="00D32F91"/>
    <w:rsid w:val="00D32FBA"/>
    <w:rsid w:val="00D33018"/>
    <w:rsid w:val="00D33026"/>
    <w:rsid w:val="00D33036"/>
    <w:rsid w:val="00D331C2"/>
    <w:rsid w:val="00D33286"/>
    <w:rsid w:val="00D33666"/>
    <w:rsid w:val="00D336F3"/>
    <w:rsid w:val="00D33836"/>
    <w:rsid w:val="00D33883"/>
    <w:rsid w:val="00D338D7"/>
    <w:rsid w:val="00D33984"/>
    <w:rsid w:val="00D339A7"/>
    <w:rsid w:val="00D339C9"/>
    <w:rsid w:val="00D33A5A"/>
    <w:rsid w:val="00D33AD7"/>
    <w:rsid w:val="00D33B05"/>
    <w:rsid w:val="00D33BB2"/>
    <w:rsid w:val="00D33C0B"/>
    <w:rsid w:val="00D33C0C"/>
    <w:rsid w:val="00D33C71"/>
    <w:rsid w:val="00D33DB0"/>
    <w:rsid w:val="00D33DCD"/>
    <w:rsid w:val="00D33EEE"/>
    <w:rsid w:val="00D33F10"/>
    <w:rsid w:val="00D33FDA"/>
    <w:rsid w:val="00D3403C"/>
    <w:rsid w:val="00D34146"/>
    <w:rsid w:val="00D3415B"/>
    <w:rsid w:val="00D3416C"/>
    <w:rsid w:val="00D34260"/>
    <w:rsid w:val="00D342B1"/>
    <w:rsid w:val="00D342DD"/>
    <w:rsid w:val="00D3432D"/>
    <w:rsid w:val="00D343CE"/>
    <w:rsid w:val="00D34411"/>
    <w:rsid w:val="00D34495"/>
    <w:rsid w:val="00D344AD"/>
    <w:rsid w:val="00D344BB"/>
    <w:rsid w:val="00D34552"/>
    <w:rsid w:val="00D3455B"/>
    <w:rsid w:val="00D3459D"/>
    <w:rsid w:val="00D34603"/>
    <w:rsid w:val="00D3475E"/>
    <w:rsid w:val="00D347D1"/>
    <w:rsid w:val="00D34862"/>
    <w:rsid w:val="00D34911"/>
    <w:rsid w:val="00D3493E"/>
    <w:rsid w:val="00D3494E"/>
    <w:rsid w:val="00D34A52"/>
    <w:rsid w:val="00D34B6F"/>
    <w:rsid w:val="00D34BCE"/>
    <w:rsid w:val="00D34BD8"/>
    <w:rsid w:val="00D34C62"/>
    <w:rsid w:val="00D34D40"/>
    <w:rsid w:val="00D34DFA"/>
    <w:rsid w:val="00D34E5F"/>
    <w:rsid w:val="00D34E87"/>
    <w:rsid w:val="00D34E91"/>
    <w:rsid w:val="00D34F6B"/>
    <w:rsid w:val="00D34FD4"/>
    <w:rsid w:val="00D351FB"/>
    <w:rsid w:val="00D35207"/>
    <w:rsid w:val="00D35234"/>
    <w:rsid w:val="00D3526B"/>
    <w:rsid w:val="00D353A8"/>
    <w:rsid w:val="00D353B5"/>
    <w:rsid w:val="00D353C6"/>
    <w:rsid w:val="00D353E2"/>
    <w:rsid w:val="00D3550E"/>
    <w:rsid w:val="00D3553A"/>
    <w:rsid w:val="00D35570"/>
    <w:rsid w:val="00D35588"/>
    <w:rsid w:val="00D355F0"/>
    <w:rsid w:val="00D356A1"/>
    <w:rsid w:val="00D356AD"/>
    <w:rsid w:val="00D3572F"/>
    <w:rsid w:val="00D357A5"/>
    <w:rsid w:val="00D358EF"/>
    <w:rsid w:val="00D3591B"/>
    <w:rsid w:val="00D35A02"/>
    <w:rsid w:val="00D35A18"/>
    <w:rsid w:val="00D35AB2"/>
    <w:rsid w:val="00D35C18"/>
    <w:rsid w:val="00D35C64"/>
    <w:rsid w:val="00D35D0F"/>
    <w:rsid w:val="00D35E80"/>
    <w:rsid w:val="00D35F95"/>
    <w:rsid w:val="00D35FC7"/>
    <w:rsid w:val="00D35FED"/>
    <w:rsid w:val="00D36065"/>
    <w:rsid w:val="00D3608A"/>
    <w:rsid w:val="00D36152"/>
    <w:rsid w:val="00D3616C"/>
    <w:rsid w:val="00D3619C"/>
    <w:rsid w:val="00D3620B"/>
    <w:rsid w:val="00D36375"/>
    <w:rsid w:val="00D363F5"/>
    <w:rsid w:val="00D3642E"/>
    <w:rsid w:val="00D3652D"/>
    <w:rsid w:val="00D368BE"/>
    <w:rsid w:val="00D36A66"/>
    <w:rsid w:val="00D36A8A"/>
    <w:rsid w:val="00D36AE1"/>
    <w:rsid w:val="00D36B49"/>
    <w:rsid w:val="00D36BDF"/>
    <w:rsid w:val="00D36BE9"/>
    <w:rsid w:val="00D36C3E"/>
    <w:rsid w:val="00D36C5F"/>
    <w:rsid w:val="00D36D65"/>
    <w:rsid w:val="00D36E08"/>
    <w:rsid w:val="00D36EF6"/>
    <w:rsid w:val="00D36F96"/>
    <w:rsid w:val="00D36FE3"/>
    <w:rsid w:val="00D371D6"/>
    <w:rsid w:val="00D3722A"/>
    <w:rsid w:val="00D3733D"/>
    <w:rsid w:val="00D37371"/>
    <w:rsid w:val="00D373F1"/>
    <w:rsid w:val="00D373FB"/>
    <w:rsid w:val="00D374BB"/>
    <w:rsid w:val="00D375F3"/>
    <w:rsid w:val="00D377D2"/>
    <w:rsid w:val="00D377DE"/>
    <w:rsid w:val="00D37831"/>
    <w:rsid w:val="00D378A0"/>
    <w:rsid w:val="00D378FF"/>
    <w:rsid w:val="00D379B3"/>
    <w:rsid w:val="00D379C6"/>
    <w:rsid w:val="00D37A8F"/>
    <w:rsid w:val="00D37ACC"/>
    <w:rsid w:val="00D37B58"/>
    <w:rsid w:val="00D37C7E"/>
    <w:rsid w:val="00D37D89"/>
    <w:rsid w:val="00D37DBB"/>
    <w:rsid w:val="00D37E30"/>
    <w:rsid w:val="00D37F0C"/>
    <w:rsid w:val="00D37F74"/>
    <w:rsid w:val="00D37FAD"/>
    <w:rsid w:val="00D37FED"/>
    <w:rsid w:val="00D40098"/>
    <w:rsid w:val="00D400B4"/>
    <w:rsid w:val="00D40240"/>
    <w:rsid w:val="00D40402"/>
    <w:rsid w:val="00D40411"/>
    <w:rsid w:val="00D4043D"/>
    <w:rsid w:val="00D404AE"/>
    <w:rsid w:val="00D40530"/>
    <w:rsid w:val="00D40606"/>
    <w:rsid w:val="00D407A0"/>
    <w:rsid w:val="00D407B9"/>
    <w:rsid w:val="00D408F7"/>
    <w:rsid w:val="00D409ED"/>
    <w:rsid w:val="00D40A4A"/>
    <w:rsid w:val="00D40BD4"/>
    <w:rsid w:val="00D40C2D"/>
    <w:rsid w:val="00D40CDB"/>
    <w:rsid w:val="00D40E7E"/>
    <w:rsid w:val="00D41048"/>
    <w:rsid w:val="00D41090"/>
    <w:rsid w:val="00D410EC"/>
    <w:rsid w:val="00D41169"/>
    <w:rsid w:val="00D4118E"/>
    <w:rsid w:val="00D412A6"/>
    <w:rsid w:val="00D412BA"/>
    <w:rsid w:val="00D41348"/>
    <w:rsid w:val="00D4136F"/>
    <w:rsid w:val="00D413B1"/>
    <w:rsid w:val="00D41447"/>
    <w:rsid w:val="00D414BB"/>
    <w:rsid w:val="00D41502"/>
    <w:rsid w:val="00D415CB"/>
    <w:rsid w:val="00D415FC"/>
    <w:rsid w:val="00D41651"/>
    <w:rsid w:val="00D41667"/>
    <w:rsid w:val="00D41676"/>
    <w:rsid w:val="00D41821"/>
    <w:rsid w:val="00D4189F"/>
    <w:rsid w:val="00D41998"/>
    <w:rsid w:val="00D419EC"/>
    <w:rsid w:val="00D41BE3"/>
    <w:rsid w:val="00D41C33"/>
    <w:rsid w:val="00D41CDD"/>
    <w:rsid w:val="00D41CE8"/>
    <w:rsid w:val="00D41D8B"/>
    <w:rsid w:val="00D41E20"/>
    <w:rsid w:val="00D41F11"/>
    <w:rsid w:val="00D41F35"/>
    <w:rsid w:val="00D41F48"/>
    <w:rsid w:val="00D42082"/>
    <w:rsid w:val="00D42092"/>
    <w:rsid w:val="00D420E7"/>
    <w:rsid w:val="00D421C3"/>
    <w:rsid w:val="00D42277"/>
    <w:rsid w:val="00D4229B"/>
    <w:rsid w:val="00D422B0"/>
    <w:rsid w:val="00D42497"/>
    <w:rsid w:val="00D42531"/>
    <w:rsid w:val="00D42555"/>
    <w:rsid w:val="00D42607"/>
    <w:rsid w:val="00D42637"/>
    <w:rsid w:val="00D427A7"/>
    <w:rsid w:val="00D42807"/>
    <w:rsid w:val="00D42847"/>
    <w:rsid w:val="00D4290E"/>
    <w:rsid w:val="00D42950"/>
    <w:rsid w:val="00D42986"/>
    <w:rsid w:val="00D42997"/>
    <w:rsid w:val="00D42A7D"/>
    <w:rsid w:val="00D42A94"/>
    <w:rsid w:val="00D42ABE"/>
    <w:rsid w:val="00D42C7A"/>
    <w:rsid w:val="00D42CA7"/>
    <w:rsid w:val="00D42E08"/>
    <w:rsid w:val="00D42F09"/>
    <w:rsid w:val="00D4305D"/>
    <w:rsid w:val="00D43087"/>
    <w:rsid w:val="00D4317A"/>
    <w:rsid w:val="00D43417"/>
    <w:rsid w:val="00D43540"/>
    <w:rsid w:val="00D43543"/>
    <w:rsid w:val="00D4364F"/>
    <w:rsid w:val="00D436C1"/>
    <w:rsid w:val="00D43734"/>
    <w:rsid w:val="00D43787"/>
    <w:rsid w:val="00D437FB"/>
    <w:rsid w:val="00D43808"/>
    <w:rsid w:val="00D43815"/>
    <w:rsid w:val="00D43915"/>
    <w:rsid w:val="00D43953"/>
    <w:rsid w:val="00D43AC8"/>
    <w:rsid w:val="00D43AF0"/>
    <w:rsid w:val="00D43C11"/>
    <w:rsid w:val="00D43C39"/>
    <w:rsid w:val="00D43D2F"/>
    <w:rsid w:val="00D43E2B"/>
    <w:rsid w:val="00D43E51"/>
    <w:rsid w:val="00D43E6C"/>
    <w:rsid w:val="00D43F2F"/>
    <w:rsid w:val="00D43FD5"/>
    <w:rsid w:val="00D4404B"/>
    <w:rsid w:val="00D440A0"/>
    <w:rsid w:val="00D440F8"/>
    <w:rsid w:val="00D44108"/>
    <w:rsid w:val="00D4411B"/>
    <w:rsid w:val="00D4415A"/>
    <w:rsid w:val="00D44209"/>
    <w:rsid w:val="00D442C3"/>
    <w:rsid w:val="00D4439E"/>
    <w:rsid w:val="00D443B8"/>
    <w:rsid w:val="00D443C6"/>
    <w:rsid w:val="00D4446B"/>
    <w:rsid w:val="00D444F2"/>
    <w:rsid w:val="00D44552"/>
    <w:rsid w:val="00D445AE"/>
    <w:rsid w:val="00D445E7"/>
    <w:rsid w:val="00D44622"/>
    <w:rsid w:val="00D44635"/>
    <w:rsid w:val="00D44655"/>
    <w:rsid w:val="00D4468B"/>
    <w:rsid w:val="00D44722"/>
    <w:rsid w:val="00D44749"/>
    <w:rsid w:val="00D447A3"/>
    <w:rsid w:val="00D4485C"/>
    <w:rsid w:val="00D44981"/>
    <w:rsid w:val="00D449CD"/>
    <w:rsid w:val="00D44A3C"/>
    <w:rsid w:val="00D44A45"/>
    <w:rsid w:val="00D44A53"/>
    <w:rsid w:val="00D44BDD"/>
    <w:rsid w:val="00D44BDF"/>
    <w:rsid w:val="00D44CBA"/>
    <w:rsid w:val="00D44CF8"/>
    <w:rsid w:val="00D44E05"/>
    <w:rsid w:val="00D44E15"/>
    <w:rsid w:val="00D44F71"/>
    <w:rsid w:val="00D44FAC"/>
    <w:rsid w:val="00D44FD0"/>
    <w:rsid w:val="00D45091"/>
    <w:rsid w:val="00D4516E"/>
    <w:rsid w:val="00D453A1"/>
    <w:rsid w:val="00D453D2"/>
    <w:rsid w:val="00D453D4"/>
    <w:rsid w:val="00D453F8"/>
    <w:rsid w:val="00D454AD"/>
    <w:rsid w:val="00D454B7"/>
    <w:rsid w:val="00D4550A"/>
    <w:rsid w:val="00D45527"/>
    <w:rsid w:val="00D45595"/>
    <w:rsid w:val="00D45708"/>
    <w:rsid w:val="00D45714"/>
    <w:rsid w:val="00D457A9"/>
    <w:rsid w:val="00D457C4"/>
    <w:rsid w:val="00D45841"/>
    <w:rsid w:val="00D45A19"/>
    <w:rsid w:val="00D45B09"/>
    <w:rsid w:val="00D45B1A"/>
    <w:rsid w:val="00D45CB5"/>
    <w:rsid w:val="00D45CBF"/>
    <w:rsid w:val="00D45D66"/>
    <w:rsid w:val="00D45E52"/>
    <w:rsid w:val="00D45F6A"/>
    <w:rsid w:val="00D46030"/>
    <w:rsid w:val="00D46120"/>
    <w:rsid w:val="00D46190"/>
    <w:rsid w:val="00D461E5"/>
    <w:rsid w:val="00D462CC"/>
    <w:rsid w:val="00D4655E"/>
    <w:rsid w:val="00D46586"/>
    <w:rsid w:val="00D4660C"/>
    <w:rsid w:val="00D4661E"/>
    <w:rsid w:val="00D4664C"/>
    <w:rsid w:val="00D46740"/>
    <w:rsid w:val="00D4675F"/>
    <w:rsid w:val="00D4676C"/>
    <w:rsid w:val="00D467A0"/>
    <w:rsid w:val="00D467C7"/>
    <w:rsid w:val="00D46847"/>
    <w:rsid w:val="00D468A2"/>
    <w:rsid w:val="00D468D7"/>
    <w:rsid w:val="00D468F4"/>
    <w:rsid w:val="00D46972"/>
    <w:rsid w:val="00D46A5B"/>
    <w:rsid w:val="00D46A83"/>
    <w:rsid w:val="00D46ACD"/>
    <w:rsid w:val="00D46BF9"/>
    <w:rsid w:val="00D46C2E"/>
    <w:rsid w:val="00D46D6B"/>
    <w:rsid w:val="00D46E48"/>
    <w:rsid w:val="00D46E56"/>
    <w:rsid w:val="00D46E77"/>
    <w:rsid w:val="00D46F52"/>
    <w:rsid w:val="00D46FEC"/>
    <w:rsid w:val="00D47042"/>
    <w:rsid w:val="00D4708D"/>
    <w:rsid w:val="00D47100"/>
    <w:rsid w:val="00D47109"/>
    <w:rsid w:val="00D47170"/>
    <w:rsid w:val="00D47255"/>
    <w:rsid w:val="00D47378"/>
    <w:rsid w:val="00D473B2"/>
    <w:rsid w:val="00D4744F"/>
    <w:rsid w:val="00D47495"/>
    <w:rsid w:val="00D474CC"/>
    <w:rsid w:val="00D475A4"/>
    <w:rsid w:val="00D4767E"/>
    <w:rsid w:val="00D476C7"/>
    <w:rsid w:val="00D47793"/>
    <w:rsid w:val="00D4779A"/>
    <w:rsid w:val="00D477AF"/>
    <w:rsid w:val="00D47857"/>
    <w:rsid w:val="00D4788B"/>
    <w:rsid w:val="00D47953"/>
    <w:rsid w:val="00D47A85"/>
    <w:rsid w:val="00D47B0C"/>
    <w:rsid w:val="00D47BB2"/>
    <w:rsid w:val="00D47BEA"/>
    <w:rsid w:val="00D47BEC"/>
    <w:rsid w:val="00D47BF1"/>
    <w:rsid w:val="00D47C8D"/>
    <w:rsid w:val="00D47D1D"/>
    <w:rsid w:val="00D47DE2"/>
    <w:rsid w:val="00D47DEF"/>
    <w:rsid w:val="00D501B5"/>
    <w:rsid w:val="00D501F7"/>
    <w:rsid w:val="00D501F8"/>
    <w:rsid w:val="00D50224"/>
    <w:rsid w:val="00D50230"/>
    <w:rsid w:val="00D5023C"/>
    <w:rsid w:val="00D50250"/>
    <w:rsid w:val="00D5035D"/>
    <w:rsid w:val="00D50459"/>
    <w:rsid w:val="00D50461"/>
    <w:rsid w:val="00D504C1"/>
    <w:rsid w:val="00D505EC"/>
    <w:rsid w:val="00D50668"/>
    <w:rsid w:val="00D50679"/>
    <w:rsid w:val="00D506AB"/>
    <w:rsid w:val="00D50854"/>
    <w:rsid w:val="00D50878"/>
    <w:rsid w:val="00D508FA"/>
    <w:rsid w:val="00D5096D"/>
    <w:rsid w:val="00D5097E"/>
    <w:rsid w:val="00D509E1"/>
    <w:rsid w:val="00D509F2"/>
    <w:rsid w:val="00D50A94"/>
    <w:rsid w:val="00D50B44"/>
    <w:rsid w:val="00D50B8B"/>
    <w:rsid w:val="00D50C8F"/>
    <w:rsid w:val="00D50CBA"/>
    <w:rsid w:val="00D50D5E"/>
    <w:rsid w:val="00D50DCA"/>
    <w:rsid w:val="00D50DE4"/>
    <w:rsid w:val="00D50E41"/>
    <w:rsid w:val="00D50F14"/>
    <w:rsid w:val="00D511C2"/>
    <w:rsid w:val="00D511E7"/>
    <w:rsid w:val="00D51281"/>
    <w:rsid w:val="00D512A4"/>
    <w:rsid w:val="00D512E0"/>
    <w:rsid w:val="00D512FB"/>
    <w:rsid w:val="00D51314"/>
    <w:rsid w:val="00D5135C"/>
    <w:rsid w:val="00D514A7"/>
    <w:rsid w:val="00D514DF"/>
    <w:rsid w:val="00D515ED"/>
    <w:rsid w:val="00D51657"/>
    <w:rsid w:val="00D516CA"/>
    <w:rsid w:val="00D517CB"/>
    <w:rsid w:val="00D517DB"/>
    <w:rsid w:val="00D51849"/>
    <w:rsid w:val="00D519EF"/>
    <w:rsid w:val="00D51A37"/>
    <w:rsid w:val="00D51AA2"/>
    <w:rsid w:val="00D51B67"/>
    <w:rsid w:val="00D51E1B"/>
    <w:rsid w:val="00D51E3A"/>
    <w:rsid w:val="00D51E9D"/>
    <w:rsid w:val="00D51EC2"/>
    <w:rsid w:val="00D51F22"/>
    <w:rsid w:val="00D51F33"/>
    <w:rsid w:val="00D51F49"/>
    <w:rsid w:val="00D51F6B"/>
    <w:rsid w:val="00D51FB7"/>
    <w:rsid w:val="00D51FC4"/>
    <w:rsid w:val="00D51FF2"/>
    <w:rsid w:val="00D52272"/>
    <w:rsid w:val="00D522AC"/>
    <w:rsid w:val="00D52487"/>
    <w:rsid w:val="00D525FB"/>
    <w:rsid w:val="00D526B0"/>
    <w:rsid w:val="00D526BE"/>
    <w:rsid w:val="00D52702"/>
    <w:rsid w:val="00D527F5"/>
    <w:rsid w:val="00D528B3"/>
    <w:rsid w:val="00D5299E"/>
    <w:rsid w:val="00D529FC"/>
    <w:rsid w:val="00D52AA5"/>
    <w:rsid w:val="00D52AF1"/>
    <w:rsid w:val="00D52C53"/>
    <w:rsid w:val="00D52C58"/>
    <w:rsid w:val="00D52CF0"/>
    <w:rsid w:val="00D52D96"/>
    <w:rsid w:val="00D52E32"/>
    <w:rsid w:val="00D52F06"/>
    <w:rsid w:val="00D53067"/>
    <w:rsid w:val="00D53148"/>
    <w:rsid w:val="00D53222"/>
    <w:rsid w:val="00D53259"/>
    <w:rsid w:val="00D5325C"/>
    <w:rsid w:val="00D532E8"/>
    <w:rsid w:val="00D53315"/>
    <w:rsid w:val="00D53360"/>
    <w:rsid w:val="00D533B9"/>
    <w:rsid w:val="00D53441"/>
    <w:rsid w:val="00D53445"/>
    <w:rsid w:val="00D53461"/>
    <w:rsid w:val="00D534BC"/>
    <w:rsid w:val="00D534DE"/>
    <w:rsid w:val="00D53597"/>
    <w:rsid w:val="00D53598"/>
    <w:rsid w:val="00D535C7"/>
    <w:rsid w:val="00D535EE"/>
    <w:rsid w:val="00D53813"/>
    <w:rsid w:val="00D5381F"/>
    <w:rsid w:val="00D538D2"/>
    <w:rsid w:val="00D538FC"/>
    <w:rsid w:val="00D5391D"/>
    <w:rsid w:val="00D539CB"/>
    <w:rsid w:val="00D53A29"/>
    <w:rsid w:val="00D53A33"/>
    <w:rsid w:val="00D53A3C"/>
    <w:rsid w:val="00D53A72"/>
    <w:rsid w:val="00D53B97"/>
    <w:rsid w:val="00D53BDB"/>
    <w:rsid w:val="00D53C7B"/>
    <w:rsid w:val="00D53DAA"/>
    <w:rsid w:val="00D53E13"/>
    <w:rsid w:val="00D53E9D"/>
    <w:rsid w:val="00D53EA2"/>
    <w:rsid w:val="00D53F3A"/>
    <w:rsid w:val="00D53F5E"/>
    <w:rsid w:val="00D53F94"/>
    <w:rsid w:val="00D5410A"/>
    <w:rsid w:val="00D54158"/>
    <w:rsid w:val="00D54183"/>
    <w:rsid w:val="00D54207"/>
    <w:rsid w:val="00D54250"/>
    <w:rsid w:val="00D5436A"/>
    <w:rsid w:val="00D543FE"/>
    <w:rsid w:val="00D5440E"/>
    <w:rsid w:val="00D545D6"/>
    <w:rsid w:val="00D54670"/>
    <w:rsid w:val="00D5470C"/>
    <w:rsid w:val="00D547EB"/>
    <w:rsid w:val="00D54804"/>
    <w:rsid w:val="00D5490E"/>
    <w:rsid w:val="00D5495B"/>
    <w:rsid w:val="00D5499C"/>
    <w:rsid w:val="00D549DE"/>
    <w:rsid w:val="00D549E3"/>
    <w:rsid w:val="00D54AF1"/>
    <w:rsid w:val="00D54B13"/>
    <w:rsid w:val="00D54B34"/>
    <w:rsid w:val="00D54C7A"/>
    <w:rsid w:val="00D54D17"/>
    <w:rsid w:val="00D54DAB"/>
    <w:rsid w:val="00D54E0A"/>
    <w:rsid w:val="00D54E2A"/>
    <w:rsid w:val="00D54F6B"/>
    <w:rsid w:val="00D55056"/>
    <w:rsid w:val="00D5509B"/>
    <w:rsid w:val="00D550E2"/>
    <w:rsid w:val="00D55329"/>
    <w:rsid w:val="00D5537D"/>
    <w:rsid w:val="00D55399"/>
    <w:rsid w:val="00D5549F"/>
    <w:rsid w:val="00D554B3"/>
    <w:rsid w:val="00D55545"/>
    <w:rsid w:val="00D555F5"/>
    <w:rsid w:val="00D55814"/>
    <w:rsid w:val="00D5587C"/>
    <w:rsid w:val="00D558AF"/>
    <w:rsid w:val="00D558EE"/>
    <w:rsid w:val="00D5590B"/>
    <w:rsid w:val="00D55AE6"/>
    <w:rsid w:val="00D55B72"/>
    <w:rsid w:val="00D55BD2"/>
    <w:rsid w:val="00D55C5D"/>
    <w:rsid w:val="00D55D50"/>
    <w:rsid w:val="00D55D91"/>
    <w:rsid w:val="00D55DE0"/>
    <w:rsid w:val="00D55E77"/>
    <w:rsid w:val="00D55E98"/>
    <w:rsid w:val="00D55EE7"/>
    <w:rsid w:val="00D55EFB"/>
    <w:rsid w:val="00D55EFC"/>
    <w:rsid w:val="00D55F32"/>
    <w:rsid w:val="00D55FE8"/>
    <w:rsid w:val="00D56113"/>
    <w:rsid w:val="00D561D9"/>
    <w:rsid w:val="00D56245"/>
    <w:rsid w:val="00D5625D"/>
    <w:rsid w:val="00D56329"/>
    <w:rsid w:val="00D5658A"/>
    <w:rsid w:val="00D5670C"/>
    <w:rsid w:val="00D5678B"/>
    <w:rsid w:val="00D568DF"/>
    <w:rsid w:val="00D56909"/>
    <w:rsid w:val="00D5694C"/>
    <w:rsid w:val="00D56990"/>
    <w:rsid w:val="00D56A3D"/>
    <w:rsid w:val="00D56B09"/>
    <w:rsid w:val="00D56C4A"/>
    <w:rsid w:val="00D56C63"/>
    <w:rsid w:val="00D56D00"/>
    <w:rsid w:val="00D56DD8"/>
    <w:rsid w:val="00D56DEC"/>
    <w:rsid w:val="00D56EC8"/>
    <w:rsid w:val="00D56F30"/>
    <w:rsid w:val="00D56FE3"/>
    <w:rsid w:val="00D570FC"/>
    <w:rsid w:val="00D57104"/>
    <w:rsid w:val="00D57162"/>
    <w:rsid w:val="00D57163"/>
    <w:rsid w:val="00D5723E"/>
    <w:rsid w:val="00D5728B"/>
    <w:rsid w:val="00D572C9"/>
    <w:rsid w:val="00D572F0"/>
    <w:rsid w:val="00D57327"/>
    <w:rsid w:val="00D57398"/>
    <w:rsid w:val="00D5746C"/>
    <w:rsid w:val="00D574B1"/>
    <w:rsid w:val="00D574EE"/>
    <w:rsid w:val="00D5751B"/>
    <w:rsid w:val="00D57544"/>
    <w:rsid w:val="00D5754B"/>
    <w:rsid w:val="00D5759A"/>
    <w:rsid w:val="00D575B4"/>
    <w:rsid w:val="00D575FC"/>
    <w:rsid w:val="00D5765D"/>
    <w:rsid w:val="00D57677"/>
    <w:rsid w:val="00D576C3"/>
    <w:rsid w:val="00D577FE"/>
    <w:rsid w:val="00D57834"/>
    <w:rsid w:val="00D57ADF"/>
    <w:rsid w:val="00D57B34"/>
    <w:rsid w:val="00D57BA0"/>
    <w:rsid w:val="00D57BAD"/>
    <w:rsid w:val="00D57C84"/>
    <w:rsid w:val="00D57E31"/>
    <w:rsid w:val="00D57E5D"/>
    <w:rsid w:val="00D57F0C"/>
    <w:rsid w:val="00D57FCC"/>
    <w:rsid w:val="00D6002D"/>
    <w:rsid w:val="00D60064"/>
    <w:rsid w:val="00D60078"/>
    <w:rsid w:val="00D601B9"/>
    <w:rsid w:val="00D601C0"/>
    <w:rsid w:val="00D60277"/>
    <w:rsid w:val="00D602D9"/>
    <w:rsid w:val="00D60389"/>
    <w:rsid w:val="00D60393"/>
    <w:rsid w:val="00D60516"/>
    <w:rsid w:val="00D605F0"/>
    <w:rsid w:val="00D60735"/>
    <w:rsid w:val="00D607CD"/>
    <w:rsid w:val="00D6082F"/>
    <w:rsid w:val="00D60972"/>
    <w:rsid w:val="00D609C4"/>
    <w:rsid w:val="00D60A7D"/>
    <w:rsid w:val="00D60B11"/>
    <w:rsid w:val="00D60C8C"/>
    <w:rsid w:val="00D60E08"/>
    <w:rsid w:val="00D60EBF"/>
    <w:rsid w:val="00D60F57"/>
    <w:rsid w:val="00D60FC3"/>
    <w:rsid w:val="00D60FCF"/>
    <w:rsid w:val="00D60FF2"/>
    <w:rsid w:val="00D6104B"/>
    <w:rsid w:val="00D6113D"/>
    <w:rsid w:val="00D611E6"/>
    <w:rsid w:val="00D611E7"/>
    <w:rsid w:val="00D61278"/>
    <w:rsid w:val="00D612B5"/>
    <w:rsid w:val="00D61322"/>
    <w:rsid w:val="00D613CA"/>
    <w:rsid w:val="00D6140C"/>
    <w:rsid w:val="00D61639"/>
    <w:rsid w:val="00D616A5"/>
    <w:rsid w:val="00D616A7"/>
    <w:rsid w:val="00D616E5"/>
    <w:rsid w:val="00D617BB"/>
    <w:rsid w:val="00D6191F"/>
    <w:rsid w:val="00D619C4"/>
    <w:rsid w:val="00D61C22"/>
    <w:rsid w:val="00D61C4C"/>
    <w:rsid w:val="00D61C7C"/>
    <w:rsid w:val="00D61D2B"/>
    <w:rsid w:val="00D61D8D"/>
    <w:rsid w:val="00D61DDA"/>
    <w:rsid w:val="00D61EB7"/>
    <w:rsid w:val="00D621ED"/>
    <w:rsid w:val="00D624A0"/>
    <w:rsid w:val="00D6272B"/>
    <w:rsid w:val="00D62730"/>
    <w:rsid w:val="00D628E5"/>
    <w:rsid w:val="00D628EF"/>
    <w:rsid w:val="00D6293B"/>
    <w:rsid w:val="00D629DF"/>
    <w:rsid w:val="00D62A75"/>
    <w:rsid w:val="00D62AF3"/>
    <w:rsid w:val="00D62B2C"/>
    <w:rsid w:val="00D62BB3"/>
    <w:rsid w:val="00D62BCA"/>
    <w:rsid w:val="00D62BF8"/>
    <w:rsid w:val="00D62D2D"/>
    <w:rsid w:val="00D62D60"/>
    <w:rsid w:val="00D62D9A"/>
    <w:rsid w:val="00D62E82"/>
    <w:rsid w:val="00D62EFE"/>
    <w:rsid w:val="00D62F3B"/>
    <w:rsid w:val="00D63005"/>
    <w:rsid w:val="00D63089"/>
    <w:rsid w:val="00D6319B"/>
    <w:rsid w:val="00D6323B"/>
    <w:rsid w:val="00D63243"/>
    <w:rsid w:val="00D63295"/>
    <w:rsid w:val="00D632C2"/>
    <w:rsid w:val="00D632F5"/>
    <w:rsid w:val="00D63341"/>
    <w:rsid w:val="00D633A2"/>
    <w:rsid w:val="00D63439"/>
    <w:rsid w:val="00D634D1"/>
    <w:rsid w:val="00D63528"/>
    <w:rsid w:val="00D635E1"/>
    <w:rsid w:val="00D636B8"/>
    <w:rsid w:val="00D63725"/>
    <w:rsid w:val="00D637D7"/>
    <w:rsid w:val="00D638F1"/>
    <w:rsid w:val="00D63988"/>
    <w:rsid w:val="00D639AC"/>
    <w:rsid w:val="00D63A3A"/>
    <w:rsid w:val="00D63AA0"/>
    <w:rsid w:val="00D63AC4"/>
    <w:rsid w:val="00D63B3E"/>
    <w:rsid w:val="00D63B4D"/>
    <w:rsid w:val="00D63BA0"/>
    <w:rsid w:val="00D63BDB"/>
    <w:rsid w:val="00D63C64"/>
    <w:rsid w:val="00D63EAA"/>
    <w:rsid w:val="00D63F3F"/>
    <w:rsid w:val="00D64086"/>
    <w:rsid w:val="00D64170"/>
    <w:rsid w:val="00D641B9"/>
    <w:rsid w:val="00D64294"/>
    <w:rsid w:val="00D642E0"/>
    <w:rsid w:val="00D6432B"/>
    <w:rsid w:val="00D643D3"/>
    <w:rsid w:val="00D64497"/>
    <w:rsid w:val="00D64573"/>
    <w:rsid w:val="00D6458D"/>
    <w:rsid w:val="00D64645"/>
    <w:rsid w:val="00D6465D"/>
    <w:rsid w:val="00D64743"/>
    <w:rsid w:val="00D64814"/>
    <w:rsid w:val="00D64835"/>
    <w:rsid w:val="00D6493E"/>
    <w:rsid w:val="00D64954"/>
    <w:rsid w:val="00D64992"/>
    <w:rsid w:val="00D649CA"/>
    <w:rsid w:val="00D64A19"/>
    <w:rsid w:val="00D64A62"/>
    <w:rsid w:val="00D64B64"/>
    <w:rsid w:val="00D64B97"/>
    <w:rsid w:val="00D64BD9"/>
    <w:rsid w:val="00D64C73"/>
    <w:rsid w:val="00D64CC8"/>
    <w:rsid w:val="00D64D19"/>
    <w:rsid w:val="00D64EB8"/>
    <w:rsid w:val="00D64F42"/>
    <w:rsid w:val="00D64FC6"/>
    <w:rsid w:val="00D64FD6"/>
    <w:rsid w:val="00D65028"/>
    <w:rsid w:val="00D65057"/>
    <w:rsid w:val="00D65089"/>
    <w:rsid w:val="00D650A4"/>
    <w:rsid w:val="00D650FA"/>
    <w:rsid w:val="00D65187"/>
    <w:rsid w:val="00D651E9"/>
    <w:rsid w:val="00D651EF"/>
    <w:rsid w:val="00D651F5"/>
    <w:rsid w:val="00D65250"/>
    <w:rsid w:val="00D6525B"/>
    <w:rsid w:val="00D65291"/>
    <w:rsid w:val="00D6544D"/>
    <w:rsid w:val="00D6549D"/>
    <w:rsid w:val="00D654A7"/>
    <w:rsid w:val="00D6562C"/>
    <w:rsid w:val="00D65661"/>
    <w:rsid w:val="00D656A1"/>
    <w:rsid w:val="00D656FC"/>
    <w:rsid w:val="00D6572D"/>
    <w:rsid w:val="00D658D9"/>
    <w:rsid w:val="00D659A0"/>
    <w:rsid w:val="00D659A9"/>
    <w:rsid w:val="00D65A8B"/>
    <w:rsid w:val="00D65AD5"/>
    <w:rsid w:val="00D65AFF"/>
    <w:rsid w:val="00D65B2A"/>
    <w:rsid w:val="00D65B2E"/>
    <w:rsid w:val="00D65B78"/>
    <w:rsid w:val="00D65B9A"/>
    <w:rsid w:val="00D65C5F"/>
    <w:rsid w:val="00D65CA6"/>
    <w:rsid w:val="00D65D03"/>
    <w:rsid w:val="00D65D54"/>
    <w:rsid w:val="00D65DF3"/>
    <w:rsid w:val="00D65E4C"/>
    <w:rsid w:val="00D65E61"/>
    <w:rsid w:val="00D65ED4"/>
    <w:rsid w:val="00D66010"/>
    <w:rsid w:val="00D660BF"/>
    <w:rsid w:val="00D66107"/>
    <w:rsid w:val="00D6611C"/>
    <w:rsid w:val="00D66231"/>
    <w:rsid w:val="00D66260"/>
    <w:rsid w:val="00D662CC"/>
    <w:rsid w:val="00D66323"/>
    <w:rsid w:val="00D66389"/>
    <w:rsid w:val="00D6645D"/>
    <w:rsid w:val="00D6651F"/>
    <w:rsid w:val="00D6654A"/>
    <w:rsid w:val="00D665D6"/>
    <w:rsid w:val="00D66624"/>
    <w:rsid w:val="00D66693"/>
    <w:rsid w:val="00D666D7"/>
    <w:rsid w:val="00D6670A"/>
    <w:rsid w:val="00D66846"/>
    <w:rsid w:val="00D668DC"/>
    <w:rsid w:val="00D66946"/>
    <w:rsid w:val="00D66A77"/>
    <w:rsid w:val="00D66B1E"/>
    <w:rsid w:val="00D66BF0"/>
    <w:rsid w:val="00D66C43"/>
    <w:rsid w:val="00D66CBF"/>
    <w:rsid w:val="00D66CD7"/>
    <w:rsid w:val="00D66D03"/>
    <w:rsid w:val="00D66DCE"/>
    <w:rsid w:val="00D66DD2"/>
    <w:rsid w:val="00D66EAB"/>
    <w:rsid w:val="00D67031"/>
    <w:rsid w:val="00D67292"/>
    <w:rsid w:val="00D672A1"/>
    <w:rsid w:val="00D67327"/>
    <w:rsid w:val="00D67448"/>
    <w:rsid w:val="00D67521"/>
    <w:rsid w:val="00D6754E"/>
    <w:rsid w:val="00D67600"/>
    <w:rsid w:val="00D6763E"/>
    <w:rsid w:val="00D676AF"/>
    <w:rsid w:val="00D6778D"/>
    <w:rsid w:val="00D677E6"/>
    <w:rsid w:val="00D67832"/>
    <w:rsid w:val="00D6786B"/>
    <w:rsid w:val="00D67893"/>
    <w:rsid w:val="00D67985"/>
    <w:rsid w:val="00D67A58"/>
    <w:rsid w:val="00D67A5F"/>
    <w:rsid w:val="00D67B14"/>
    <w:rsid w:val="00D67BC4"/>
    <w:rsid w:val="00D67CC9"/>
    <w:rsid w:val="00D67D85"/>
    <w:rsid w:val="00D67F02"/>
    <w:rsid w:val="00D7001E"/>
    <w:rsid w:val="00D7013A"/>
    <w:rsid w:val="00D702F5"/>
    <w:rsid w:val="00D70305"/>
    <w:rsid w:val="00D70341"/>
    <w:rsid w:val="00D7035A"/>
    <w:rsid w:val="00D70485"/>
    <w:rsid w:val="00D704BD"/>
    <w:rsid w:val="00D704D5"/>
    <w:rsid w:val="00D70511"/>
    <w:rsid w:val="00D70516"/>
    <w:rsid w:val="00D70547"/>
    <w:rsid w:val="00D7054A"/>
    <w:rsid w:val="00D70570"/>
    <w:rsid w:val="00D70580"/>
    <w:rsid w:val="00D70634"/>
    <w:rsid w:val="00D70642"/>
    <w:rsid w:val="00D7064D"/>
    <w:rsid w:val="00D7067E"/>
    <w:rsid w:val="00D706A0"/>
    <w:rsid w:val="00D706CB"/>
    <w:rsid w:val="00D70796"/>
    <w:rsid w:val="00D708C6"/>
    <w:rsid w:val="00D70961"/>
    <w:rsid w:val="00D70BED"/>
    <w:rsid w:val="00D70C04"/>
    <w:rsid w:val="00D70CFF"/>
    <w:rsid w:val="00D70D49"/>
    <w:rsid w:val="00D70D9E"/>
    <w:rsid w:val="00D70DD9"/>
    <w:rsid w:val="00D70E51"/>
    <w:rsid w:val="00D71029"/>
    <w:rsid w:val="00D711CE"/>
    <w:rsid w:val="00D71325"/>
    <w:rsid w:val="00D71381"/>
    <w:rsid w:val="00D713AE"/>
    <w:rsid w:val="00D71408"/>
    <w:rsid w:val="00D71421"/>
    <w:rsid w:val="00D71450"/>
    <w:rsid w:val="00D714AC"/>
    <w:rsid w:val="00D715DA"/>
    <w:rsid w:val="00D71617"/>
    <w:rsid w:val="00D7163C"/>
    <w:rsid w:val="00D71643"/>
    <w:rsid w:val="00D7167E"/>
    <w:rsid w:val="00D716F6"/>
    <w:rsid w:val="00D71705"/>
    <w:rsid w:val="00D71742"/>
    <w:rsid w:val="00D71779"/>
    <w:rsid w:val="00D717B8"/>
    <w:rsid w:val="00D7184E"/>
    <w:rsid w:val="00D71864"/>
    <w:rsid w:val="00D71883"/>
    <w:rsid w:val="00D718E2"/>
    <w:rsid w:val="00D71912"/>
    <w:rsid w:val="00D71BB4"/>
    <w:rsid w:val="00D71C60"/>
    <w:rsid w:val="00D71D3C"/>
    <w:rsid w:val="00D71DF4"/>
    <w:rsid w:val="00D71EE5"/>
    <w:rsid w:val="00D721A9"/>
    <w:rsid w:val="00D721BE"/>
    <w:rsid w:val="00D72243"/>
    <w:rsid w:val="00D72385"/>
    <w:rsid w:val="00D723DA"/>
    <w:rsid w:val="00D72463"/>
    <w:rsid w:val="00D725D1"/>
    <w:rsid w:val="00D726E4"/>
    <w:rsid w:val="00D726EC"/>
    <w:rsid w:val="00D729F5"/>
    <w:rsid w:val="00D72A0B"/>
    <w:rsid w:val="00D72A46"/>
    <w:rsid w:val="00D72BBF"/>
    <w:rsid w:val="00D72BD3"/>
    <w:rsid w:val="00D72C24"/>
    <w:rsid w:val="00D72C31"/>
    <w:rsid w:val="00D72DDC"/>
    <w:rsid w:val="00D72E4A"/>
    <w:rsid w:val="00D72E4D"/>
    <w:rsid w:val="00D72E6D"/>
    <w:rsid w:val="00D72EB7"/>
    <w:rsid w:val="00D72EC4"/>
    <w:rsid w:val="00D72FB5"/>
    <w:rsid w:val="00D73015"/>
    <w:rsid w:val="00D73019"/>
    <w:rsid w:val="00D7306F"/>
    <w:rsid w:val="00D730CC"/>
    <w:rsid w:val="00D730FD"/>
    <w:rsid w:val="00D7315E"/>
    <w:rsid w:val="00D7318C"/>
    <w:rsid w:val="00D731CB"/>
    <w:rsid w:val="00D73298"/>
    <w:rsid w:val="00D732C2"/>
    <w:rsid w:val="00D73344"/>
    <w:rsid w:val="00D733AD"/>
    <w:rsid w:val="00D733F2"/>
    <w:rsid w:val="00D73402"/>
    <w:rsid w:val="00D7345C"/>
    <w:rsid w:val="00D73673"/>
    <w:rsid w:val="00D7367B"/>
    <w:rsid w:val="00D73717"/>
    <w:rsid w:val="00D73746"/>
    <w:rsid w:val="00D7387A"/>
    <w:rsid w:val="00D738A9"/>
    <w:rsid w:val="00D738CC"/>
    <w:rsid w:val="00D738FE"/>
    <w:rsid w:val="00D73953"/>
    <w:rsid w:val="00D73999"/>
    <w:rsid w:val="00D73B03"/>
    <w:rsid w:val="00D73B87"/>
    <w:rsid w:val="00D73C67"/>
    <w:rsid w:val="00D73D33"/>
    <w:rsid w:val="00D73DC9"/>
    <w:rsid w:val="00D73DDA"/>
    <w:rsid w:val="00D73F8B"/>
    <w:rsid w:val="00D73FD2"/>
    <w:rsid w:val="00D74036"/>
    <w:rsid w:val="00D74077"/>
    <w:rsid w:val="00D741F4"/>
    <w:rsid w:val="00D7423D"/>
    <w:rsid w:val="00D74262"/>
    <w:rsid w:val="00D74272"/>
    <w:rsid w:val="00D742FB"/>
    <w:rsid w:val="00D7434F"/>
    <w:rsid w:val="00D7449F"/>
    <w:rsid w:val="00D745FE"/>
    <w:rsid w:val="00D746CD"/>
    <w:rsid w:val="00D74704"/>
    <w:rsid w:val="00D74758"/>
    <w:rsid w:val="00D74806"/>
    <w:rsid w:val="00D74860"/>
    <w:rsid w:val="00D748BD"/>
    <w:rsid w:val="00D74910"/>
    <w:rsid w:val="00D74980"/>
    <w:rsid w:val="00D74A11"/>
    <w:rsid w:val="00D74DD5"/>
    <w:rsid w:val="00D74E17"/>
    <w:rsid w:val="00D74EF8"/>
    <w:rsid w:val="00D74FC1"/>
    <w:rsid w:val="00D7504C"/>
    <w:rsid w:val="00D750CF"/>
    <w:rsid w:val="00D7515B"/>
    <w:rsid w:val="00D7515C"/>
    <w:rsid w:val="00D751BC"/>
    <w:rsid w:val="00D75224"/>
    <w:rsid w:val="00D75293"/>
    <w:rsid w:val="00D7535D"/>
    <w:rsid w:val="00D75555"/>
    <w:rsid w:val="00D75594"/>
    <w:rsid w:val="00D75677"/>
    <w:rsid w:val="00D756C5"/>
    <w:rsid w:val="00D756CA"/>
    <w:rsid w:val="00D75706"/>
    <w:rsid w:val="00D7578F"/>
    <w:rsid w:val="00D757B9"/>
    <w:rsid w:val="00D7583D"/>
    <w:rsid w:val="00D75885"/>
    <w:rsid w:val="00D7593C"/>
    <w:rsid w:val="00D759B5"/>
    <w:rsid w:val="00D759D7"/>
    <w:rsid w:val="00D759F8"/>
    <w:rsid w:val="00D75AA4"/>
    <w:rsid w:val="00D75C00"/>
    <w:rsid w:val="00D75C61"/>
    <w:rsid w:val="00D75D40"/>
    <w:rsid w:val="00D75D57"/>
    <w:rsid w:val="00D75DB3"/>
    <w:rsid w:val="00D75DB5"/>
    <w:rsid w:val="00D75DE9"/>
    <w:rsid w:val="00D75E69"/>
    <w:rsid w:val="00D760EB"/>
    <w:rsid w:val="00D76128"/>
    <w:rsid w:val="00D76157"/>
    <w:rsid w:val="00D7615C"/>
    <w:rsid w:val="00D76174"/>
    <w:rsid w:val="00D76326"/>
    <w:rsid w:val="00D76329"/>
    <w:rsid w:val="00D763BC"/>
    <w:rsid w:val="00D763F2"/>
    <w:rsid w:val="00D7653E"/>
    <w:rsid w:val="00D7657D"/>
    <w:rsid w:val="00D76580"/>
    <w:rsid w:val="00D765F6"/>
    <w:rsid w:val="00D766D2"/>
    <w:rsid w:val="00D76832"/>
    <w:rsid w:val="00D768B1"/>
    <w:rsid w:val="00D768C0"/>
    <w:rsid w:val="00D76A13"/>
    <w:rsid w:val="00D76A2A"/>
    <w:rsid w:val="00D76A90"/>
    <w:rsid w:val="00D76B41"/>
    <w:rsid w:val="00D76B4F"/>
    <w:rsid w:val="00D76B6F"/>
    <w:rsid w:val="00D76BB3"/>
    <w:rsid w:val="00D76C35"/>
    <w:rsid w:val="00D76C62"/>
    <w:rsid w:val="00D76D3E"/>
    <w:rsid w:val="00D76DC3"/>
    <w:rsid w:val="00D76DCD"/>
    <w:rsid w:val="00D76E0A"/>
    <w:rsid w:val="00D76E36"/>
    <w:rsid w:val="00D76F9E"/>
    <w:rsid w:val="00D76FAA"/>
    <w:rsid w:val="00D771FF"/>
    <w:rsid w:val="00D77273"/>
    <w:rsid w:val="00D7731E"/>
    <w:rsid w:val="00D7735F"/>
    <w:rsid w:val="00D773F9"/>
    <w:rsid w:val="00D7746E"/>
    <w:rsid w:val="00D774A8"/>
    <w:rsid w:val="00D77550"/>
    <w:rsid w:val="00D775D9"/>
    <w:rsid w:val="00D7763D"/>
    <w:rsid w:val="00D7774B"/>
    <w:rsid w:val="00D77750"/>
    <w:rsid w:val="00D77785"/>
    <w:rsid w:val="00D77B78"/>
    <w:rsid w:val="00D77BFB"/>
    <w:rsid w:val="00D77C29"/>
    <w:rsid w:val="00D77C68"/>
    <w:rsid w:val="00D77CA2"/>
    <w:rsid w:val="00D77D40"/>
    <w:rsid w:val="00D77E34"/>
    <w:rsid w:val="00D77F86"/>
    <w:rsid w:val="00D8000C"/>
    <w:rsid w:val="00D8002F"/>
    <w:rsid w:val="00D80067"/>
    <w:rsid w:val="00D80071"/>
    <w:rsid w:val="00D80128"/>
    <w:rsid w:val="00D801A6"/>
    <w:rsid w:val="00D80270"/>
    <w:rsid w:val="00D80346"/>
    <w:rsid w:val="00D803A3"/>
    <w:rsid w:val="00D803B3"/>
    <w:rsid w:val="00D8042D"/>
    <w:rsid w:val="00D804BA"/>
    <w:rsid w:val="00D806EE"/>
    <w:rsid w:val="00D8071D"/>
    <w:rsid w:val="00D8088E"/>
    <w:rsid w:val="00D8089D"/>
    <w:rsid w:val="00D80928"/>
    <w:rsid w:val="00D8095E"/>
    <w:rsid w:val="00D80998"/>
    <w:rsid w:val="00D809BA"/>
    <w:rsid w:val="00D80AF7"/>
    <w:rsid w:val="00D80B6B"/>
    <w:rsid w:val="00D80BB1"/>
    <w:rsid w:val="00D80C17"/>
    <w:rsid w:val="00D80CEA"/>
    <w:rsid w:val="00D80DD4"/>
    <w:rsid w:val="00D80E06"/>
    <w:rsid w:val="00D80E77"/>
    <w:rsid w:val="00D80F22"/>
    <w:rsid w:val="00D80F4D"/>
    <w:rsid w:val="00D81011"/>
    <w:rsid w:val="00D8102B"/>
    <w:rsid w:val="00D810DC"/>
    <w:rsid w:val="00D8111C"/>
    <w:rsid w:val="00D81151"/>
    <w:rsid w:val="00D811AC"/>
    <w:rsid w:val="00D811CD"/>
    <w:rsid w:val="00D811D2"/>
    <w:rsid w:val="00D81250"/>
    <w:rsid w:val="00D8128F"/>
    <w:rsid w:val="00D8132C"/>
    <w:rsid w:val="00D813B3"/>
    <w:rsid w:val="00D8140D"/>
    <w:rsid w:val="00D8141C"/>
    <w:rsid w:val="00D814A4"/>
    <w:rsid w:val="00D814E4"/>
    <w:rsid w:val="00D815D1"/>
    <w:rsid w:val="00D81666"/>
    <w:rsid w:val="00D81668"/>
    <w:rsid w:val="00D81683"/>
    <w:rsid w:val="00D81690"/>
    <w:rsid w:val="00D81875"/>
    <w:rsid w:val="00D8199F"/>
    <w:rsid w:val="00D819C1"/>
    <w:rsid w:val="00D81A29"/>
    <w:rsid w:val="00D81B04"/>
    <w:rsid w:val="00D81C0A"/>
    <w:rsid w:val="00D81C71"/>
    <w:rsid w:val="00D81CF8"/>
    <w:rsid w:val="00D81D61"/>
    <w:rsid w:val="00D81FB8"/>
    <w:rsid w:val="00D82174"/>
    <w:rsid w:val="00D82299"/>
    <w:rsid w:val="00D8236F"/>
    <w:rsid w:val="00D82372"/>
    <w:rsid w:val="00D8239D"/>
    <w:rsid w:val="00D823CB"/>
    <w:rsid w:val="00D823DA"/>
    <w:rsid w:val="00D82465"/>
    <w:rsid w:val="00D825A1"/>
    <w:rsid w:val="00D825A9"/>
    <w:rsid w:val="00D825DC"/>
    <w:rsid w:val="00D826DA"/>
    <w:rsid w:val="00D826FC"/>
    <w:rsid w:val="00D827A0"/>
    <w:rsid w:val="00D827CF"/>
    <w:rsid w:val="00D8288E"/>
    <w:rsid w:val="00D82904"/>
    <w:rsid w:val="00D82957"/>
    <w:rsid w:val="00D829B3"/>
    <w:rsid w:val="00D829D2"/>
    <w:rsid w:val="00D829DA"/>
    <w:rsid w:val="00D82A68"/>
    <w:rsid w:val="00D82B90"/>
    <w:rsid w:val="00D82C08"/>
    <w:rsid w:val="00D82C6E"/>
    <w:rsid w:val="00D82CD0"/>
    <w:rsid w:val="00D82CE4"/>
    <w:rsid w:val="00D82E16"/>
    <w:rsid w:val="00D82F78"/>
    <w:rsid w:val="00D83061"/>
    <w:rsid w:val="00D830B0"/>
    <w:rsid w:val="00D83144"/>
    <w:rsid w:val="00D83173"/>
    <w:rsid w:val="00D831A2"/>
    <w:rsid w:val="00D83261"/>
    <w:rsid w:val="00D832C3"/>
    <w:rsid w:val="00D83395"/>
    <w:rsid w:val="00D833CC"/>
    <w:rsid w:val="00D833D9"/>
    <w:rsid w:val="00D834C3"/>
    <w:rsid w:val="00D8354A"/>
    <w:rsid w:val="00D835B6"/>
    <w:rsid w:val="00D835C0"/>
    <w:rsid w:val="00D835DB"/>
    <w:rsid w:val="00D835EB"/>
    <w:rsid w:val="00D83665"/>
    <w:rsid w:val="00D83721"/>
    <w:rsid w:val="00D837CF"/>
    <w:rsid w:val="00D837D2"/>
    <w:rsid w:val="00D837E7"/>
    <w:rsid w:val="00D838B5"/>
    <w:rsid w:val="00D83927"/>
    <w:rsid w:val="00D83984"/>
    <w:rsid w:val="00D839B3"/>
    <w:rsid w:val="00D83B18"/>
    <w:rsid w:val="00D83B7C"/>
    <w:rsid w:val="00D83BD9"/>
    <w:rsid w:val="00D83C2B"/>
    <w:rsid w:val="00D83CAB"/>
    <w:rsid w:val="00D83D55"/>
    <w:rsid w:val="00D83D84"/>
    <w:rsid w:val="00D83DCE"/>
    <w:rsid w:val="00D83EAC"/>
    <w:rsid w:val="00D84078"/>
    <w:rsid w:val="00D840C3"/>
    <w:rsid w:val="00D84197"/>
    <w:rsid w:val="00D843B4"/>
    <w:rsid w:val="00D843F6"/>
    <w:rsid w:val="00D8459E"/>
    <w:rsid w:val="00D84620"/>
    <w:rsid w:val="00D84652"/>
    <w:rsid w:val="00D84697"/>
    <w:rsid w:val="00D8480F"/>
    <w:rsid w:val="00D848F6"/>
    <w:rsid w:val="00D84919"/>
    <w:rsid w:val="00D84A06"/>
    <w:rsid w:val="00D84A07"/>
    <w:rsid w:val="00D84A5F"/>
    <w:rsid w:val="00D84C2D"/>
    <w:rsid w:val="00D84CD0"/>
    <w:rsid w:val="00D84D19"/>
    <w:rsid w:val="00D84D44"/>
    <w:rsid w:val="00D84D78"/>
    <w:rsid w:val="00D84E69"/>
    <w:rsid w:val="00D84E92"/>
    <w:rsid w:val="00D84EB0"/>
    <w:rsid w:val="00D84F08"/>
    <w:rsid w:val="00D850CC"/>
    <w:rsid w:val="00D850D9"/>
    <w:rsid w:val="00D851BE"/>
    <w:rsid w:val="00D851C3"/>
    <w:rsid w:val="00D851D2"/>
    <w:rsid w:val="00D851E9"/>
    <w:rsid w:val="00D8520D"/>
    <w:rsid w:val="00D8534F"/>
    <w:rsid w:val="00D8536F"/>
    <w:rsid w:val="00D85474"/>
    <w:rsid w:val="00D85583"/>
    <w:rsid w:val="00D8575A"/>
    <w:rsid w:val="00D857C2"/>
    <w:rsid w:val="00D858F0"/>
    <w:rsid w:val="00D8597C"/>
    <w:rsid w:val="00D859A1"/>
    <w:rsid w:val="00D85C1A"/>
    <w:rsid w:val="00D85CA0"/>
    <w:rsid w:val="00D85CC0"/>
    <w:rsid w:val="00D85D47"/>
    <w:rsid w:val="00D85D88"/>
    <w:rsid w:val="00D85DD4"/>
    <w:rsid w:val="00D85E9A"/>
    <w:rsid w:val="00D85F87"/>
    <w:rsid w:val="00D85FB4"/>
    <w:rsid w:val="00D85FE8"/>
    <w:rsid w:val="00D86031"/>
    <w:rsid w:val="00D8615E"/>
    <w:rsid w:val="00D861B6"/>
    <w:rsid w:val="00D861C8"/>
    <w:rsid w:val="00D861EC"/>
    <w:rsid w:val="00D8631C"/>
    <w:rsid w:val="00D86393"/>
    <w:rsid w:val="00D863B4"/>
    <w:rsid w:val="00D8645F"/>
    <w:rsid w:val="00D866EB"/>
    <w:rsid w:val="00D8671C"/>
    <w:rsid w:val="00D8685F"/>
    <w:rsid w:val="00D868BA"/>
    <w:rsid w:val="00D868F9"/>
    <w:rsid w:val="00D86983"/>
    <w:rsid w:val="00D869B1"/>
    <w:rsid w:val="00D86A1D"/>
    <w:rsid w:val="00D86AD4"/>
    <w:rsid w:val="00D86B32"/>
    <w:rsid w:val="00D86C11"/>
    <w:rsid w:val="00D86C1C"/>
    <w:rsid w:val="00D86C47"/>
    <w:rsid w:val="00D86CEB"/>
    <w:rsid w:val="00D86D84"/>
    <w:rsid w:val="00D86DDC"/>
    <w:rsid w:val="00D86E21"/>
    <w:rsid w:val="00D86E35"/>
    <w:rsid w:val="00D86EE1"/>
    <w:rsid w:val="00D86EF6"/>
    <w:rsid w:val="00D86F7C"/>
    <w:rsid w:val="00D86F9F"/>
    <w:rsid w:val="00D86FAF"/>
    <w:rsid w:val="00D86FF7"/>
    <w:rsid w:val="00D87047"/>
    <w:rsid w:val="00D8704D"/>
    <w:rsid w:val="00D8705B"/>
    <w:rsid w:val="00D87069"/>
    <w:rsid w:val="00D870D3"/>
    <w:rsid w:val="00D871F2"/>
    <w:rsid w:val="00D87226"/>
    <w:rsid w:val="00D873FE"/>
    <w:rsid w:val="00D87430"/>
    <w:rsid w:val="00D874BD"/>
    <w:rsid w:val="00D874CE"/>
    <w:rsid w:val="00D874FA"/>
    <w:rsid w:val="00D87679"/>
    <w:rsid w:val="00D877DD"/>
    <w:rsid w:val="00D87813"/>
    <w:rsid w:val="00D878AD"/>
    <w:rsid w:val="00D878F9"/>
    <w:rsid w:val="00D8799D"/>
    <w:rsid w:val="00D879B8"/>
    <w:rsid w:val="00D87A6B"/>
    <w:rsid w:val="00D87B15"/>
    <w:rsid w:val="00D87B32"/>
    <w:rsid w:val="00D87B3B"/>
    <w:rsid w:val="00D87BC9"/>
    <w:rsid w:val="00D87C72"/>
    <w:rsid w:val="00D87C7F"/>
    <w:rsid w:val="00D87CA7"/>
    <w:rsid w:val="00D87CC2"/>
    <w:rsid w:val="00D87D4B"/>
    <w:rsid w:val="00D87D86"/>
    <w:rsid w:val="00D87DB4"/>
    <w:rsid w:val="00D87DC5"/>
    <w:rsid w:val="00D87DC7"/>
    <w:rsid w:val="00D87F68"/>
    <w:rsid w:val="00D90026"/>
    <w:rsid w:val="00D900B5"/>
    <w:rsid w:val="00D90174"/>
    <w:rsid w:val="00D90200"/>
    <w:rsid w:val="00D90234"/>
    <w:rsid w:val="00D90237"/>
    <w:rsid w:val="00D9031A"/>
    <w:rsid w:val="00D90473"/>
    <w:rsid w:val="00D90540"/>
    <w:rsid w:val="00D905C3"/>
    <w:rsid w:val="00D906AC"/>
    <w:rsid w:val="00D906CD"/>
    <w:rsid w:val="00D90953"/>
    <w:rsid w:val="00D90974"/>
    <w:rsid w:val="00D90A47"/>
    <w:rsid w:val="00D90B32"/>
    <w:rsid w:val="00D90C5D"/>
    <w:rsid w:val="00D90D37"/>
    <w:rsid w:val="00D90EAC"/>
    <w:rsid w:val="00D90ED3"/>
    <w:rsid w:val="00D91031"/>
    <w:rsid w:val="00D91052"/>
    <w:rsid w:val="00D91150"/>
    <w:rsid w:val="00D9133E"/>
    <w:rsid w:val="00D91465"/>
    <w:rsid w:val="00D9147B"/>
    <w:rsid w:val="00D9148C"/>
    <w:rsid w:val="00D914AD"/>
    <w:rsid w:val="00D9150B"/>
    <w:rsid w:val="00D9165E"/>
    <w:rsid w:val="00D916CA"/>
    <w:rsid w:val="00D9171D"/>
    <w:rsid w:val="00D918A0"/>
    <w:rsid w:val="00D918BB"/>
    <w:rsid w:val="00D918E4"/>
    <w:rsid w:val="00D91944"/>
    <w:rsid w:val="00D91AB6"/>
    <w:rsid w:val="00D91AC0"/>
    <w:rsid w:val="00D91B01"/>
    <w:rsid w:val="00D91B3F"/>
    <w:rsid w:val="00D91B9E"/>
    <w:rsid w:val="00D91CC4"/>
    <w:rsid w:val="00D91CFD"/>
    <w:rsid w:val="00D91D41"/>
    <w:rsid w:val="00D91DD9"/>
    <w:rsid w:val="00D91E77"/>
    <w:rsid w:val="00D91EC1"/>
    <w:rsid w:val="00D9208E"/>
    <w:rsid w:val="00D9228B"/>
    <w:rsid w:val="00D922AC"/>
    <w:rsid w:val="00D92306"/>
    <w:rsid w:val="00D92481"/>
    <w:rsid w:val="00D92566"/>
    <w:rsid w:val="00D926C7"/>
    <w:rsid w:val="00D926EA"/>
    <w:rsid w:val="00D927B3"/>
    <w:rsid w:val="00D92803"/>
    <w:rsid w:val="00D928F6"/>
    <w:rsid w:val="00D92979"/>
    <w:rsid w:val="00D92A0A"/>
    <w:rsid w:val="00D92A34"/>
    <w:rsid w:val="00D92AFC"/>
    <w:rsid w:val="00D92B6C"/>
    <w:rsid w:val="00D92C71"/>
    <w:rsid w:val="00D92C8D"/>
    <w:rsid w:val="00D92C94"/>
    <w:rsid w:val="00D92D07"/>
    <w:rsid w:val="00D92D8B"/>
    <w:rsid w:val="00D92EA8"/>
    <w:rsid w:val="00D92F4B"/>
    <w:rsid w:val="00D92FD4"/>
    <w:rsid w:val="00D93045"/>
    <w:rsid w:val="00D9307E"/>
    <w:rsid w:val="00D9308A"/>
    <w:rsid w:val="00D93284"/>
    <w:rsid w:val="00D932C2"/>
    <w:rsid w:val="00D932CA"/>
    <w:rsid w:val="00D9331A"/>
    <w:rsid w:val="00D93458"/>
    <w:rsid w:val="00D9351A"/>
    <w:rsid w:val="00D9359D"/>
    <w:rsid w:val="00D935FB"/>
    <w:rsid w:val="00D936FD"/>
    <w:rsid w:val="00D93718"/>
    <w:rsid w:val="00D9375F"/>
    <w:rsid w:val="00D93790"/>
    <w:rsid w:val="00D93846"/>
    <w:rsid w:val="00D938BC"/>
    <w:rsid w:val="00D9393D"/>
    <w:rsid w:val="00D93B29"/>
    <w:rsid w:val="00D93BB7"/>
    <w:rsid w:val="00D93BC8"/>
    <w:rsid w:val="00D93CF1"/>
    <w:rsid w:val="00D93CFA"/>
    <w:rsid w:val="00D93DD7"/>
    <w:rsid w:val="00D93E28"/>
    <w:rsid w:val="00D93E70"/>
    <w:rsid w:val="00D93EBC"/>
    <w:rsid w:val="00D93F5E"/>
    <w:rsid w:val="00D93FA9"/>
    <w:rsid w:val="00D940F4"/>
    <w:rsid w:val="00D94206"/>
    <w:rsid w:val="00D9429F"/>
    <w:rsid w:val="00D9432C"/>
    <w:rsid w:val="00D944C6"/>
    <w:rsid w:val="00D94585"/>
    <w:rsid w:val="00D94597"/>
    <w:rsid w:val="00D94620"/>
    <w:rsid w:val="00D9473B"/>
    <w:rsid w:val="00D94744"/>
    <w:rsid w:val="00D9483F"/>
    <w:rsid w:val="00D949B8"/>
    <w:rsid w:val="00D94B56"/>
    <w:rsid w:val="00D94BF6"/>
    <w:rsid w:val="00D94C34"/>
    <w:rsid w:val="00D94CD4"/>
    <w:rsid w:val="00D94D08"/>
    <w:rsid w:val="00D94D1D"/>
    <w:rsid w:val="00D94D4B"/>
    <w:rsid w:val="00D94DC1"/>
    <w:rsid w:val="00D94DCF"/>
    <w:rsid w:val="00D94E9A"/>
    <w:rsid w:val="00D94EAE"/>
    <w:rsid w:val="00D94F79"/>
    <w:rsid w:val="00D94F85"/>
    <w:rsid w:val="00D95156"/>
    <w:rsid w:val="00D9528A"/>
    <w:rsid w:val="00D95318"/>
    <w:rsid w:val="00D953A8"/>
    <w:rsid w:val="00D953C1"/>
    <w:rsid w:val="00D95410"/>
    <w:rsid w:val="00D95481"/>
    <w:rsid w:val="00D956B9"/>
    <w:rsid w:val="00D956E5"/>
    <w:rsid w:val="00D95716"/>
    <w:rsid w:val="00D957FA"/>
    <w:rsid w:val="00D9583B"/>
    <w:rsid w:val="00D95965"/>
    <w:rsid w:val="00D95994"/>
    <w:rsid w:val="00D95AFF"/>
    <w:rsid w:val="00D95B0F"/>
    <w:rsid w:val="00D95B4F"/>
    <w:rsid w:val="00D95B7B"/>
    <w:rsid w:val="00D95C00"/>
    <w:rsid w:val="00D95C72"/>
    <w:rsid w:val="00D95D1F"/>
    <w:rsid w:val="00D95E1B"/>
    <w:rsid w:val="00D95ECA"/>
    <w:rsid w:val="00D95F0B"/>
    <w:rsid w:val="00D95F11"/>
    <w:rsid w:val="00D95F12"/>
    <w:rsid w:val="00D95F14"/>
    <w:rsid w:val="00D95F55"/>
    <w:rsid w:val="00D95FA7"/>
    <w:rsid w:val="00D964B1"/>
    <w:rsid w:val="00D964E1"/>
    <w:rsid w:val="00D96583"/>
    <w:rsid w:val="00D96622"/>
    <w:rsid w:val="00D9667C"/>
    <w:rsid w:val="00D967DE"/>
    <w:rsid w:val="00D967EB"/>
    <w:rsid w:val="00D968F6"/>
    <w:rsid w:val="00D96918"/>
    <w:rsid w:val="00D969D3"/>
    <w:rsid w:val="00D96A3C"/>
    <w:rsid w:val="00D96B2B"/>
    <w:rsid w:val="00D96B34"/>
    <w:rsid w:val="00D96B7B"/>
    <w:rsid w:val="00D96BDE"/>
    <w:rsid w:val="00D96C57"/>
    <w:rsid w:val="00D96C58"/>
    <w:rsid w:val="00D96C9B"/>
    <w:rsid w:val="00D96E1A"/>
    <w:rsid w:val="00D96EA4"/>
    <w:rsid w:val="00D96FA8"/>
    <w:rsid w:val="00D97171"/>
    <w:rsid w:val="00D971A7"/>
    <w:rsid w:val="00D9727E"/>
    <w:rsid w:val="00D972EB"/>
    <w:rsid w:val="00D97307"/>
    <w:rsid w:val="00D97338"/>
    <w:rsid w:val="00D973EA"/>
    <w:rsid w:val="00D97403"/>
    <w:rsid w:val="00D974C6"/>
    <w:rsid w:val="00D974E2"/>
    <w:rsid w:val="00D974F3"/>
    <w:rsid w:val="00D97505"/>
    <w:rsid w:val="00D9751F"/>
    <w:rsid w:val="00D97651"/>
    <w:rsid w:val="00D976B7"/>
    <w:rsid w:val="00D9774E"/>
    <w:rsid w:val="00D977BD"/>
    <w:rsid w:val="00D977C4"/>
    <w:rsid w:val="00D977FE"/>
    <w:rsid w:val="00D97855"/>
    <w:rsid w:val="00D97A2F"/>
    <w:rsid w:val="00D97B81"/>
    <w:rsid w:val="00D97C21"/>
    <w:rsid w:val="00D97C6F"/>
    <w:rsid w:val="00D97D12"/>
    <w:rsid w:val="00D97DD7"/>
    <w:rsid w:val="00D97E7E"/>
    <w:rsid w:val="00D97FAC"/>
    <w:rsid w:val="00DA000F"/>
    <w:rsid w:val="00DA0064"/>
    <w:rsid w:val="00DA00C5"/>
    <w:rsid w:val="00DA00C7"/>
    <w:rsid w:val="00DA0178"/>
    <w:rsid w:val="00DA01CD"/>
    <w:rsid w:val="00DA031C"/>
    <w:rsid w:val="00DA0340"/>
    <w:rsid w:val="00DA048D"/>
    <w:rsid w:val="00DA04A5"/>
    <w:rsid w:val="00DA04A6"/>
    <w:rsid w:val="00DA0649"/>
    <w:rsid w:val="00DA066B"/>
    <w:rsid w:val="00DA07BD"/>
    <w:rsid w:val="00DA0905"/>
    <w:rsid w:val="00DA09B0"/>
    <w:rsid w:val="00DA09DB"/>
    <w:rsid w:val="00DA0A5A"/>
    <w:rsid w:val="00DA0A5C"/>
    <w:rsid w:val="00DA0A6D"/>
    <w:rsid w:val="00DA0A82"/>
    <w:rsid w:val="00DA0A98"/>
    <w:rsid w:val="00DA0B14"/>
    <w:rsid w:val="00DA0C03"/>
    <w:rsid w:val="00DA0E4B"/>
    <w:rsid w:val="00DA0EB3"/>
    <w:rsid w:val="00DA0EED"/>
    <w:rsid w:val="00DA0F02"/>
    <w:rsid w:val="00DA0FAF"/>
    <w:rsid w:val="00DA0FE7"/>
    <w:rsid w:val="00DA0FED"/>
    <w:rsid w:val="00DA1013"/>
    <w:rsid w:val="00DA1017"/>
    <w:rsid w:val="00DA1042"/>
    <w:rsid w:val="00DA10DC"/>
    <w:rsid w:val="00DA1130"/>
    <w:rsid w:val="00DA12EC"/>
    <w:rsid w:val="00DA1314"/>
    <w:rsid w:val="00DA133A"/>
    <w:rsid w:val="00DA1383"/>
    <w:rsid w:val="00DA13FA"/>
    <w:rsid w:val="00DA14C0"/>
    <w:rsid w:val="00DA14CF"/>
    <w:rsid w:val="00DA15E7"/>
    <w:rsid w:val="00DA1637"/>
    <w:rsid w:val="00DA1699"/>
    <w:rsid w:val="00DA1781"/>
    <w:rsid w:val="00DA1891"/>
    <w:rsid w:val="00DA1898"/>
    <w:rsid w:val="00DA18C1"/>
    <w:rsid w:val="00DA1937"/>
    <w:rsid w:val="00DA193D"/>
    <w:rsid w:val="00DA199D"/>
    <w:rsid w:val="00DA19A8"/>
    <w:rsid w:val="00DA1A36"/>
    <w:rsid w:val="00DA1A78"/>
    <w:rsid w:val="00DA1B82"/>
    <w:rsid w:val="00DA1BAF"/>
    <w:rsid w:val="00DA1BD5"/>
    <w:rsid w:val="00DA1BEA"/>
    <w:rsid w:val="00DA1C2F"/>
    <w:rsid w:val="00DA1C4F"/>
    <w:rsid w:val="00DA1CF4"/>
    <w:rsid w:val="00DA1D1C"/>
    <w:rsid w:val="00DA1DAA"/>
    <w:rsid w:val="00DA1DD6"/>
    <w:rsid w:val="00DA1E1D"/>
    <w:rsid w:val="00DA1EE3"/>
    <w:rsid w:val="00DA1F89"/>
    <w:rsid w:val="00DA215C"/>
    <w:rsid w:val="00DA21B5"/>
    <w:rsid w:val="00DA22A1"/>
    <w:rsid w:val="00DA2393"/>
    <w:rsid w:val="00DA23DB"/>
    <w:rsid w:val="00DA242A"/>
    <w:rsid w:val="00DA245D"/>
    <w:rsid w:val="00DA2475"/>
    <w:rsid w:val="00DA24A7"/>
    <w:rsid w:val="00DA257A"/>
    <w:rsid w:val="00DA273D"/>
    <w:rsid w:val="00DA27E1"/>
    <w:rsid w:val="00DA2969"/>
    <w:rsid w:val="00DA2993"/>
    <w:rsid w:val="00DA29D5"/>
    <w:rsid w:val="00DA29E8"/>
    <w:rsid w:val="00DA2ABF"/>
    <w:rsid w:val="00DA2B63"/>
    <w:rsid w:val="00DA2C2F"/>
    <w:rsid w:val="00DA2C5E"/>
    <w:rsid w:val="00DA2CD2"/>
    <w:rsid w:val="00DA2CF4"/>
    <w:rsid w:val="00DA2F49"/>
    <w:rsid w:val="00DA2FB5"/>
    <w:rsid w:val="00DA2FB8"/>
    <w:rsid w:val="00DA3004"/>
    <w:rsid w:val="00DA30FA"/>
    <w:rsid w:val="00DA32E3"/>
    <w:rsid w:val="00DA3322"/>
    <w:rsid w:val="00DA337F"/>
    <w:rsid w:val="00DA33D4"/>
    <w:rsid w:val="00DA34D5"/>
    <w:rsid w:val="00DA34E2"/>
    <w:rsid w:val="00DA3520"/>
    <w:rsid w:val="00DA35F7"/>
    <w:rsid w:val="00DA361D"/>
    <w:rsid w:val="00DA3629"/>
    <w:rsid w:val="00DA3630"/>
    <w:rsid w:val="00DA3637"/>
    <w:rsid w:val="00DA36BE"/>
    <w:rsid w:val="00DA36D8"/>
    <w:rsid w:val="00DA3858"/>
    <w:rsid w:val="00DA389F"/>
    <w:rsid w:val="00DA38AB"/>
    <w:rsid w:val="00DA38EC"/>
    <w:rsid w:val="00DA3939"/>
    <w:rsid w:val="00DA3A16"/>
    <w:rsid w:val="00DA3A41"/>
    <w:rsid w:val="00DA3AD8"/>
    <w:rsid w:val="00DA3B40"/>
    <w:rsid w:val="00DA3B78"/>
    <w:rsid w:val="00DA3BC3"/>
    <w:rsid w:val="00DA3C42"/>
    <w:rsid w:val="00DA3D30"/>
    <w:rsid w:val="00DA3EC9"/>
    <w:rsid w:val="00DA3ED3"/>
    <w:rsid w:val="00DA3F9C"/>
    <w:rsid w:val="00DA3FC4"/>
    <w:rsid w:val="00DA3FF0"/>
    <w:rsid w:val="00DA4097"/>
    <w:rsid w:val="00DA40CC"/>
    <w:rsid w:val="00DA4149"/>
    <w:rsid w:val="00DA41B2"/>
    <w:rsid w:val="00DA4245"/>
    <w:rsid w:val="00DA4271"/>
    <w:rsid w:val="00DA43EC"/>
    <w:rsid w:val="00DA44B2"/>
    <w:rsid w:val="00DA44E5"/>
    <w:rsid w:val="00DA45ED"/>
    <w:rsid w:val="00DA47BD"/>
    <w:rsid w:val="00DA48B4"/>
    <w:rsid w:val="00DA48EB"/>
    <w:rsid w:val="00DA4A96"/>
    <w:rsid w:val="00DA4C06"/>
    <w:rsid w:val="00DA4CB8"/>
    <w:rsid w:val="00DA4CDD"/>
    <w:rsid w:val="00DA4CED"/>
    <w:rsid w:val="00DA4D84"/>
    <w:rsid w:val="00DA4D99"/>
    <w:rsid w:val="00DA4DF9"/>
    <w:rsid w:val="00DA4F83"/>
    <w:rsid w:val="00DA4F86"/>
    <w:rsid w:val="00DA4FB1"/>
    <w:rsid w:val="00DA4FF4"/>
    <w:rsid w:val="00DA514D"/>
    <w:rsid w:val="00DA518A"/>
    <w:rsid w:val="00DA51FC"/>
    <w:rsid w:val="00DA52A0"/>
    <w:rsid w:val="00DA52EC"/>
    <w:rsid w:val="00DA5360"/>
    <w:rsid w:val="00DA5478"/>
    <w:rsid w:val="00DA5495"/>
    <w:rsid w:val="00DA5546"/>
    <w:rsid w:val="00DA5567"/>
    <w:rsid w:val="00DA556B"/>
    <w:rsid w:val="00DA55F8"/>
    <w:rsid w:val="00DA56B8"/>
    <w:rsid w:val="00DA574B"/>
    <w:rsid w:val="00DA5775"/>
    <w:rsid w:val="00DA57F4"/>
    <w:rsid w:val="00DA5801"/>
    <w:rsid w:val="00DA586F"/>
    <w:rsid w:val="00DA5871"/>
    <w:rsid w:val="00DA5919"/>
    <w:rsid w:val="00DA5948"/>
    <w:rsid w:val="00DA5979"/>
    <w:rsid w:val="00DA59D3"/>
    <w:rsid w:val="00DA5A4A"/>
    <w:rsid w:val="00DA5B19"/>
    <w:rsid w:val="00DA5D34"/>
    <w:rsid w:val="00DA5DC8"/>
    <w:rsid w:val="00DA5DF1"/>
    <w:rsid w:val="00DA5E2F"/>
    <w:rsid w:val="00DA5F33"/>
    <w:rsid w:val="00DA60D6"/>
    <w:rsid w:val="00DA60DB"/>
    <w:rsid w:val="00DA619F"/>
    <w:rsid w:val="00DA61AC"/>
    <w:rsid w:val="00DA61CA"/>
    <w:rsid w:val="00DA61E0"/>
    <w:rsid w:val="00DA61FF"/>
    <w:rsid w:val="00DA620C"/>
    <w:rsid w:val="00DA627A"/>
    <w:rsid w:val="00DA6364"/>
    <w:rsid w:val="00DA6490"/>
    <w:rsid w:val="00DA65AA"/>
    <w:rsid w:val="00DA65AF"/>
    <w:rsid w:val="00DA661E"/>
    <w:rsid w:val="00DA6621"/>
    <w:rsid w:val="00DA6622"/>
    <w:rsid w:val="00DA6686"/>
    <w:rsid w:val="00DA6690"/>
    <w:rsid w:val="00DA6782"/>
    <w:rsid w:val="00DA688C"/>
    <w:rsid w:val="00DA6ADD"/>
    <w:rsid w:val="00DA6B5B"/>
    <w:rsid w:val="00DA6BDA"/>
    <w:rsid w:val="00DA6BEF"/>
    <w:rsid w:val="00DA6C91"/>
    <w:rsid w:val="00DA6CA6"/>
    <w:rsid w:val="00DA6D04"/>
    <w:rsid w:val="00DA6E2C"/>
    <w:rsid w:val="00DA6EAD"/>
    <w:rsid w:val="00DA6F12"/>
    <w:rsid w:val="00DA6FBC"/>
    <w:rsid w:val="00DA7081"/>
    <w:rsid w:val="00DA71F6"/>
    <w:rsid w:val="00DA72A0"/>
    <w:rsid w:val="00DA72DA"/>
    <w:rsid w:val="00DA7484"/>
    <w:rsid w:val="00DA74B3"/>
    <w:rsid w:val="00DA7506"/>
    <w:rsid w:val="00DA75DB"/>
    <w:rsid w:val="00DA760A"/>
    <w:rsid w:val="00DA7905"/>
    <w:rsid w:val="00DA7A7A"/>
    <w:rsid w:val="00DA7B03"/>
    <w:rsid w:val="00DA7B0D"/>
    <w:rsid w:val="00DA7B70"/>
    <w:rsid w:val="00DA7B9C"/>
    <w:rsid w:val="00DA7BE3"/>
    <w:rsid w:val="00DA7C40"/>
    <w:rsid w:val="00DA7D6B"/>
    <w:rsid w:val="00DA7E47"/>
    <w:rsid w:val="00DA7F2B"/>
    <w:rsid w:val="00DA7F5A"/>
    <w:rsid w:val="00DB022B"/>
    <w:rsid w:val="00DB031C"/>
    <w:rsid w:val="00DB033E"/>
    <w:rsid w:val="00DB05FC"/>
    <w:rsid w:val="00DB061B"/>
    <w:rsid w:val="00DB063D"/>
    <w:rsid w:val="00DB067D"/>
    <w:rsid w:val="00DB06C6"/>
    <w:rsid w:val="00DB0768"/>
    <w:rsid w:val="00DB078F"/>
    <w:rsid w:val="00DB07EA"/>
    <w:rsid w:val="00DB0805"/>
    <w:rsid w:val="00DB0880"/>
    <w:rsid w:val="00DB08DA"/>
    <w:rsid w:val="00DB08DD"/>
    <w:rsid w:val="00DB097E"/>
    <w:rsid w:val="00DB09C2"/>
    <w:rsid w:val="00DB09C9"/>
    <w:rsid w:val="00DB0A2F"/>
    <w:rsid w:val="00DB0B02"/>
    <w:rsid w:val="00DB0E7E"/>
    <w:rsid w:val="00DB0EE2"/>
    <w:rsid w:val="00DB0FF2"/>
    <w:rsid w:val="00DB101E"/>
    <w:rsid w:val="00DB10C3"/>
    <w:rsid w:val="00DB10ED"/>
    <w:rsid w:val="00DB1109"/>
    <w:rsid w:val="00DB114A"/>
    <w:rsid w:val="00DB1212"/>
    <w:rsid w:val="00DB1224"/>
    <w:rsid w:val="00DB1243"/>
    <w:rsid w:val="00DB1465"/>
    <w:rsid w:val="00DB14AE"/>
    <w:rsid w:val="00DB14E8"/>
    <w:rsid w:val="00DB155D"/>
    <w:rsid w:val="00DB1615"/>
    <w:rsid w:val="00DB161D"/>
    <w:rsid w:val="00DB1726"/>
    <w:rsid w:val="00DB1754"/>
    <w:rsid w:val="00DB176D"/>
    <w:rsid w:val="00DB1841"/>
    <w:rsid w:val="00DB19B3"/>
    <w:rsid w:val="00DB19C0"/>
    <w:rsid w:val="00DB1A05"/>
    <w:rsid w:val="00DB1A47"/>
    <w:rsid w:val="00DB1C1C"/>
    <w:rsid w:val="00DB1DB6"/>
    <w:rsid w:val="00DB1E2E"/>
    <w:rsid w:val="00DB1EB5"/>
    <w:rsid w:val="00DB2010"/>
    <w:rsid w:val="00DB2067"/>
    <w:rsid w:val="00DB22D6"/>
    <w:rsid w:val="00DB22D9"/>
    <w:rsid w:val="00DB22DC"/>
    <w:rsid w:val="00DB23A9"/>
    <w:rsid w:val="00DB23AF"/>
    <w:rsid w:val="00DB2487"/>
    <w:rsid w:val="00DB2492"/>
    <w:rsid w:val="00DB2516"/>
    <w:rsid w:val="00DB253C"/>
    <w:rsid w:val="00DB25CE"/>
    <w:rsid w:val="00DB26E6"/>
    <w:rsid w:val="00DB26F2"/>
    <w:rsid w:val="00DB26F7"/>
    <w:rsid w:val="00DB2784"/>
    <w:rsid w:val="00DB27AF"/>
    <w:rsid w:val="00DB2857"/>
    <w:rsid w:val="00DB28A0"/>
    <w:rsid w:val="00DB2954"/>
    <w:rsid w:val="00DB2962"/>
    <w:rsid w:val="00DB2A1C"/>
    <w:rsid w:val="00DB2A9A"/>
    <w:rsid w:val="00DB2AC5"/>
    <w:rsid w:val="00DB2B67"/>
    <w:rsid w:val="00DB2BB0"/>
    <w:rsid w:val="00DB2C46"/>
    <w:rsid w:val="00DB2C95"/>
    <w:rsid w:val="00DB2CE0"/>
    <w:rsid w:val="00DB2D06"/>
    <w:rsid w:val="00DB2DAA"/>
    <w:rsid w:val="00DB2DDA"/>
    <w:rsid w:val="00DB2E55"/>
    <w:rsid w:val="00DB2E75"/>
    <w:rsid w:val="00DB2E95"/>
    <w:rsid w:val="00DB2EC5"/>
    <w:rsid w:val="00DB30A9"/>
    <w:rsid w:val="00DB3118"/>
    <w:rsid w:val="00DB3222"/>
    <w:rsid w:val="00DB32DB"/>
    <w:rsid w:val="00DB34F8"/>
    <w:rsid w:val="00DB35B1"/>
    <w:rsid w:val="00DB3618"/>
    <w:rsid w:val="00DB3698"/>
    <w:rsid w:val="00DB370D"/>
    <w:rsid w:val="00DB3749"/>
    <w:rsid w:val="00DB3794"/>
    <w:rsid w:val="00DB3859"/>
    <w:rsid w:val="00DB38B3"/>
    <w:rsid w:val="00DB3942"/>
    <w:rsid w:val="00DB3964"/>
    <w:rsid w:val="00DB397F"/>
    <w:rsid w:val="00DB3A1F"/>
    <w:rsid w:val="00DB3A48"/>
    <w:rsid w:val="00DB3B9B"/>
    <w:rsid w:val="00DB3BC9"/>
    <w:rsid w:val="00DB3C81"/>
    <w:rsid w:val="00DB3D20"/>
    <w:rsid w:val="00DB3DD2"/>
    <w:rsid w:val="00DB3E66"/>
    <w:rsid w:val="00DB3F34"/>
    <w:rsid w:val="00DB3F81"/>
    <w:rsid w:val="00DB403D"/>
    <w:rsid w:val="00DB4046"/>
    <w:rsid w:val="00DB4168"/>
    <w:rsid w:val="00DB416B"/>
    <w:rsid w:val="00DB41CA"/>
    <w:rsid w:val="00DB41EB"/>
    <w:rsid w:val="00DB4269"/>
    <w:rsid w:val="00DB4284"/>
    <w:rsid w:val="00DB42CA"/>
    <w:rsid w:val="00DB4355"/>
    <w:rsid w:val="00DB4599"/>
    <w:rsid w:val="00DB45DE"/>
    <w:rsid w:val="00DB46BA"/>
    <w:rsid w:val="00DB47B8"/>
    <w:rsid w:val="00DB47D2"/>
    <w:rsid w:val="00DB47D5"/>
    <w:rsid w:val="00DB487E"/>
    <w:rsid w:val="00DB4903"/>
    <w:rsid w:val="00DB4993"/>
    <w:rsid w:val="00DB49C7"/>
    <w:rsid w:val="00DB49E5"/>
    <w:rsid w:val="00DB49F5"/>
    <w:rsid w:val="00DB4A76"/>
    <w:rsid w:val="00DB4A8A"/>
    <w:rsid w:val="00DB4AD9"/>
    <w:rsid w:val="00DB4AEF"/>
    <w:rsid w:val="00DB4B70"/>
    <w:rsid w:val="00DB4C3F"/>
    <w:rsid w:val="00DB4F58"/>
    <w:rsid w:val="00DB4F73"/>
    <w:rsid w:val="00DB4F83"/>
    <w:rsid w:val="00DB4F95"/>
    <w:rsid w:val="00DB503E"/>
    <w:rsid w:val="00DB51F5"/>
    <w:rsid w:val="00DB527C"/>
    <w:rsid w:val="00DB542A"/>
    <w:rsid w:val="00DB546A"/>
    <w:rsid w:val="00DB547F"/>
    <w:rsid w:val="00DB54B9"/>
    <w:rsid w:val="00DB567A"/>
    <w:rsid w:val="00DB5696"/>
    <w:rsid w:val="00DB56C8"/>
    <w:rsid w:val="00DB5729"/>
    <w:rsid w:val="00DB5831"/>
    <w:rsid w:val="00DB587C"/>
    <w:rsid w:val="00DB58D1"/>
    <w:rsid w:val="00DB592D"/>
    <w:rsid w:val="00DB5A42"/>
    <w:rsid w:val="00DB5A59"/>
    <w:rsid w:val="00DB5A93"/>
    <w:rsid w:val="00DB5AE7"/>
    <w:rsid w:val="00DB5B21"/>
    <w:rsid w:val="00DB5B2E"/>
    <w:rsid w:val="00DB5BCD"/>
    <w:rsid w:val="00DB5CAB"/>
    <w:rsid w:val="00DB5CF4"/>
    <w:rsid w:val="00DB5E6C"/>
    <w:rsid w:val="00DB5E9A"/>
    <w:rsid w:val="00DB5EF5"/>
    <w:rsid w:val="00DB5F7C"/>
    <w:rsid w:val="00DB5FA4"/>
    <w:rsid w:val="00DB5FC1"/>
    <w:rsid w:val="00DB60A8"/>
    <w:rsid w:val="00DB60BE"/>
    <w:rsid w:val="00DB617C"/>
    <w:rsid w:val="00DB6197"/>
    <w:rsid w:val="00DB61E0"/>
    <w:rsid w:val="00DB6264"/>
    <w:rsid w:val="00DB62DF"/>
    <w:rsid w:val="00DB659B"/>
    <w:rsid w:val="00DB65A6"/>
    <w:rsid w:val="00DB6661"/>
    <w:rsid w:val="00DB66DE"/>
    <w:rsid w:val="00DB685A"/>
    <w:rsid w:val="00DB6898"/>
    <w:rsid w:val="00DB689E"/>
    <w:rsid w:val="00DB6920"/>
    <w:rsid w:val="00DB6976"/>
    <w:rsid w:val="00DB6993"/>
    <w:rsid w:val="00DB69EB"/>
    <w:rsid w:val="00DB6A1C"/>
    <w:rsid w:val="00DB6A98"/>
    <w:rsid w:val="00DB6AD8"/>
    <w:rsid w:val="00DB6B37"/>
    <w:rsid w:val="00DB6BB6"/>
    <w:rsid w:val="00DB6BEF"/>
    <w:rsid w:val="00DB6C67"/>
    <w:rsid w:val="00DB6CA7"/>
    <w:rsid w:val="00DB6EC3"/>
    <w:rsid w:val="00DB6F6E"/>
    <w:rsid w:val="00DB7057"/>
    <w:rsid w:val="00DB70A4"/>
    <w:rsid w:val="00DB70FB"/>
    <w:rsid w:val="00DB7179"/>
    <w:rsid w:val="00DB7183"/>
    <w:rsid w:val="00DB7231"/>
    <w:rsid w:val="00DB7241"/>
    <w:rsid w:val="00DB72D9"/>
    <w:rsid w:val="00DB72ED"/>
    <w:rsid w:val="00DB73A2"/>
    <w:rsid w:val="00DB73BB"/>
    <w:rsid w:val="00DB743B"/>
    <w:rsid w:val="00DB7452"/>
    <w:rsid w:val="00DB74AD"/>
    <w:rsid w:val="00DB753E"/>
    <w:rsid w:val="00DB75B8"/>
    <w:rsid w:val="00DB75CB"/>
    <w:rsid w:val="00DB76A6"/>
    <w:rsid w:val="00DB77A5"/>
    <w:rsid w:val="00DB77B4"/>
    <w:rsid w:val="00DB77FE"/>
    <w:rsid w:val="00DB782E"/>
    <w:rsid w:val="00DB7881"/>
    <w:rsid w:val="00DB7908"/>
    <w:rsid w:val="00DB798C"/>
    <w:rsid w:val="00DB79F5"/>
    <w:rsid w:val="00DB7A0A"/>
    <w:rsid w:val="00DB7A7A"/>
    <w:rsid w:val="00DB7ACC"/>
    <w:rsid w:val="00DB7B3E"/>
    <w:rsid w:val="00DB7B44"/>
    <w:rsid w:val="00DB7C05"/>
    <w:rsid w:val="00DB7CBD"/>
    <w:rsid w:val="00DB7D30"/>
    <w:rsid w:val="00DB7E0E"/>
    <w:rsid w:val="00DB7E2D"/>
    <w:rsid w:val="00DB7E51"/>
    <w:rsid w:val="00DB7F09"/>
    <w:rsid w:val="00DC009C"/>
    <w:rsid w:val="00DC00E8"/>
    <w:rsid w:val="00DC0113"/>
    <w:rsid w:val="00DC0189"/>
    <w:rsid w:val="00DC01A6"/>
    <w:rsid w:val="00DC028A"/>
    <w:rsid w:val="00DC02E4"/>
    <w:rsid w:val="00DC03FD"/>
    <w:rsid w:val="00DC0448"/>
    <w:rsid w:val="00DC046C"/>
    <w:rsid w:val="00DC04B4"/>
    <w:rsid w:val="00DC04B9"/>
    <w:rsid w:val="00DC04FF"/>
    <w:rsid w:val="00DC053E"/>
    <w:rsid w:val="00DC0592"/>
    <w:rsid w:val="00DC05AA"/>
    <w:rsid w:val="00DC067B"/>
    <w:rsid w:val="00DC06BF"/>
    <w:rsid w:val="00DC0799"/>
    <w:rsid w:val="00DC0812"/>
    <w:rsid w:val="00DC08D3"/>
    <w:rsid w:val="00DC0902"/>
    <w:rsid w:val="00DC0963"/>
    <w:rsid w:val="00DC09D8"/>
    <w:rsid w:val="00DC0A0E"/>
    <w:rsid w:val="00DC0A70"/>
    <w:rsid w:val="00DC0B19"/>
    <w:rsid w:val="00DC0B4F"/>
    <w:rsid w:val="00DC0BA1"/>
    <w:rsid w:val="00DC0C2F"/>
    <w:rsid w:val="00DC0C7E"/>
    <w:rsid w:val="00DC0CC0"/>
    <w:rsid w:val="00DC0CC4"/>
    <w:rsid w:val="00DC0D6C"/>
    <w:rsid w:val="00DC0DD0"/>
    <w:rsid w:val="00DC0E3F"/>
    <w:rsid w:val="00DC102E"/>
    <w:rsid w:val="00DC10C8"/>
    <w:rsid w:val="00DC1113"/>
    <w:rsid w:val="00DC1160"/>
    <w:rsid w:val="00DC1202"/>
    <w:rsid w:val="00DC121F"/>
    <w:rsid w:val="00DC12DE"/>
    <w:rsid w:val="00DC1362"/>
    <w:rsid w:val="00DC1390"/>
    <w:rsid w:val="00DC14CB"/>
    <w:rsid w:val="00DC14E0"/>
    <w:rsid w:val="00DC14FB"/>
    <w:rsid w:val="00DC14FD"/>
    <w:rsid w:val="00DC1530"/>
    <w:rsid w:val="00DC1552"/>
    <w:rsid w:val="00DC15ED"/>
    <w:rsid w:val="00DC165C"/>
    <w:rsid w:val="00DC16AA"/>
    <w:rsid w:val="00DC174C"/>
    <w:rsid w:val="00DC192E"/>
    <w:rsid w:val="00DC1A31"/>
    <w:rsid w:val="00DC1B74"/>
    <w:rsid w:val="00DC1BB4"/>
    <w:rsid w:val="00DC1BBB"/>
    <w:rsid w:val="00DC1C56"/>
    <w:rsid w:val="00DC1CE1"/>
    <w:rsid w:val="00DC1D0E"/>
    <w:rsid w:val="00DC1D2B"/>
    <w:rsid w:val="00DC1D50"/>
    <w:rsid w:val="00DC1DBC"/>
    <w:rsid w:val="00DC1DCF"/>
    <w:rsid w:val="00DC1EEA"/>
    <w:rsid w:val="00DC1F2B"/>
    <w:rsid w:val="00DC1F53"/>
    <w:rsid w:val="00DC2055"/>
    <w:rsid w:val="00DC209B"/>
    <w:rsid w:val="00DC22D9"/>
    <w:rsid w:val="00DC23AE"/>
    <w:rsid w:val="00DC23DA"/>
    <w:rsid w:val="00DC23E4"/>
    <w:rsid w:val="00DC2431"/>
    <w:rsid w:val="00DC2443"/>
    <w:rsid w:val="00DC2456"/>
    <w:rsid w:val="00DC250F"/>
    <w:rsid w:val="00DC2558"/>
    <w:rsid w:val="00DC2584"/>
    <w:rsid w:val="00DC25CD"/>
    <w:rsid w:val="00DC274E"/>
    <w:rsid w:val="00DC297B"/>
    <w:rsid w:val="00DC2AB1"/>
    <w:rsid w:val="00DC2BAD"/>
    <w:rsid w:val="00DC2BEC"/>
    <w:rsid w:val="00DC2C71"/>
    <w:rsid w:val="00DC2C76"/>
    <w:rsid w:val="00DC2D90"/>
    <w:rsid w:val="00DC2DB3"/>
    <w:rsid w:val="00DC2E44"/>
    <w:rsid w:val="00DC2E8D"/>
    <w:rsid w:val="00DC2ED3"/>
    <w:rsid w:val="00DC2F32"/>
    <w:rsid w:val="00DC2FEC"/>
    <w:rsid w:val="00DC2FED"/>
    <w:rsid w:val="00DC2FF2"/>
    <w:rsid w:val="00DC3078"/>
    <w:rsid w:val="00DC3081"/>
    <w:rsid w:val="00DC311C"/>
    <w:rsid w:val="00DC3169"/>
    <w:rsid w:val="00DC329B"/>
    <w:rsid w:val="00DC32BE"/>
    <w:rsid w:val="00DC32E7"/>
    <w:rsid w:val="00DC3359"/>
    <w:rsid w:val="00DC3455"/>
    <w:rsid w:val="00DC346F"/>
    <w:rsid w:val="00DC358B"/>
    <w:rsid w:val="00DC35DD"/>
    <w:rsid w:val="00DC3640"/>
    <w:rsid w:val="00DC3834"/>
    <w:rsid w:val="00DC3836"/>
    <w:rsid w:val="00DC3858"/>
    <w:rsid w:val="00DC3884"/>
    <w:rsid w:val="00DC38A1"/>
    <w:rsid w:val="00DC38FB"/>
    <w:rsid w:val="00DC3A2B"/>
    <w:rsid w:val="00DC3A8F"/>
    <w:rsid w:val="00DC3C16"/>
    <w:rsid w:val="00DC3C65"/>
    <w:rsid w:val="00DC3E22"/>
    <w:rsid w:val="00DC403F"/>
    <w:rsid w:val="00DC40EA"/>
    <w:rsid w:val="00DC40FA"/>
    <w:rsid w:val="00DC4106"/>
    <w:rsid w:val="00DC410D"/>
    <w:rsid w:val="00DC41D6"/>
    <w:rsid w:val="00DC4307"/>
    <w:rsid w:val="00DC447C"/>
    <w:rsid w:val="00DC450A"/>
    <w:rsid w:val="00DC45AD"/>
    <w:rsid w:val="00DC45D2"/>
    <w:rsid w:val="00DC4756"/>
    <w:rsid w:val="00DC47BF"/>
    <w:rsid w:val="00DC4852"/>
    <w:rsid w:val="00DC4A75"/>
    <w:rsid w:val="00DC4A87"/>
    <w:rsid w:val="00DC4A9D"/>
    <w:rsid w:val="00DC4B80"/>
    <w:rsid w:val="00DC4BF2"/>
    <w:rsid w:val="00DC4D5F"/>
    <w:rsid w:val="00DC4ECE"/>
    <w:rsid w:val="00DC4F67"/>
    <w:rsid w:val="00DC4FE4"/>
    <w:rsid w:val="00DC503E"/>
    <w:rsid w:val="00DC5151"/>
    <w:rsid w:val="00DC5156"/>
    <w:rsid w:val="00DC5159"/>
    <w:rsid w:val="00DC51A4"/>
    <w:rsid w:val="00DC5345"/>
    <w:rsid w:val="00DC53BC"/>
    <w:rsid w:val="00DC542B"/>
    <w:rsid w:val="00DC542E"/>
    <w:rsid w:val="00DC5434"/>
    <w:rsid w:val="00DC55B8"/>
    <w:rsid w:val="00DC574E"/>
    <w:rsid w:val="00DC5863"/>
    <w:rsid w:val="00DC5911"/>
    <w:rsid w:val="00DC5B6C"/>
    <w:rsid w:val="00DC5BBB"/>
    <w:rsid w:val="00DC5BC6"/>
    <w:rsid w:val="00DC5C7A"/>
    <w:rsid w:val="00DC5CFD"/>
    <w:rsid w:val="00DC5D14"/>
    <w:rsid w:val="00DC5D5E"/>
    <w:rsid w:val="00DC5D8B"/>
    <w:rsid w:val="00DC5D9C"/>
    <w:rsid w:val="00DC5DC2"/>
    <w:rsid w:val="00DC5E3C"/>
    <w:rsid w:val="00DC5E7A"/>
    <w:rsid w:val="00DC5F68"/>
    <w:rsid w:val="00DC5F75"/>
    <w:rsid w:val="00DC5F86"/>
    <w:rsid w:val="00DC60DC"/>
    <w:rsid w:val="00DC60EF"/>
    <w:rsid w:val="00DC611B"/>
    <w:rsid w:val="00DC6156"/>
    <w:rsid w:val="00DC61D4"/>
    <w:rsid w:val="00DC61E9"/>
    <w:rsid w:val="00DC62EB"/>
    <w:rsid w:val="00DC6304"/>
    <w:rsid w:val="00DC6312"/>
    <w:rsid w:val="00DC6357"/>
    <w:rsid w:val="00DC6379"/>
    <w:rsid w:val="00DC638B"/>
    <w:rsid w:val="00DC6622"/>
    <w:rsid w:val="00DC6689"/>
    <w:rsid w:val="00DC670B"/>
    <w:rsid w:val="00DC6762"/>
    <w:rsid w:val="00DC67F5"/>
    <w:rsid w:val="00DC6856"/>
    <w:rsid w:val="00DC6A2F"/>
    <w:rsid w:val="00DC6AA8"/>
    <w:rsid w:val="00DC6B48"/>
    <w:rsid w:val="00DC6BE3"/>
    <w:rsid w:val="00DC6C21"/>
    <w:rsid w:val="00DC6C8F"/>
    <w:rsid w:val="00DC6DC0"/>
    <w:rsid w:val="00DC6DDA"/>
    <w:rsid w:val="00DC6E4E"/>
    <w:rsid w:val="00DC6F6A"/>
    <w:rsid w:val="00DC704C"/>
    <w:rsid w:val="00DC704E"/>
    <w:rsid w:val="00DC710D"/>
    <w:rsid w:val="00DC722D"/>
    <w:rsid w:val="00DC72E8"/>
    <w:rsid w:val="00DC7434"/>
    <w:rsid w:val="00DC7463"/>
    <w:rsid w:val="00DC752B"/>
    <w:rsid w:val="00DC7565"/>
    <w:rsid w:val="00DC7614"/>
    <w:rsid w:val="00DC7620"/>
    <w:rsid w:val="00DC7684"/>
    <w:rsid w:val="00DC76AF"/>
    <w:rsid w:val="00DC76E4"/>
    <w:rsid w:val="00DC7724"/>
    <w:rsid w:val="00DC7857"/>
    <w:rsid w:val="00DC78B1"/>
    <w:rsid w:val="00DC78BE"/>
    <w:rsid w:val="00DC78E1"/>
    <w:rsid w:val="00DC78F9"/>
    <w:rsid w:val="00DC791F"/>
    <w:rsid w:val="00DC794F"/>
    <w:rsid w:val="00DC798B"/>
    <w:rsid w:val="00DC7A87"/>
    <w:rsid w:val="00DC7ADE"/>
    <w:rsid w:val="00DC7B4C"/>
    <w:rsid w:val="00DC7DBC"/>
    <w:rsid w:val="00DC7E4A"/>
    <w:rsid w:val="00DC7E85"/>
    <w:rsid w:val="00DC7EE1"/>
    <w:rsid w:val="00DC7F67"/>
    <w:rsid w:val="00DC7F9A"/>
    <w:rsid w:val="00DC7FC7"/>
    <w:rsid w:val="00DD0084"/>
    <w:rsid w:val="00DD00A5"/>
    <w:rsid w:val="00DD0149"/>
    <w:rsid w:val="00DD02E9"/>
    <w:rsid w:val="00DD03EC"/>
    <w:rsid w:val="00DD0490"/>
    <w:rsid w:val="00DD04F1"/>
    <w:rsid w:val="00DD04F7"/>
    <w:rsid w:val="00DD0595"/>
    <w:rsid w:val="00DD05CC"/>
    <w:rsid w:val="00DD066B"/>
    <w:rsid w:val="00DD06C6"/>
    <w:rsid w:val="00DD0718"/>
    <w:rsid w:val="00DD0724"/>
    <w:rsid w:val="00DD0752"/>
    <w:rsid w:val="00DD0767"/>
    <w:rsid w:val="00DD079B"/>
    <w:rsid w:val="00DD07AA"/>
    <w:rsid w:val="00DD085D"/>
    <w:rsid w:val="00DD08BB"/>
    <w:rsid w:val="00DD095B"/>
    <w:rsid w:val="00DD099C"/>
    <w:rsid w:val="00DD09BA"/>
    <w:rsid w:val="00DD0B03"/>
    <w:rsid w:val="00DD0B33"/>
    <w:rsid w:val="00DD0B70"/>
    <w:rsid w:val="00DD0BA9"/>
    <w:rsid w:val="00DD0BB8"/>
    <w:rsid w:val="00DD0E5C"/>
    <w:rsid w:val="00DD0F0C"/>
    <w:rsid w:val="00DD0FE0"/>
    <w:rsid w:val="00DD12D0"/>
    <w:rsid w:val="00DD12DC"/>
    <w:rsid w:val="00DD13D6"/>
    <w:rsid w:val="00DD13EB"/>
    <w:rsid w:val="00DD149D"/>
    <w:rsid w:val="00DD1544"/>
    <w:rsid w:val="00DD1551"/>
    <w:rsid w:val="00DD15CC"/>
    <w:rsid w:val="00DD1611"/>
    <w:rsid w:val="00DD1897"/>
    <w:rsid w:val="00DD1A6A"/>
    <w:rsid w:val="00DD1A8B"/>
    <w:rsid w:val="00DD1AD5"/>
    <w:rsid w:val="00DD1BF8"/>
    <w:rsid w:val="00DD1C25"/>
    <w:rsid w:val="00DD1C2A"/>
    <w:rsid w:val="00DD1CAA"/>
    <w:rsid w:val="00DD1CC4"/>
    <w:rsid w:val="00DD1D6A"/>
    <w:rsid w:val="00DD1D95"/>
    <w:rsid w:val="00DD1DCF"/>
    <w:rsid w:val="00DD1EA9"/>
    <w:rsid w:val="00DD1EE0"/>
    <w:rsid w:val="00DD1F8A"/>
    <w:rsid w:val="00DD1FD7"/>
    <w:rsid w:val="00DD2004"/>
    <w:rsid w:val="00DD2026"/>
    <w:rsid w:val="00DD203E"/>
    <w:rsid w:val="00DD2040"/>
    <w:rsid w:val="00DD2095"/>
    <w:rsid w:val="00DD20FE"/>
    <w:rsid w:val="00DD227F"/>
    <w:rsid w:val="00DD22FC"/>
    <w:rsid w:val="00DD2409"/>
    <w:rsid w:val="00DD2512"/>
    <w:rsid w:val="00DD2569"/>
    <w:rsid w:val="00DD27DA"/>
    <w:rsid w:val="00DD2800"/>
    <w:rsid w:val="00DD2865"/>
    <w:rsid w:val="00DD2AB4"/>
    <w:rsid w:val="00DD2B50"/>
    <w:rsid w:val="00DD2B51"/>
    <w:rsid w:val="00DD2D34"/>
    <w:rsid w:val="00DD2D3A"/>
    <w:rsid w:val="00DD2D6C"/>
    <w:rsid w:val="00DD2E39"/>
    <w:rsid w:val="00DD2EA3"/>
    <w:rsid w:val="00DD310A"/>
    <w:rsid w:val="00DD310F"/>
    <w:rsid w:val="00DD3126"/>
    <w:rsid w:val="00DD3133"/>
    <w:rsid w:val="00DD3186"/>
    <w:rsid w:val="00DD33DE"/>
    <w:rsid w:val="00DD347B"/>
    <w:rsid w:val="00DD34C1"/>
    <w:rsid w:val="00DD34EC"/>
    <w:rsid w:val="00DD354B"/>
    <w:rsid w:val="00DD35C3"/>
    <w:rsid w:val="00DD36BE"/>
    <w:rsid w:val="00DD3719"/>
    <w:rsid w:val="00DD3775"/>
    <w:rsid w:val="00DD37DA"/>
    <w:rsid w:val="00DD383C"/>
    <w:rsid w:val="00DD3AD5"/>
    <w:rsid w:val="00DD3AEA"/>
    <w:rsid w:val="00DD3C94"/>
    <w:rsid w:val="00DD3E49"/>
    <w:rsid w:val="00DD3EB7"/>
    <w:rsid w:val="00DD4075"/>
    <w:rsid w:val="00DD40B3"/>
    <w:rsid w:val="00DD4171"/>
    <w:rsid w:val="00DD4534"/>
    <w:rsid w:val="00DD4536"/>
    <w:rsid w:val="00DD463E"/>
    <w:rsid w:val="00DD46BB"/>
    <w:rsid w:val="00DD4844"/>
    <w:rsid w:val="00DD494E"/>
    <w:rsid w:val="00DD49A7"/>
    <w:rsid w:val="00DD49B4"/>
    <w:rsid w:val="00DD4AAA"/>
    <w:rsid w:val="00DD4AD3"/>
    <w:rsid w:val="00DD4BCD"/>
    <w:rsid w:val="00DD4BE5"/>
    <w:rsid w:val="00DD4C2A"/>
    <w:rsid w:val="00DD4C86"/>
    <w:rsid w:val="00DD4D75"/>
    <w:rsid w:val="00DD4E02"/>
    <w:rsid w:val="00DD4E25"/>
    <w:rsid w:val="00DD4E52"/>
    <w:rsid w:val="00DD4E9A"/>
    <w:rsid w:val="00DD4FD0"/>
    <w:rsid w:val="00DD5032"/>
    <w:rsid w:val="00DD5049"/>
    <w:rsid w:val="00DD5196"/>
    <w:rsid w:val="00DD51A0"/>
    <w:rsid w:val="00DD5231"/>
    <w:rsid w:val="00DD544C"/>
    <w:rsid w:val="00DD54BE"/>
    <w:rsid w:val="00DD54C6"/>
    <w:rsid w:val="00DD55AA"/>
    <w:rsid w:val="00DD55FD"/>
    <w:rsid w:val="00DD5604"/>
    <w:rsid w:val="00DD5690"/>
    <w:rsid w:val="00DD5698"/>
    <w:rsid w:val="00DD56AE"/>
    <w:rsid w:val="00DD579F"/>
    <w:rsid w:val="00DD581B"/>
    <w:rsid w:val="00DD5825"/>
    <w:rsid w:val="00DD58C3"/>
    <w:rsid w:val="00DD596A"/>
    <w:rsid w:val="00DD59A0"/>
    <w:rsid w:val="00DD59D5"/>
    <w:rsid w:val="00DD5A05"/>
    <w:rsid w:val="00DD5A35"/>
    <w:rsid w:val="00DD5A69"/>
    <w:rsid w:val="00DD5ACF"/>
    <w:rsid w:val="00DD5BE9"/>
    <w:rsid w:val="00DD5CA5"/>
    <w:rsid w:val="00DD5DA2"/>
    <w:rsid w:val="00DD5DBC"/>
    <w:rsid w:val="00DD5DE3"/>
    <w:rsid w:val="00DD5EA8"/>
    <w:rsid w:val="00DD5EE9"/>
    <w:rsid w:val="00DD600E"/>
    <w:rsid w:val="00DD6259"/>
    <w:rsid w:val="00DD6269"/>
    <w:rsid w:val="00DD6311"/>
    <w:rsid w:val="00DD6472"/>
    <w:rsid w:val="00DD6622"/>
    <w:rsid w:val="00DD6692"/>
    <w:rsid w:val="00DD66A5"/>
    <w:rsid w:val="00DD675F"/>
    <w:rsid w:val="00DD68E1"/>
    <w:rsid w:val="00DD690B"/>
    <w:rsid w:val="00DD6962"/>
    <w:rsid w:val="00DD69C2"/>
    <w:rsid w:val="00DD6AC3"/>
    <w:rsid w:val="00DD6C39"/>
    <w:rsid w:val="00DD6D6E"/>
    <w:rsid w:val="00DD6D72"/>
    <w:rsid w:val="00DD6E1E"/>
    <w:rsid w:val="00DD6E53"/>
    <w:rsid w:val="00DD70CD"/>
    <w:rsid w:val="00DD72C3"/>
    <w:rsid w:val="00DD743E"/>
    <w:rsid w:val="00DD748B"/>
    <w:rsid w:val="00DD7568"/>
    <w:rsid w:val="00DD75AD"/>
    <w:rsid w:val="00DD75F5"/>
    <w:rsid w:val="00DD7741"/>
    <w:rsid w:val="00DD789E"/>
    <w:rsid w:val="00DD7929"/>
    <w:rsid w:val="00DD794D"/>
    <w:rsid w:val="00DD7A10"/>
    <w:rsid w:val="00DD7A1E"/>
    <w:rsid w:val="00DD7A43"/>
    <w:rsid w:val="00DD7AE7"/>
    <w:rsid w:val="00DD7B0B"/>
    <w:rsid w:val="00DD7B24"/>
    <w:rsid w:val="00DD7C3A"/>
    <w:rsid w:val="00DD7CDC"/>
    <w:rsid w:val="00DD7DC3"/>
    <w:rsid w:val="00DD7E15"/>
    <w:rsid w:val="00DD7EE3"/>
    <w:rsid w:val="00DE001E"/>
    <w:rsid w:val="00DE002E"/>
    <w:rsid w:val="00DE00CC"/>
    <w:rsid w:val="00DE015D"/>
    <w:rsid w:val="00DE0168"/>
    <w:rsid w:val="00DE0173"/>
    <w:rsid w:val="00DE018F"/>
    <w:rsid w:val="00DE01CA"/>
    <w:rsid w:val="00DE02AA"/>
    <w:rsid w:val="00DE02DB"/>
    <w:rsid w:val="00DE03E9"/>
    <w:rsid w:val="00DE076B"/>
    <w:rsid w:val="00DE078F"/>
    <w:rsid w:val="00DE07F8"/>
    <w:rsid w:val="00DE084D"/>
    <w:rsid w:val="00DE0885"/>
    <w:rsid w:val="00DE08AE"/>
    <w:rsid w:val="00DE08C7"/>
    <w:rsid w:val="00DE08E9"/>
    <w:rsid w:val="00DE09C0"/>
    <w:rsid w:val="00DE0A5E"/>
    <w:rsid w:val="00DE0A7F"/>
    <w:rsid w:val="00DE0B20"/>
    <w:rsid w:val="00DE0D87"/>
    <w:rsid w:val="00DE0DB4"/>
    <w:rsid w:val="00DE0DFD"/>
    <w:rsid w:val="00DE0E73"/>
    <w:rsid w:val="00DE0EAA"/>
    <w:rsid w:val="00DE0EF4"/>
    <w:rsid w:val="00DE0F2D"/>
    <w:rsid w:val="00DE10E5"/>
    <w:rsid w:val="00DE1115"/>
    <w:rsid w:val="00DE111C"/>
    <w:rsid w:val="00DE11E8"/>
    <w:rsid w:val="00DE11F9"/>
    <w:rsid w:val="00DE133D"/>
    <w:rsid w:val="00DE1353"/>
    <w:rsid w:val="00DE13CB"/>
    <w:rsid w:val="00DE13DB"/>
    <w:rsid w:val="00DE149D"/>
    <w:rsid w:val="00DE1506"/>
    <w:rsid w:val="00DE150B"/>
    <w:rsid w:val="00DE16A3"/>
    <w:rsid w:val="00DE16DF"/>
    <w:rsid w:val="00DE1700"/>
    <w:rsid w:val="00DE172A"/>
    <w:rsid w:val="00DE198D"/>
    <w:rsid w:val="00DE19B0"/>
    <w:rsid w:val="00DE1A00"/>
    <w:rsid w:val="00DE1A24"/>
    <w:rsid w:val="00DE1B35"/>
    <w:rsid w:val="00DE1B46"/>
    <w:rsid w:val="00DE1BAE"/>
    <w:rsid w:val="00DE1BB6"/>
    <w:rsid w:val="00DE1BC8"/>
    <w:rsid w:val="00DE1CE5"/>
    <w:rsid w:val="00DE1DC8"/>
    <w:rsid w:val="00DE1F01"/>
    <w:rsid w:val="00DE1F6F"/>
    <w:rsid w:val="00DE1F80"/>
    <w:rsid w:val="00DE1F8D"/>
    <w:rsid w:val="00DE202B"/>
    <w:rsid w:val="00DE2140"/>
    <w:rsid w:val="00DE2177"/>
    <w:rsid w:val="00DE2216"/>
    <w:rsid w:val="00DE2251"/>
    <w:rsid w:val="00DE2309"/>
    <w:rsid w:val="00DE234C"/>
    <w:rsid w:val="00DE235D"/>
    <w:rsid w:val="00DE23C0"/>
    <w:rsid w:val="00DE240A"/>
    <w:rsid w:val="00DE2556"/>
    <w:rsid w:val="00DE2611"/>
    <w:rsid w:val="00DE2664"/>
    <w:rsid w:val="00DE2695"/>
    <w:rsid w:val="00DE26CD"/>
    <w:rsid w:val="00DE26DF"/>
    <w:rsid w:val="00DE276E"/>
    <w:rsid w:val="00DE2840"/>
    <w:rsid w:val="00DE284C"/>
    <w:rsid w:val="00DE288C"/>
    <w:rsid w:val="00DE28D0"/>
    <w:rsid w:val="00DE2ABF"/>
    <w:rsid w:val="00DE2C43"/>
    <w:rsid w:val="00DE2CA7"/>
    <w:rsid w:val="00DE2CDB"/>
    <w:rsid w:val="00DE2D03"/>
    <w:rsid w:val="00DE2DEE"/>
    <w:rsid w:val="00DE2E06"/>
    <w:rsid w:val="00DE2EC8"/>
    <w:rsid w:val="00DE2F28"/>
    <w:rsid w:val="00DE2F2D"/>
    <w:rsid w:val="00DE2F96"/>
    <w:rsid w:val="00DE2FCD"/>
    <w:rsid w:val="00DE30C2"/>
    <w:rsid w:val="00DE320D"/>
    <w:rsid w:val="00DE3224"/>
    <w:rsid w:val="00DE325F"/>
    <w:rsid w:val="00DE33FD"/>
    <w:rsid w:val="00DE3425"/>
    <w:rsid w:val="00DE3478"/>
    <w:rsid w:val="00DE34A5"/>
    <w:rsid w:val="00DE34AA"/>
    <w:rsid w:val="00DE3527"/>
    <w:rsid w:val="00DE3595"/>
    <w:rsid w:val="00DE3629"/>
    <w:rsid w:val="00DE3663"/>
    <w:rsid w:val="00DE3A58"/>
    <w:rsid w:val="00DE3A6A"/>
    <w:rsid w:val="00DE3AAB"/>
    <w:rsid w:val="00DE3C2C"/>
    <w:rsid w:val="00DE3C75"/>
    <w:rsid w:val="00DE3C77"/>
    <w:rsid w:val="00DE3E0B"/>
    <w:rsid w:val="00DE3E17"/>
    <w:rsid w:val="00DE3E23"/>
    <w:rsid w:val="00DE3E32"/>
    <w:rsid w:val="00DE3E3B"/>
    <w:rsid w:val="00DE3EF4"/>
    <w:rsid w:val="00DE3FF7"/>
    <w:rsid w:val="00DE4146"/>
    <w:rsid w:val="00DE4185"/>
    <w:rsid w:val="00DE4445"/>
    <w:rsid w:val="00DE453F"/>
    <w:rsid w:val="00DE48AD"/>
    <w:rsid w:val="00DE49EB"/>
    <w:rsid w:val="00DE4AAB"/>
    <w:rsid w:val="00DE4C03"/>
    <w:rsid w:val="00DE4C1B"/>
    <w:rsid w:val="00DE4D6E"/>
    <w:rsid w:val="00DE4EC2"/>
    <w:rsid w:val="00DE4F49"/>
    <w:rsid w:val="00DE5079"/>
    <w:rsid w:val="00DE509E"/>
    <w:rsid w:val="00DE51FD"/>
    <w:rsid w:val="00DE5291"/>
    <w:rsid w:val="00DE53C4"/>
    <w:rsid w:val="00DE54FC"/>
    <w:rsid w:val="00DE55D7"/>
    <w:rsid w:val="00DE569A"/>
    <w:rsid w:val="00DE56CE"/>
    <w:rsid w:val="00DE5703"/>
    <w:rsid w:val="00DE5763"/>
    <w:rsid w:val="00DE5835"/>
    <w:rsid w:val="00DE5A1A"/>
    <w:rsid w:val="00DE5AE9"/>
    <w:rsid w:val="00DE5B2E"/>
    <w:rsid w:val="00DE5B41"/>
    <w:rsid w:val="00DE5B8A"/>
    <w:rsid w:val="00DE5B9F"/>
    <w:rsid w:val="00DE5CC3"/>
    <w:rsid w:val="00DE5D20"/>
    <w:rsid w:val="00DE5D9F"/>
    <w:rsid w:val="00DE5E92"/>
    <w:rsid w:val="00DE5EBE"/>
    <w:rsid w:val="00DE5EC0"/>
    <w:rsid w:val="00DE5FE5"/>
    <w:rsid w:val="00DE5FF3"/>
    <w:rsid w:val="00DE6354"/>
    <w:rsid w:val="00DE6406"/>
    <w:rsid w:val="00DE6441"/>
    <w:rsid w:val="00DE650E"/>
    <w:rsid w:val="00DE650F"/>
    <w:rsid w:val="00DE651E"/>
    <w:rsid w:val="00DE653B"/>
    <w:rsid w:val="00DE6545"/>
    <w:rsid w:val="00DE6568"/>
    <w:rsid w:val="00DE6579"/>
    <w:rsid w:val="00DE66F0"/>
    <w:rsid w:val="00DE671F"/>
    <w:rsid w:val="00DE6741"/>
    <w:rsid w:val="00DE6834"/>
    <w:rsid w:val="00DE68DD"/>
    <w:rsid w:val="00DE6937"/>
    <w:rsid w:val="00DE6A7A"/>
    <w:rsid w:val="00DE6A8D"/>
    <w:rsid w:val="00DE6B5C"/>
    <w:rsid w:val="00DE6C3A"/>
    <w:rsid w:val="00DE6C87"/>
    <w:rsid w:val="00DE6CE2"/>
    <w:rsid w:val="00DE6D74"/>
    <w:rsid w:val="00DE6F02"/>
    <w:rsid w:val="00DE6F05"/>
    <w:rsid w:val="00DE6F1E"/>
    <w:rsid w:val="00DE6FA0"/>
    <w:rsid w:val="00DE6FC2"/>
    <w:rsid w:val="00DE7097"/>
    <w:rsid w:val="00DE7189"/>
    <w:rsid w:val="00DE7331"/>
    <w:rsid w:val="00DE74F0"/>
    <w:rsid w:val="00DE7512"/>
    <w:rsid w:val="00DE75EE"/>
    <w:rsid w:val="00DE7696"/>
    <w:rsid w:val="00DE7757"/>
    <w:rsid w:val="00DE7808"/>
    <w:rsid w:val="00DE787D"/>
    <w:rsid w:val="00DE78D5"/>
    <w:rsid w:val="00DE78F6"/>
    <w:rsid w:val="00DE796F"/>
    <w:rsid w:val="00DE7974"/>
    <w:rsid w:val="00DE79AD"/>
    <w:rsid w:val="00DE7BA6"/>
    <w:rsid w:val="00DE7BEC"/>
    <w:rsid w:val="00DE7CEA"/>
    <w:rsid w:val="00DE7D67"/>
    <w:rsid w:val="00DE7DFF"/>
    <w:rsid w:val="00DE7E17"/>
    <w:rsid w:val="00DE7E70"/>
    <w:rsid w:val="00DE7EE2"/>
    <w:rsid w:val="00DE7FA1"/>
    <w:rsid w:val="00DF00BB"/>
    <w:rsid w:val="00DF00E5"/>
    <w:rsid w:val="00DF00F8"/>
    <w:rsid w:val="00DF0213"/>
    <w:rsid w:val="00DF023E"/>
    <w:rsid w:val="00DF0253"/>
    <w:rsid w:val="00DF02A9"/>
    <w:rsid w:val="00DF02BF"/>
    <w:rsid w:val="00DF02F5"/>
    <w:rsid w:val="00DF02F8"/>
    <w:rsid w:val="00DF032D"/>
    <w:rsid w:val="00DF03DC"/>
    <w:rsid w:val="00DF04E5"/>
    <w:rsid w:val="00DF04FF"/>
    <w:rsid w:val="00DF05C8"/>
    <w:rsid w:val="00DF0687"/>
    <w:rsid w:val="00DF068F"/>
    <w:rsid w:val="00DF0700"/>
    <w:rsid w:val="00DF07ED"/>
    <w:rsid w:val="00DF0873"/>
    <w:rsid w:val="00DF0920"/>
    <w:rsid w:val="00DF0975"/>
    <w:rsid w:val="00DF099C"/>
    <w:rsid w:val="00DF0ABC"/>
    <w:rsid w:val="00DF0B0C"/>
    <w:rsid w:val="00DF0B6D"/>
    <w:rsid w:val="00DF0BAB"/>
    <w:rsid w:val="00DF0D22"/>
    <w:rsid w:val="00DF0D93"/>
    <w:rsid w:val="00DF0D9C"/>
    <w:rsid w:val="00DF0E3C"/>
    <w:rsid w:val="00DF0E79"/>
    <w:rsid w:val="00DF0F6C"/>
    <w:rsid w:val="00DF1096"/>
    <w:rsid w:val="00DF109B"/>
    <w:rsid w:val="00DF11C3"/>
    <w:rsid w:val="00DF121F"/>
    <w:rsid w:val="00DF12B5"/>
    <w:rsid w:val="00DF138E"/>
    <w:rsid w:val="00DF14BB"/>
    <w:rsid w:val="00DF154F"/>
    <w:rsid w:val="00DF1672"/>
    <w:rsid w:val="00DF16DE"/>
    <w:rsid w:val="00DF1766"/>
    <w:rsid w:val="00DF1816"/>
    <w:rsid w:val="00DF1968"/>
    <w:rsid w:val="00DF19AD"/>
    <w:rsid w:val="00DF1AA7"/>
    <w:rsid w:val="00DF1B2B"/>
    <w:rsid w:val="00DF1BF6"/>
    <w:rsid w:val="00DF1C38"/>
    <w:rsid w:val="00DF1CA4"/>
    <w:rsid w:val="00DF1DB8"/>
    <w:rsid w:val="00DF1E87"/>
    <w:rsid w:val="00DF1EAC"/>
    <w:rsid w:val="00DF1EBF"/>
    <w:rsid w:val="00DF1EE6"/>
    <w:rsid w:val="00DF1F0E"/>
    <w:rsid w:val="00DF1F44"/>
    <w:rsid w:val="00DF20B1"/>
    <w:rsid w:val="00DF20FB"/>
    <w:rsid w:val="00DF22E4"/>
    <w:rsid w:val="00DF2333"/>
    <w:rsid w:val="00DF2413"/>
    <w:rsid w:val="00DF244B"/>
    <w:rsid w:val="00DF247B"/>
    <w:rsid w:val="00DF26E0"/>
    <w:rsid w:val="00DF271D"/>
    <w:rsid w:val="00DF27B9"/>
    <w:rsid w:val="00DF2888"/>
    <w:rsid w:val="00DF28E2"/>
    <w:rsid w:val="00DF28F2"/>
    <w:rsid w:val="00DF296C"/>
    <w:rsid w:val="00DF29B6"/>
    <w:rsid w:val="00DF2A97"/>
    <w:rsid w:val="00DF2B2E"/>
    <w:rsid w:val="00DF2BC4"/>
    <w:rsid w:val="00DF2BC5"/>
    <w:rsid w:val="00DF2D0B"/>
    <w:rsid w:val="00DF2DCD"/>
    <w:rsid w:val="00DF2EB7"/>
    <w:rsid w:val="00DF2F3E"/>
    <w:rsid w:val="00DF3063"/>
    <w:rsid w:val="00DF31D5"/>
    <w:rsid w:val="00DF31FD"/>
    <w:rsid w:val="00DF3237"/>
    <w:rsid w:val="00DF330D"/>
    <w:rsid w:val="00DF3323"/>
    <w:rsid w:val="00DF339C"/>
    <w:rsid w:val="00DF3405"/>
    <w:rsid w:val="00DF3563"/>
    <w:rsid w:val="00DF35C0"/>
    <w:rsid w:val="00DF3634"/>
    <w:rsid w:val="00DF3636"/>
    <w:rsid w:val="00DF36D9"/>
    <w:rsid w:val="00DF3746"/>
    <w:rsid w:val="00DF3787"/>
    <w:rsid w:val="00DF38D3"/>
    <w:rsid w:val="00DF3906"/>
    <w:rsid w:val="00DF392B"/>
    <w:rsid w:val="00DF399E"/>
    <w:rsid w:val="00DF3A04"/>
    <w:rsid w:val="00DF3B48"/>
    <w:rsid w:val="00DF3B9D"/>
    <w:rsid w:val="00DF3C1C"/>
    <w:rsid w:val="00DF3C41"/>
    <w:rsid w:val="00DF3CAA"/>
    <w:rsid w:val="00DF3CC1"/>
    <w:rsid w:val="00DF3E6D"/>
    <w:rsid w:val="00DF3ECF"/>
    <w:rsid w:val="00DF40B7"/>
    <w:rsid w:val="00DF40E1"/>
    <w:rsid w:val="00DF416A"/>
    <w:rsid w:val="00DF4195"/>
    <w:rsid w:val="00DF42E7"/>
    <w:rsid w:val="00DF43D0"/>
    <w:rsid w:val="00DF43E8"/>
    <w:rsid w:val="00DF441B"/>
    <w:rsid w:val="00DF4456"/>
    <w:rsid w:val="00DF4567"/>
    <w:rsid w:val="00DF457E"/>
    <w:rsid w:val="00DF460C"/>
    <w:rsid w:val="00DF467C"/>
    <w:rsid w:val="00DF4708"/>
    <w:rsid w:val="00DF47BC"/>
    <w:rsid w:val="00DF47F4"/>
    <w:rsid w:val="00DF483B"/>
    <w:rsid w:val="00DF4864"/>
    <w:rsid w:val="00DF4880"/>
    <w:rsid w:val="00DF48A9"/>
    <w:rsid w:val="00DF49F4"/>
    <w:rsid w:val="00DF4A8C"/>
    <w:rsid w:val="00DF4B73"/>
    <w:rsid w:val="00DF4E2C"/>
    <w:rsid w:val="00DF4EA0"/>
    <w:rsid w:val="00DF4F6D"/>
    <w:rsid w:val="00DF5031"/>
    <w:rsid w:val="00DF5058"/>
    <w:rsid w:val="00DF50C8"/>
    <w:rsid w:val="00DF5123"/>
    <w:rsid w:val="00DF514F"/>
    <w:rsid w:val="00DF516E"/>
    <w:rsid w:val="00DF5255"/>
    <w:rsid w:val="00DF5365"/>
    <w:rsid w:val="00DF5460"/>
    <w:rsid w:val="00DF5485"/>
    <w:rsid w:val="00DF5511"/>
    <w:rsid w:val="00DF5710"/>
    <w:rsid w:val="00DF575F"/>
    <w:rsid w:val="00DF5796"/>
    <w:rsid w:val="00DF5814"/>
    <w:rsid w:val="00DF5823"/>
    <w:rsid w:val="00DF590F"/>
    <w:rsid w:val="00DF599A"/>
    <w:rsid w:val="00DF5AED"/>
    <w:rsid w:val="00DF5B19"/>
    <w:rsid w:val="00DF5BEB"/>
    <w:rsid w:val="00DF5BED"/>
    <w:rsid w:val="00DF5D52"/>
    <w:rsid w:val="00DF5DC8"/>
    <w:rsid w:val="00DF5E4B"/>
    <w:rsid w:val="00DF5EE3"/>
    <w:rsid w:val="00DF5FB6"/>
    <w:rsid w:val="00DF6157"/>
    <w:rsid w:val="00DF61A8"/>
    <w:rsid w:val="00DF61D1"/>
    <w:rsid w:val="00DF61F1"/>
    <w:rsid w:val="00DF631B"/>
    <w:rsid w:val="00DF6357"/>
    <w:rsid w:val="00DF63F0"/>
    <w:rsid w:val="00DF6477"/>
    <w:rsid w:val="00DF6483"/>
    <w:rsid w:val="00DF6594"/>
    <w:rsid w:val="00DF65F4"/>
    <w:rsid w:val="00DF65F6"/>
    <w:rsid w:val="00DF6625"/>
    <w:rsid w:val="00DF66E8"/>
    <w:rsid w:val="00DF671C"/>
    <w:rsid w:val="00DF67AB"/>
    <w:rsid w:val="00DF681E"/>
    <w:rsid w:val="00DF687D"/>
    <w:rsid w:val="00DF6A43"/>
    <w:rsid w:val="00DF6A94"/>
    <w:rsid w:val="00DF6AEA"/>
    <w:rsid w:val="00DF6B5D"/>
    <w:rsid w:val="00DF6B8F"/>
    <w:rsid w:val="00DF6BCA"/>
    <w:rsid w:val="00DF6C1A"/>
    <w:rsid w:val="00DF6C2D"/>
    <w:rsid w:val="00DF6CFE"/>
    <w:rsid w:val="00DF6F43"/>
    <w:rsid w:val="00DF6F61"/>
    <w:rsid w:val="00DF7086"/>
    <w:rsid w:val="00DF70F7"/>
    <w:rsid w:val="00DF721F"/>
    <w:rsid w:val="00DF7224"/>
    <w:rsid w:val="00DF7235"/>
    <w:rsid w:val="00DF73B6"/>
    <w:rsid w:val="00DF73BE"/>
    <w:rsid w:val="00DF740F"/>
    <w:rsid w:val="00DF7517"/>
    <w:rsid w:val="00DF76A6"/>
    <w:rsid w:val="00DF7739"/>
    <w:rsid w:val="00DF774C"/>
    <w:rsid w:val="00DF7858"/>
    <w:rsid w:val="00DF790E"/>
    <w:rsid w:val="00DF79F3"/>
    <w:rsid w:val="00DF7A86"/>
    <w:rsid w:val="00DF7AE2"/>
    <w:rsid w:val="00DF7B7B"/>
    <w:rsid w:val="00DF7C5F"/>
    <w:rsid w:val="00DF7D66"/>
    <w:rsid w:val="00DF7E30"/>
    <w:rsid w:val="00DF7E6C"/>
    <w:rsid w:val="00DF7E9B"/>
    <w:rsid w:val="00DF7F37"/>
    <w:rsid w:val="00DF7F46"/>
    <w:rsid w:val="00DF7FF0"/>
    <w:rsid w:val="00E00000"/>
    <w:rsid w:val="00E00030"/>
    <w:rsid w:val="00E000E5"/>
    <w:rsid w:val="00E0017C"/>
    <w:rsid w:val="00E002CE"/>
    <w:rsid w:val="00E002D1"/>
    <w:rsid w:val="00E002F0"/>
    <w:rsid w:val="00E003FB"/>
    <w:rsid w:val="00E003FF"/>
    <w:rsid w:val="00E00422"/>
    <w:rsid w:val="00E005D8"/>
    <w:rsid w:val="00E005EF"/>
    <w:rsid w:val="00E00787"/>
    <w:rsid w:val="00E007EE"/>
    <w:rsid w:val="00E0081C"/>
    <w:rsid w:val="00E00879"/>
    <w:rsid w:val="00E00889"/>
    <w:rsid w:val="00E0089E"/>
    <w:rsid w:val="00E009BE"/>
    <w:rsid w:val="00E00A1B"/>
    <w:rsid w:val="00E00A4F"/>
    <w:rsid w:val="00E00B5B"/>
    <w:rsid w:val="00E00BAC"/>
    <w:rsid w:val="00E00C77"/>
    <w:rsid w:val="00E00C92"/>
    <w:rsid w:val="00E00C95"/>
    <w:rsid w:val="00E00C9A"/>
    <w:rsid w:val="00E00CA5"/>
    <w:rsid w:val="00E00CD5"/>
    <w:rsid w:val="00E00DD2"/>
    <w:rsid w:val="00E00DD5"/>
    <w:rsid w:val="00E00E35"/>
    <w:rsid w:val="00E00E86"/>
    <w:rsid w:val="00E010BB"/>
    <w:rsid w:val="00E010ED"/>
    <w:rsid w:val="00E010F3"/>
    <w:rsid w:val="00E0123A"/>
    <w:rsid w:val="00E0123B"/>
    <w:rsid w:val="00E01253"/>
    <w:rsid w:val="00E012BA"/>
    <w:rsid w:val="00E012C1"/>
    <w:rsid w:val="00E014B7"/>
    <w:rsid w:val="00E0153F"/>
    <w:rsid w:val="00E0163D"/>
    <w:rsid w:val="00E0171B"/>
    <w:rsid w:val="00E0178E"/>
    <w:rsid w:val="00E018B5"/>
    <w:rsid w:val="00E018FF"/>
    <w:rsid w:val="00E01A83"/>
    <w:rsid w:val="00E01AA0"/>
    <w:rsid w:val="00E01AB6"/>
    <w:rsid w:val="00E01AE5"/>
    <w:rsid w:val="00E01B79"/>
    <w:rsid w:val="00E01C38"/>
    <w:rsid w:val="00E01CA3"/>
    <w:rsid w:val="00E01DC3"/>
    <w:rsid w:val="00E01F6B"/>
    <w:rsid w:val="00E01FC5"/>
    <w:rsid w:val="00E02034"/>
    <w:rsid w:val="00E020D8"/>
    <w:rsid w:val="00E02118"/>
    <w:rsid w:val="00E0213F"/>
    <w:rsid w:val="00E02361"/>
    <w:rsid w:val="00E0238A"/>
    <w:rsid w:val="00E023B6"/>
    <w:rsid w:val="00E0246B"/>
    <w:rsid w:val="00E02522"/>
    <w:rsid w:val="00E02553"/>
    <w:rsid w:val="00E025BC"/>
    <w:rsid w:val="00E02634"/>
    <w:rsid w:val="00E02764"/>
    <w:rsid w:val="00E02771"/>
    <w:rsid w:val="00E027F0"/>
    <w:rsid w:val="00E02837"/>
    <w:rsid w:val="00E02889"/>
    <w:rsid w:val="00E028CF"/>
    <w:rsid w:val="00E02943"/>
    <w:rsid w:val="00E02A15"/>
    <w:rsid w:val="00E02A6D"/>
    <w:rsid w:val="00E02AC3"/>
    <w:rsid w:val="00E02BED"/>
    <w:rsid w:val="00E02BF6"/>
    <w:rsid w:val="00E02CCA"/>
    <w:rsid w:val="00E02D20"/>
    <w:rsid w:val="00E02D53"/>
    <w:rsid w:val="00E02D8F"/>
    <w:rsid w:val="00E02DD3"/>
    <w:rsid w:val="00E02FD3"/>
    <w:rsid w:val="00E030CC"/>
    <w:rsid w:val="00E030F0"/>
    <w:rsid w:val="00E03114"/>
    <w:rsid w:val="00E0313F"/>
    <w:rsid w:val="00E0315A"/>
    <w:rsid w:val="00E031C7"/>
    <w:rsid w:val="00E0328A"/>
    <w:rsid w:val="00E03348"/>
    <w:rsid w:val="00E033B2"/>
    <w:rsid w:val="00E0358A"/>
    <w:rsid w:val="00E035B9"/>
    <w:rsid w:val="00E036BC"/>
    <w:rsid w:val="00E0370C"/>
    <w:rsid w:val="00E03802"/>
    <w:rsid w:val="00E03855"/>
    <w:rsid w:val="00E03856"/>
    <w:rsid w:val="00E038AD"/>
    <w:rsid w:val="00E038B3"/>
    <w:rsid w:val="00E03938"/>
    <w:rsid w:val="00E03A1D"/>
    <w:rsid w:val="00E03A68"/>
    <w:rsid w:val="00E03CF6"/>
    <w:rsid w:val="00E03CFB"/>
    <w:rsid w:val="00E03D96"/>
    <w:rsid w:val="00E03DA2"/>
    <w:rsid w:val="00E03E29"/>
    <w:rsid w:val="00E03E33"/>
    <w:rsid w:val="00E03E81"/>
    <w:rsid w:val="00E03E9F"/>
    <w:rsid w:val="00E03ED0"/>
    <w:rsid w:val="00E03F65"/>
    <w:rsid w:val="00E04179"/>
    <w:rsid w:val="00E04262"/>
    <w:rsid w:val="00E04263"/>
    <w:rsid w:val="00E043BD"/>
    <w:rsid w:val="00E043F6"/>
    <w:rsid w:val="00E0444D"/>
    <w:rsid w:val="00E04490"/>
    <w:rsid w:val="00E04535"/>
    <w:rsid w:val="00E0457C"/>
    <w:rsid w:val="00E045D0"/>
    <w:rsid w:val="00E046CC"/>
    <w:rsid w:val="00E04737"/>
    <w:rsid w:val="00E04771"/>
    <w:rsid w:val="00E04859"/>
    <w:rsid w:val="00E048D2"/>
    <w:rsid w:val="00E04927"/>
    <w:rsid w:val="00E04A4E"/>
    <w:rsid w:val="00E04AB8"/>
    <w:rsid w:val="00E04ADA"/>
    <w:rsid w:val="00E04AF6"/>
    <w:rsid w:val="00E04BD3"/>
    <w:rsid w:val="00E04C06"/>
    <w:rsid w:val="00E04C4F"/>
    <w:rsid w:val="00E04CA0"/>
    <w:rsid w:val="00E04D2E"/>
    <w:rsid w:val="00E04D35"/>
    <w:rsid w:val="00E04D9B"/>
    <w:rsid w:val="00E04EBD"/>
    <w:rsid w:val="00E04EC2"/>
    <w:rsid w:val="00E04F13"/>
    <w:rsid w:val="00E04F22"/>
    <w:rsid w:val="00E04F74"/>
    <w:rsid w:val="00E04FB2"/>
    <w:rsid w:val="00E0507C"/>
    <w:rsid w:val="00E050AF"/>
    <w:rsid w:val="00E051FF"/>
    <w:rsid w:val="00E05247"/>
    <w:rsid w:val="00E052DE"/>
    <w:rsid w:val="00E05568"/>
    <w:rsid w:val="00E0558A"/>
    <w:rsid w:val="00E055A0"/>
    <w:rsid w:val="00E056D1"/>
    <w:rsid w:val="00E0576F"/>
    <w:rsid w:val="00E057F5"/>
    <w:rsid w:val="00E0580B"/>
    <w:rsid w:val="00E05860"/>
    <w:rsid w:val="00E059A2"/>
    <w:rsid w:val="00E05A0F"/>
    <w:rsid w:val="00E05A1D"/>
    <w:rsid w:val="00E05A4E"/>
    <w:rsid w:val="00E05D2A"/>
    <w:rsid w:val="00E05D84"/>
    <w:rsid w:val="00E05D9D"/>
    <w:rsid w:val="00E05E27"/>
    <w:rsid w:val="00E05E7F"/>
    <w:rsid w:val="00E05F37"/>
    <w:rsid w:val="00E06039"/>
    <w:rsid w:val="00E060C3"/>
    <w:rsid w:val="00E06271"/>
    <w:rsid w:val="00E0631D"/>
    <w:rsid w:val="00E0643A"/>
    <w:rsid w:val="00E0645D"/>
    <w:rsid w:val="00E064AF"/>
    <w:rsid w:val="00E0650F"/>
    <w:rsid w:val="00E06544"/>
    <w:rsid w:val="00E06624"/>
    <w:rsid w:val="00E066FF"/>
    <w:rsid w:val="00E067B9"/>
    <w:rsid w:val="00E067FA"/>
    <w:rsid w:val="00E068A3"/>
    <w:rsid w:val="00E06ADF"/>
    <w:rsid w:val="00E06B80"/>
    <w:rsid w:val="00E06BE3"/>
    <w:rsid w:val="00E06C28"/>
    <w:rsid w:val="00E06CEC"/>
    <w:rsid w:val="00E06DCD"/>
    <w:rsid w:val="00E06EBC"/>
    <w:rsid w:val="00E06ED0"/>
    <w:rsid w:val="00E06F68"/>
    <w:rsid w:val="00E0701B"/>
    <w:rsid w:val="00E07072"/>
    <w:rsid w:val="00E07161"/>
    <w:rsid w:val="00E073AA"/>
    <w:rsid w:val="00E07453"/>
    <w:rsid w:val="00E07462"/>
    <w:rsid w:val="00E074D8"/>
    <w:rsid w:val="00E075DB"/>
    <w:rsid w:val="00E075F5"/>
    <w:rsid w:val="00E076F6"/>
    <w:rsid w:val="00E07757"/>
    <w:rsid w:val="00E07761"/>
    <w:rsid w:val="00E0778B"/>
    <w:rsid w:val="00E078BD"/>
    <w:rsid w:val="00E078C1"/>
    <w:rsid w:val="00E078EB"/>
    <w:rsid w:val="00E07A52"/>
    <w:rsid w:val="00E07A72"/>
    <w:rsid w:val="00E07AFF"/>
    <w:rsid w:val="00E07B2E"/>
    <w:rsid w:val="00E07C2F"/>
    <w:rsid w:val="00E07E04"/>
    <w:rsid w:val="00E07F03"/>
    <w:rsid w:val="00E07F74"/>
    <w:rsid w:val="00E07F7B"/>
    <w:rsid w:val="00E07F9D"/>
    <w:rsid w:val="00E07FE7"/>
    <w:rsid w:val="00E07FEB"/>
    <w:rsid w:val="00E10067"/>
    <w:rsid w:val="00E100DB"/>
    <w:rsid w:val="00E101C6"/>
    <w:rsid w:val="00E1020D"/>
    <w:rsid w:val="00E1023D"/>
    <w:rsid w:val="00E10378"/>
    <w:rsid w:val="00E10380"/>
    <w:rsid w:val="00E10406"/>
    <w:rsid w:val="00E1043B"/>
    <w:rsid w:val="00E10594"/>
    <w:rsid w:val="00E10699"/>
    <w:rsid w:val="00E1079C"/>
    <w:rsid w:val="00E1080A"/>
    <w:rsid w:val="00E10881"/>
    <w:rsid w:val="00E10938"/>
    <w:rsid w:val="00E1093B"/>
    <w:rsid w:val="00E1094A"/>
    <w:rsid w:val="00E1099D"/>
    <w:rsid w:val="00E109AC"/>
    <w:rsid w:val="00E109FA"/>
    <w:rsid w:val="00E10A59"/>
    <w:rsid w:val="00E10B24"/>
    <w:rsid w:val="00E10BAA"/>
    <w:rsid w:val="00E10C1B"/>
    <w:rsid w:val="00E10C81"/>
    <w:rsid w:val="00E10CA7"/>
    <w:rsid w:val="00E10CB2"/>
    <w:rsid w:val="00E10CDB"/>
    <w:rsid w:val="00E10D78"/>
    <w:rsid w:val="00E10DB2"/>
    <w:rsid w:val="00E10E60"/>
    <w:rsid w:val="00E10F54"/>
    <w:rsid w:val="00E10FD7"/>
    <w:rsid w:val="00E11096"/>
    <w:rsid w:val="00E110D1"/>
    <w:rsid w:val="00E11177"/>
    <w:rsid w:val="00E1117B"/>
    <w:rsid w:val="00E1120E"/>
    <w:rsid w:val="00E1128E"/>
    <w:rsid w:val="00E113C1"/>
    <w:rsid w:val="00E113E5"/>
    <w:rsid w:val="00E11403"/>
    <w:rsid w:val="00E11417"/>
    <w:rsid w:val="00E114A7"/>
    <w:rsid w:val="00E11564"/>
    <w:rsid w:val="00E116AA"/>
    <w:rsid w:val="00E116BE"/>
    <w:rsid w:val="00E116ED"/>
    <w:rsid w:val="00E11846"/>
    <w:rsid w:val="00E11885"/>
    <w:rsid w:val="00E11998"/>
    <w:rsid w:val="00E11B12"/>
    <w:rsid w:val="00E11B4C"/>
    <w:rsid w:val="00E11B95"/>
    <w:rsid w:val="00E11C07"/>
    <w:rsid w:val="00E11CD9"/>
    <w:rsid w:val="00E11CEB"/>
    <w:rsid w:val="00E11D0C"/>
    <w:rsid w:val="00E11E32"/>
    <w:rsid w:val="00E11E41"/>
    <w:rsid w:val="00E11E4A"/>
    <w:rsid w:val="00E11F5E"/>
    <w:rsid w:val="00E12281"/>
    <w:rsid w:val="00E12386"/>
    <w:rsid w:val="00E1247C"/>
    <w:rsid w:val="00E12494"/>
    <w:rsid w:val="00E12524"/>
    <w:rsid w:val="00E12537"/>
    <w:rsid w:val="00E1258E"/>
    <w:rsid w:val="00E12658"/>
    <w:rsid w:val="00E12766"/>
    <w:rsid w:val="00E127AD"/>
    <w:rsid w:val="00E12804"/>
    <w:rsid w:val="00E1282C"/>
    <w:rsid w:val="00E12832"/>
    <w:rsid w:val="00E128F6"/>
    <w:rsid w:val="00E12910"/>
    <w:rsid w:val="00E1291B"/>
    <w:rsid w:val="00E1299D"/>
    <w:rsid w:val="00E12AED"/>
    <w:rsid w:val="00E12B04"/>
    <w:rsid w:val="00E12B4F"/>
    <w:rsid w:val="00E12BE5"/>
    <w:rsid w:val="00E12D35"/>
    <w:rsid w:val="00E12DFE"/>
    <w:rsid w:val="00E12F1A"/>
    <w:rsid w:val="00E12F78"/>
    <w:rsid w:val="00E12F7B"/>
    <w:rsid w:val="00E12FAF"/>
    <w:rsid w:val="00E12FCE"/>
    <w:rsid w:val="00E1304C"/>
    <w:rsid w:val="00E13062"/>
    <w:rsid w:val="00E1306F"/>
    <w:rsid w:val="00E1314D"/>
    <w:rsid w:val="00E13209"/>
    <w:rsid w:val="00E132E1"/>
    <w:rsid w:val="00E1330F"/>
    <w:rsid w:val="00E13320"/>
    <w:rsid w:val="00E13327"/>
    <w:rsid w:val="00E13371"/>
    <w:rsid w:val="00E134B7"/>
    <w:rsid w:val="00E134E7"/>
    <w:rsid w:val="00E135C7"/>
    <w:rsid w:val="00E13665"/>
    <w:rsid w:val="00E136EC"/>
    <w:rsid w:val="00E137F8"/>
    <w:rsid w:val="00E13A54"/>
    <w:rsid w:val="00E13AC7"/>
    <w:rsid w:val="00E13AE0"/>
    <w:rsid w:val="00E13B63"/>
    <w:rsid w:val="00E13B93"/>
    <w:rsid w:val="00E13BE0"/>
    <w:rsid w:val="00E13C82"/>
    <w:rsid w:val="00E13D43"/>
    <w:rsid w:val="00E13E21"/>
    <w:rsid w:val="00E13EB2"/>
    <w:rsid w:val="00E14105"/>
    <w:rsid w:val="00E1416D"/>
    <w:rsid w:val="00E1422C"/>
    <w:rsid w:val="00E142ED"/>
    <w:rsid w:val="00E143F7"/>
    <w:rsid w:val="00E14472"/>
    <w:rsid w:val="00E1448E"/>
    <w:rsid w:val="00E144EC"/>
    <w:rsid w:val="00E14518"/>
    <w:rsid w:val="00E145DB"/>
    <w:rsid w:val="00E14652"/>
    <w:rsid w:val="00E1467B"/>
    <w:rsid w:val="00E14703"/>
    <w:rsid w:val="00E14723"/>
    <w:rsid w:val="00E1476D"/>
    <w:rsid w:val="00E1479F"/>
    <w:rsid w:val="00E147D6"/>
    <w:rsid w:val="00E148D1"/>
    <w:rsid w:val="00E14949"/>
    <w:rsid w:val="00E149B4"/>
    <w:rsid w:val="00E14A30"/>
    <w:rsid w:val="00E14A48"/>
    <w:rsid w:val="00E14A6C"/>
    <w:rsid w:val="00E14B34"/>
    <w:rsid w:val="00E14B62"/>
    <w:rsid w:val="00E14C73"/>
    <w:rsid w:val="00E14D55"/>
    <w:rsid w:val="00E14D65"/>
    <w:rsid w:val="00E14DEA"/>
    <w:rsid w:val="00E14E26"/>
    <w:rsid w:val="00E14E9A"/>
    <w:rsid w:val="00E14EE7"/>
    <w:rsid w:val="00E14F23"/>
    <w:rsid w:val="00E15045"/>
    <w:rsid w:val="00E1504F"/>
    <w:rsid w:val="00E15127"/>
    <w:rsid w:val="00E1514D"/>
    <w:rsid w:val="00E151CF"/>
    <w:rsid w:val="00E15274"/>
    <w:rsid w:val="00E15282"/>
    <w:rsid w:val="00E152FA"/>
    <w:rsid w:val="00E15316"/>
    <w:rsid w:val="00E15350"/>
    <w:rsid w:val="00E15386"/>
    <w:rsid w:val="00E1544D"/>
    <w:rsid w:val="00E155B4"/>
    <w:rsid w:val="00E15611"/>
    <w:rsid w:val="00E1570A"/>
    <w:rsid w:val="00E1579C"/>
    <w:rsid w:val="00E1594D"/>
    <w:rsid w:val="00E15A55"/>
    <w:rsid w:val="00E15A8B"/>
    <w:rsid w:val="00E15B0D"/>
    <w:rsid w:val="00E15BA5"/>
    <w:rsid w:val="00E15C76"/>
    <w:rsid w:val="00E15F43"/>
    <w:rsid w:val="00E15F4E"/>
    <w:rsid w:val="00E16008"/>
    <w:rsid w:val="00E16060"/>
    <w:rsid w:val="00E160A5"/>
    <w:rsid w:val="00E160B7"/>
    <w:rsid w:val="00E160B9"/>
    <w:rsid w:val="00E160C0"/>
    <w:rsid w:val="00E16113"/>
    <w:rsid w:val="00E16134"/>
    <w:rsid w:val="00E16249"/>
    <w:rsid w:val="00E16289"/>
    <w:rsid w:val="00E16290"/>
    <w:rsid w:val="00E163AA"/>
    <w:rsid w:val="00E163C7"/>
    <w:rsid w:val="00E16426"/>
    <w:rsid w:val="00E1644E"/>
    <w:rsid w:val="00E165C2"/>
    <w:rsid w:val="00E166B9"/>
    <w:rsid w:val="00E166BD"/>
    <w:rsid w:val="00E16712"/>
    <w:rsid w:val="00E16767"/>
    <w:rsid w:val="00E1678E"/>
    <w:rsid w:val="00E16833"/>
    <w:rsid w:val="00E1686A"/>
    <w:rsid w:val="00E168D6"/>
    <w:rsid w:val="00E1693B"/>
    <w:rsid w:val="00E16B40"/>
    <w:rsid w:val="00E16BD0"/>
    <w:rsid w:val="00E16BE3"/>
    <w:rsid w:val="00E16D74"/>
    <w:rsid w:val="00E16E11"/>
    <w:rsid w:val="00E16E27"/>
    <w:rsid w:val="00E16E6B"/>
    <w:rsid w:val="00E16FB8"/>
    <w:rsid w:val="00E16FBE"/>
    <w:rsid w:val="00E170C6"/>
    <w:rsid w:val="00E171C3"/>
    <w:rsid w:val="00E171C6"/>
    <w:rsid w:val="00E171E2"/>
    <w:rsid w:val="00E1722C"/>
    <w:rsid w:val="00E17297"/>
    <w:rsid w:val="00E172DE"/>
    <w:rsid w:val="00E17330"/>
    <w:rsid w:val="00E173B1"/>
    <w:rsid w:val="00E1754C"/>
    <w:rsid w:val="00E1760C"/>
    <w:rsid w:val="00E17673"/>
    <w:rsid w:val="00E17684"/>
    <w:rsid w:val="00E17748"/>
    <w:rsid w:val="00E17824"/>
    <w:rsid w:val="00E17927"/>
    <w:rsid w:val="00E1797C"/>
    <w:rsid w:val="00E17A09"/>
    <w:rsid w:val="00E17AF0"/>
    <w:rsid w:val="00E17B25"/>
    <w:rsid w:val="00E17EE7"/>
    <w:rsid w:val="00E17F85"/>
    <w:rsid w:val="00E20162"/>
    <w:rsid w:val="00E20290"/>
    <w:rsid w:val="00E202BC"/>
    <w:rsid w:val="00E20319"/>
    <w:rsid w:val="00E203A3"/>
    <w:rsid w:val="00E20471"/>
    <w:rsid w:val="00E20474"/>
    <w:rsid w:val="00E204DB"/>
    <w:rsid w:val="00E2055E"/>
    <w:rsid w:val="00E20650"/>
    <w:rsid w:val="00E206BF"/>
    <w:rsid w:val="00E206DE"/>
    <w:rsid w:val="00E206EF"/>
    <w:rsid w:val="00E20824"/>
    <w:rsid w:val="00E20826"/>
    <w:rsid w:val="00E209B2"/>
    <w:rsid w:val="00E209BC"/>
    <w:rsid w:val="00E209CA"/>
    <w:rsid w:val="00E209D1"/>
    <w:rsid w:val="00E20AAD"/>
    <w:rsid w:val="00E20B0E"/>
    <w:rsid w:val="00E20B98"/>
    <w:rsid w:val="00E20C0C"/>
    <w:rsid w:val="00E20CB7"/>
    <w:rsid w:val="00E20D2E"/>
    <w:rsid w:val="00E20DE4"/>
    <w:rsid w:val="00E20DFE"/>
    <w:rsid w:val="00E20E23"/>
    <w:rsid w:val="00E20E3B"/>
    <w:rsid w:val="00E20E81"/>
    <w:rsid w:val="00E20EA1"/>
    <w:rsid w:val="00E20F1B"/>
    <w:rsid w:val="00E20F3B"/>
    <w:rsid w:val="00E20F70"/>
    <w:rsid w:val="00E2100F"/>
    <w:rsid w:val="00E210A5"/>
    <w:rsid w:val="00E21110"/>
    <w:rsid w:val="00E2111C"/>
    <w:rsid w:val="00E21151"/>
    <w:rsid w:val="00E21201"/>
    <w:rsid w:val="00E2120F"/>
    <w:rsid w:val="00E21222"/>
    <w:rsid w:val="00E212B2"/>
    <w:rsid w:val="00E21328"/>
    <w:rsid w:val="00E213F4"/>
    <w:rsid w:val="00E213F9"/>
    <w:rsid w:val="00E215AC"/>
    <w:rsid w:val="00E215EF"/>
    <w:rsid w:val="00E21638"/>
    <w:rsid w:val="00E216E8"/>
    <w:rsid w:val="00E21748"/>
    <w:rsid w:val="00E21930"/>
    <w:rsid w:val="00E2193C"/>
    <w:rsid w:val="00E219DD"/>
    <w:rsid w:val="00E21A3B"/>
    <w:rsid w:val="00E21B7B"/>
    <w:rsid w:val="00E21BBF"/>
    <w:rsid w:val="00E21CC5"/>
    <w:rsid w:val="00E21CCA"/>
    <w:rsid w:val="00E21DCF"/>
    <w:rsid w:val="00E21DDB"/>
    <w:rsid w:val="00E21EBD"/>
    <w:rsid w:val="00E21FCE"/>
    <w:rsid w:val="00E22030"/>
    <w:rsid w:val="00E22043"/>
    <w:rsid w:val="00E2210C"/>
    <w:rsid w:val="00E222B3"/>
    <w:rsid w:val="00E22322"/>
    <w:rsid w:val="00E22348"/>
    <w:rsid w:val="00E223DD"/>
    <w:rsid w:val="00E223EE"/>
    <w:rsid w:val="00E224E7"/>
    <w:rsid w:val="00E22580"/>
    <w:rsid w:val="00E2261C"/>
    <w:rsid w:val="00E22694"/>
    <w:rsid w:val="00E226F1"/>
    <w:rsid w:val="00E2275E"/>
    <w:rsid w:val="00E227B5"/>
    <w:rsid w:val="00E22836"/>
    <w:rsid w:val="00E22857"/>
    <w:rsid w:val="00E2299E"/>
    <w:rsid w:val="00E229A8"/>
    <w:rsid w:val="00E229AC"/>
    <w:rsid w:val="00E22A22"/>
    <w:rsid w:val="00E22AE8"/>
    <w:rsid w:val="00E22B18"/>
    <w:rsid w:val="00E22CF3"/>
    <w:rsid w:val="00E22D0E"/>
    <w:rsid w:val="00E22D51"/>
    <w:rsid w:val="00E22D62"/>
    <w:rsid w:val="00E22DE1"/>
    <w:rsid w:val="00E22E6C"/>
    <w:rsid w:val="00E22EAF"/>
    <w:rsid w:val="00E22EBC"/>
    <w:rsid w:val="00E22EC4"/>
    <w:rsid w:val="00E23094"/>
    <w:rsid w:val="00E2309C"/>
    <w:rsid w:val="00E230AA"/>
    <w:rsid w:val="00E232BD"/>
    <w:rsid w:val="00E23327"/>
    <w:rsid w:val="00E2338C"/>
    <w:rsid w:val="00E233A0"/>
    <w:rsid w:val="00E23404"/>
    <w:rsid w:val="00E23419"/>
    <w:rsid w:val="00E234D2"/>
    <w:rsid w:val="00E23516"/>
    <w:rsid w:val="00E23556"/>
    <w:rsid w:val="00E235CC"/>
    <w:rsid w:val="00E23889"/>
    <w:rsid w:val="00E2388B"/>
    <w:rsid w:val="00E238A8"/>
    <w:rsid w:val="00E238B9"/>
    <w:rsid w:val="00E23961"/>
    <w:rsid w:val="00E239BB"/>
    <w:rsid w:val="00E23A43"/>
    <w:rsid w:val="00E23C47"/>
    <w:rsid w:val="00E23C8A"/>
    <w:rsid w:val="00E23C94"/>
    <w:rsid w:val="00E241A9"/>
    <w:rsid w:val="00E241F4"/>
    <w:rsid w:val="00E24205"/>
    <w:rsid w:val="00E24231"/>
    <w:rsid w:val="00E24241"/>
    <w:rsid w:val="00E24250"/>
    <w:rsid w:val="00E243D2"/>
    <w:rsid w:val="00E24429"/>
    <w:rsid w:val="00E24483"/>
    <w:rsid w:val="00E244D9"/>
    <w:rsid w:val="00E24504"/>
    <w:rsid w:val="00E24522"/>
    <w:rsid w:val="00E2456D"/>
    <w:rsid w:val="00E245E3"/>
    <w:rsid w:val="00E245E4"/>
    <w:rsid w:val="00E245EC"/>
    <w:rsid w:val="00E2460B"/>
    <w:rsid w:val="00E2462F"/>
    <w:rsid w:val="00E2464C"/>
    <w:rsid w:val="00E24903"/>
    <w:rsid w:val="00E2493A"/>
    <w:rsid w:val="00E2496A"/>
    <w:rsid w:val="00E24A01"/>
    <w:rsid w:val="00E24A1A"/>
    <w:rsid w:val="00E24B1B"/>
    <w:rsid w:val="00E24D1C"/>
    <w:rsid w:val="00E24D27"/>
    <w:rsid w:val="00E24D5F"/>
    <w:rsid w:val="00E24D90"/>
    <w:rsid w:val="00E24DEB"/>
    <w:rsid w:val="00E24EFB"/>
    <w:rsid w:val="00E24F88"/>
    <w:rsid w:val="00E24FA8"/>
    <w:rsid w:val="00E24FC4"/>
    <w:rsid w:val="00E25046"/>
    <w:rsid w:val="00E251A5"/>
    <w:rsid w:val="00E251F0"/>
    <w:rsid w:val="00E25268"/>
    <w:rsid w:val="00E252FE"/>
    <w:rsid w:val="00E25328"/>
    <w:rsid w:val="00E253AE"/>
    <w:rsid w:val="00E25409"/>
    <w:rsid w:val="00E254A1"/>
    <w:rsid w:val="00E254F4"/>
    <w:rsid w:val="00E25672"/>
    <w:rsid w:val="00E256E4"/>
    <w:rsid w:val="00E25828"/>
    <w:rsid w:val="00E258CD"/>
    <w:rsid w:val="00E259AF"/>
    <w:rsid w:val="00E25A2D"/>
    <w:rsid w:val="00E25C63"/>
    <w:rsid w:val="00E25C73"/>
    <w:rsid w:val="00E25CB9"/>
    <w:rsid w:val="00E25DDD"/>
    <w:rsid w:val="00E25E6C"/>
    <w:rsid w:val="00E25E99"/>
    <w:rsid w:val="00E25F13"/>
    <w:rsid w:val="00E2622B"/>
    <w:rsid w:val="00E263A3"/>
    <w:rsid w:val="00E263AC"/>
    <w:rsid w:val="00E263AF"/>
    <w:rsid w:val="00E26414"/>
    <w:rsid w:val="00E26439"/>
    <w:rsid w:val="00E264A4"/>
    <w:rsid w:val="00E26544"/>
    <w:rsid w:val="00E26572"/>
    <w:rsid w:val="00E2657D"/>
    <w:rsid w:val="00E265E4"/>
    <w:rsid w:val="00E265F9"/>
    <w:rsid w:val="00E26647"/>
    <w:rsid w:val="00E2669C"/>
    <w:rsid w:val="00E267AF"/>
    <w:rsid w:val="00E267BA"/>
    <w:rsid w:val="00E267E8"/>
    <w:rsid w:val="00E2688F"/>
    <w:rsid w:val="00E268D3"/>
    <w:rsid w:val="00E268E5"/>
    <w:rsid w:val="00E2695B"/>
    <w:rsid w:val="00E269AA"/>
    <w:rsid w:val="00E269DD"/>
    <w:rsid w:val="00E26A4A"/>
    <w:rsid w:val="00E26A8F"/>
    <w:rsid w:val="00E26B04"/>
    <w:rsid w:val="00E26B05"/>
    <w:rsid w:val="00E26B20"/>
    <w:rsid w:val="00E26BC0"/>
    <w:rsid w:val="00E26C00"/>
    <w:rsid w:val="00E26D1F"/>
    <w:rsid w:val="00E26DFA"/>
    <w:rsid w:val="00E26F52"/>
    <w:rsid w:val="00E26F5A"/>
    <w:rsid w:val="00E2702E"/>
    <w:rsid w:val="00E27080"/>
    <w:rsid w:val="00E27089"/>
    <w:rsid w:val="00E270B1"/>
    <w:rsid w:val="00E270CE"/>
    <w:rsid w:val="00E270D5"/>
    <w:rsid w:val="00E27181"/>
    <w:rsid w:val="00E272B0"/>
    <w:rsid w:val="00E272DF"/>
    <w:rsid w:val="00E27301"/>
    <w:rsid w:val="00E273E8"/>
    <w:rsid w:val="00E2741B"/>
    <w:rsid w:val="00E27452"/>
    <w:rsid w:val="00E27542"/>
    <w:rsid w:val="00E2756A"/>
    <w:rsid w:val="00E27641"/>
    <w:rsid w:val="00E276E5"/>
    <w:rsid w:val="00E2776C"/>
    <w:rsid w:val="00E277CC"/>
    <w:rsid w:val="00E27822"/>
    <w:rsid w:val="00E27A46"/>
    <w:rsid w:val="00E27B21"/>
    <w:rsid w:val="00E27B6E"/>
    <w:rsid w:val="00E27BA7"/>
    <w:rsid w:val="00E27CCC"/>
    <w:rsid w:val="00E27CFE"/>
    <w:rsid w:val="00E27D9D"/>
    <w:rsid w:val="00E27DD7"/>
    <w:rsid w:val="00E27DE3"/>
    <w:rsid w:val="00E27E9A"/>
    <w:rsid w:val="00E30040"/>
    <w:rsid w:val="00E30083"/>
    <w:rsid w:val="00E3012B"/>
    <w:rsid w:val="00E301B4"/>
    <w:rsid w:val="00E30328"/>
    <w:rsid w:val="00E30483"/>
    <w:rsid w:val="00E304C3"/>
    <w:rsid w:val="00E304CF"/>
    <w:rsid w:val="00E30611"/>
    <w:rsid w:val="00E30727"/>
    <w:rsid w:val="00E30858"/>
    <w:rsid w:val="00E308E2"/>
    <w:rsid w:val="00E30953"/>
    <w:rsid w:val="00E30A46"/>
    <w:rsid w:val="00E30B34"/>
    <w:rsid w:val="00E30B6F"/>
    <w:rsid w:val="00E30C30"/>
    <w:rsid w:val="00E30C60"/>
    <w:rsid w:val="00E30CAA"/>
    <w:rsid w:val="00E30CFA"/>
    <w:rsid w:val="00E30D14"/>
    <w:rsid w:val="00E30E3B"/>
    <w:rsid w:val="00E30E71"/>
    <w:rsid w:val="00E3143F"/>
    <w:rsid w:val="00E3149A"/>
    <w:rsid w:val="00E31512"/>
    <w:rsid w:val="00E31580"/>
    <w:rsid w:val="00E315AB"/>
    <w:rsid w:val="00E3161C"/>
    <w:rsid w:val="00E31668"/>
    <w:rsid w:val="00E316C0"/>
    <w:rsid w:val="00E3179E"/>
    <w:rsid w:val="00E3197F"/>
    <w:rsid w:val="00E319AB"/>
    <w:rsid w:val="00E31A31"/>
    <w:rsid w:val="00E31A7A"/>
    <w:rsid w:val="00E31BC8"/>
    <w:rsid w:val="00E31BDF"/>
    <w:rsid w:val="00E31C4F"/>
    <w:rsid w:val="00E31CC9"/>
    <w:rsid w:val="00E31DF9"/>
    <w:rsid w:val="00E31E26"/>
    <w:rsid w:val="00E31E69"/>
    <w:rsid w:val="00E31E7E"/>
    <w:rsid w:val="00E31EAA"/>
    <w:rsid w:val="00E31FAA"/>
    <w:rsid w:val="00E31FF0"/>
    <w:rsid w:val="00E32025"/>
    <w:rsid w:val="00E32059"/>
    <w:rsid w:val="00E3206B"/>
    <w:rsid w:val="00E320D5"/>
    <w:rsid w:val="00E3211C"/>
    <w:rsid w:val="00E3219C"/>
    <w:rsid w:val="00E321DF"/>
    <w:rsid w:val="00E32219"/>
    <w:rsid w:val="00E3231D"/>
    <w:rsid w:val="00E32383"/>
    <w:rsid w:val="00E323BE"/>
    <w:rsid w:val="00E326C6"/>
    <w:rsid w:val="00E32723"/>
    <w:rsid w:val="00E327DE"/>
    <w:rsid w:val="00E32812"/>
    <w:rsid w:val="00E32821"/>
    <w:rsid w:val="00E328E7"/>
    <w:rsid w:val="00E3291B"/>
    <w:rsid w:val="00E3292F"/>
    <w:rsid w:val="00E3296D"/>
    <w:rsid w:val="00E32A3B"/>
    <w:rsid w:val="00E32A68"/>
    <w:rsid w:val="00E32AC8"/>
    <w:rsid w:val="00E32BC8"/>
    <w:rsid w:val="00E32BE7"/>
    <w:rsid w:val="00E32C6F"/>
    <w:rsid w:val="00E32D82"/>
    <w:rsid w:val="00E32D90"/>
    <w:rsid w:val="00E32EBA"/>
    <w:rsid w:val="00E32EF7"/>
    <w:rsid w:val="00E32FC0"/>
    <w:rsid w:val="00E32FE1"/>
    <w:rsid w:val="00E330F0"/>
    <w:rsid w:val="00E331DB"/>
    <w:rsid w:val="00E33287"/>
    <w:rsid w:val="00E33304"/>
    <w:rsid w:val="00E33485"/>
    <w:rsid w:val="00E335A1"/>
    <w:rsid w:val="00E335E9"/>
    <w:rsid w:val="00E336AC"/>
    <w:rsid w:val="00E33766"/>
    <w:rsid w:val="00E33821"/>
    <w:rsid w:val="00E3382E"/>
    <w:rsid w:val="00E33874"/>
    <w:rsid w:val="00E338FB"/>
    <w:rsid w:val="00E33B25"/>
    <w:rsid w:val="00E33B88"/>
    <w:rsid w:val="00E33C7D"/>
    <w:rsid w:val="00E33C94"/>
    <w:rsid w:val="00E33D15"/>
    <w:rsid w:val="00E33DC5"/>
    <w:rsid w:val="00E33E63"/>
    <w:rsid w:val="00E33F81"/>
    <w:rsid w:val="00E33FC7"/>
    <w:rsid w:val="00E33FF8"/>
    <w:rsid w:val="00E3418A"/>
    <w:rsid w:val="00E341DE"/>
    <w:rsid w:val="00E3423D"/>
    <w:rsid w:val="00E34277"/>
    <w:rsid w:val="00E342B9"/>
    <w:rsid w:val="00E342CD"/>
    <w:rsid w:val="00E342CF"/>
    <w:rsid w:val="00E34353"/>
    <w:rsid w:val="00E343DA"/>
    <w:rsid w:val="00E3448F"/>
    <w:rsid w:val="00E344F8"/>
    <w:rsid w:val="00E34679"/>
    <w:rsid w:val="00E346B2"/>
    <w:rsid w:val="00E347A8"/>
    <w:rsid w:val="00E347B6"/>
    <w:rsid w:val="00E347E6"/>
    <w:rsid w:val="00E34820"/>
    <w:rsid w:val="00E3484B"/>
    <w:rsid w:val="00E348A3"/>
    <w:rsid w:val="00E34B25"/>
    <w:rsid w:val="00E34B29"/>
    <w:rsid w:val="00E34BE3"/>
    <w:rsid w:val="00E34BE8"/>
    <w:rsid w:val="00E34CFB"/>
    <w:rsid w:val="00E34D57"/>
    <w:rsid w:val="00E34D64"/>
    <w:rsid w:val="00E34D99"/>
    <w:rsid w:val="00E34DBA"/>
    <w:rsid w:val="00E34DBB"/>
    <w:rsid w:val="00E34F2E"/>
    <w:rsid w:val="00E3508B"/>
    <w:rsid w:val="00E35233"/>
    <w:rsid w:val="00E352A6"/>
    <w:rsid w:val="00E352B5"/>
    <w:rsid w:val="00E352E6"/>
    <w:rsid w:val="00E352FE"/>
    <w:rsid w:val="00E3532D"/>
    <w:rsid w:val="00E35366"/>
    <w:rsid w:val="00E35381"/>
    <w:rsid w:val="00E353E6"/>
    <w:rsid w:val="00E35429"/>
    <w:rsid w:val="00E354F8"/>
    <w:rsid w:val="00E354FB"/>
    <w:rsid w:val="00E356E0"/>
    <w:rsid w:val="00E35761"/>
    <w:rsid w:val="00E357E4"/>
    <w:rsid w:val="00E35B19"/>
    <w:rsid w:val="00E35CC0"/>
    <w:rsid w:val="00E35D67"/>
    <w:rsid w:val="00E35D69"/>
    <w:rsid w:val="00E35E96"/>
    <w:rsid w:val="00E35E9F"/>
    <w:rsid w:val="00E35EE2"/>
    <w:rsid w:val="00E35F73"/>
    <w:rsid w:val="00E35FFB"/>
    <w:rsid w:val="00E360DF"/>
    <w:rsid w:val="00E361A6"/>
    <w:rsid w:val="00E361EB"/>
    <w:rsid w:val="00E36206"/>
    <w:rsid w:val="00E36211"/>
    <w:rsid w:val="00E362D6"/>
    <w:rsid w:val="00E36396"/>
    <w:rsid w:val="00E36433"/>
    <w:rsid w:val="00E36481"/>
    <w:rsid w:val="00E364E4"/>
    <w:rsid w:val="00E3661E"/>
    <w:rsid w:val="00E3662E"/>
    <w:rsid w:val="00E36639"/>
    <w:rsid w:val="00E367A3"/>
    <w:rsid w:val="00E3686A"/>
    <w:rsid w:val="00E36947"/>
    <w:rsid w:val="00E36AFD"/>
    <w:rsid w:val="00E36D13"/>
    <w:rsid w:val="00E36D7D"/>
    <w:rsid w:val="00E36ECD"/>
    <w:rsid w:val="00E36F0F"/>
    <w:rsid w:val="00E37012"/>
    <w:rsid w:val="00E3707B"/>
    <w:rsid w:val="00E370CB"/>
    <w:rsid w:val="00E371BA"/>
    <w:rsid w:val="00E371F9"/>
    <w:rsid w:val="00E37210"/>
    <w:rsid w:val="00E3723D"/>
    <w:rsid w:val="00E37248"/>
    <w:rsid w:val="00E3735C"/>
    <w:rsid w:val="00E374AD"/>
    <w:rsid w:val="00E374B4"/>
    <w:rsid w:val="00E375E6"/>
    <w:rsid w:val="00E375F1"/>
    <w:rsid w:val="00E37605"/>
    <w:rsid w:val="00E3760D"/>
    <w:rsid w:val="00E37697"/>
    <w:rsid w:val="00E376CC"/>
    <w:rsid w:val="00E37724"/>
    <w:rsid w:val="00E3785C"/>
    <w:rsid w:val="00E37901"/>
    <w:rsid w:val="00E379C5"/>
    <w:rsid w:val="00E37A42"/>
    <w:rsid w:val="00E37B16"/>
    <w:rsid w:val="00E37B77"/>
    <w:rsid w:val="00E37B91"/>
    <w:rsid w:val="00E37BF9"/>
    <w:rsid w:val="00E37CE5"/>
    <w:rsid w:val="00E37D17"/>
    <w:rsid w:val="00E37EEF"/>
    <w:rsid w:val="00E37F24"/>
    <w:rsid w:val="00E40057"/>
    <w:rsid w:val="00E40062"/>
    <w:rsid w:val="00E4006A"/>
    <w:rsid w:val="00E4023C"/>
    <w:rsid w:val="00E402AF"/>
    <w:rsid w:val="00E40369"/>
    <w:rsid w:val="00E40404"/>
    <w:rsid w:val="00E406A8"/>
    <w:rsid w:val="00E407CC"/>
    <w:rsid w:val="00E4084E"/>
    <w:rsid w:val="00E408E0"/>
    <w:rsid w:val="00E40A81"/>
    <w:rsid w:val="00E40AF6"/>
    <w:rsid w:val="00E40B11"/>
    <w:rsid w:val="00E40B24"/>
    <w:rsid w:val="00E40B41"/>
    <w:rsid w:val="00E40C34"/>
    <w:rsid w:val="00E40C6D"/>
    <w:rsid w:val="00E40DB5"/>
    <w:rsid w:val="00E40DB8"/>
    <w:rsid w:val="00E40E90"/>
    <w:rsid w:val="00E40EB5"/>
    <w:rsid w:val="00E40F3A"/>
    <w:rsid w:val="00E40F54"/>
    <w:rsid w:val="00E40F80"/>
    <w:rsid w:val="00E40FBC"/>
    <w:rsid w:val="00E41042"/>
    <w:rsid w:val="00E4107E"/>
    <w:rsid w:val="00E41127"/>
    <w:rsid w:val="00E41133"/>
    <w:rsid w:val="00E4115E"/>
    <w:rsid w:val="00E4118A"/>
    <w:rsid w:val="00E4123A"/>
    <w:rsid w:val="00E41264"/>
    <w:rsid w:val="00E41312"/>
    <w:rsid w:val="00E4135D"/>
    <w:rsid w:val="00E41418"/>
    <w:rsid w:val="00E41424"/>
    <w:rsid w:val="00E414B6"/>
    <w:rsid w:val="00E4155E"/>
    <w:rsid w:val="00E41660"/>
    <w:rsid w:val="00E41743"/>
    <w:rsid w:val="00E41769"/>
    <w:rsid w:val="00E41885"/>
    <w:rsid w:val="00E41921"/>
    <w:rsid w:val="00E419A0"/>
    <w:rsid w:val="00E41A49"/>
    <w:rsid w:val="00E41A7A"/>
    <w:rsid w:val="00E41AD3"/>
    <w:rsid w:val="00E41BB9"/>
    <w:rsid w:val="00E41BE5"/>
    <w:rsid w:val="00E41CEE"/>
    <w:rsid w:val="00E41D58"/>
    <w:rsid w:val="00E41D5F"/>
    <w:rsid w:val="00E41D99"/>
    <w:rsid w:val="00E41DB3"/>
    <w:rsid w:val="00E41FB2"/>
    <w:rsid w:val="00E42036"/>
    <w:rsid w:val="00E4205F"/>
    <w:rsid w:val="00E420CA"/>
    <w:rsid w:val="00E42120"/>
    <w:rsid w:val="00E4215C"/>
    <w:rsid w:val="00E42198"/>
    <w:rsid w:val="00E42282"/>
    <w:rsid w:val="00E42308"/>
    <w:rsid w:val="00E4235C"/>
    <w:rsid w:val="00E42366"/>
    <w:rsid w:val="00E4236A"/>
    <w:rsid w:val="00E423B0"/>
    <w:rsid w:val="00E424AE"/>
    <w:rsid w:val="00E424F5"/>
    <w:rsid w:val="00E42574"/>
    <w:rsid w:val="00E42686"/>
    <w:rsid w:val="00E42814"/>
    <w:rsid w:val="00E4284A"/>
    <w:rsid w:val="00E428CD"/>
    <w:rsid w:val="00E429E7"/>
    <w:rsid w:val="00E42A85"/>
    <w:rsid w:val="00E42C93"/>
    <w:rsid w:val="00E42D38"/>
    <w:rsid w:val="00E42EC0"/>
    <w:rsid w:val="00E42F15"/>
    <w:rsid w:val="00E4307F"/>
    <w:rsid w:val="00E4309F"/>
    <w:rsid w:val="00E4318C"/>
    <w:rsid w:val="00E431FB"/>
    <w:rsid w:val="00E43266"/>
    <w:rsid w:val="00E4327C"/>
    <w:rsid w:val="00E43367"/>
    <w:rsid w:val="00E43508"/>
    <w:rsid w:val="00E436C4"/>
    <w:rsid w:val="00E4374F"/>
    <w:rsid w:val="00E4375F"/>
    <w:rsid w:val="00E43840"/>
    <w:rsid w:val="00E43852"/>
    <w:rsid w:val="00E438A9"/>
    <w:rsid w:val="00E438B0"/>
    <w:rsid w:val="00E438C7"/>
    <w:rsid w:val="00E4392D"/>
    <w:rsid w:val="00E43943"/>
    <w:rsid w:val="00E439DE"/>
    <w:rsid w:val="00E43B63"/>
    <w:rsid w:val="00E43BB4"/>
    <w:rsid w:val="00E43C36"/>
    <w:rsid w:val="00E43CC8"/>
    <w:rsid w:val="00E43D73"/>
    <w:rsid w:val="00E43EAE"/>
    <w:rsid w:val="00E43EFD"/>
    <w:rsid w:val="00E43F08"/>
    <w:rsid w:val="00E4404C"/>
    <w:rsid w:val="00E44080"/>
    <w:rsid w:val="00E4425A"/>
    <w:rsid w:val="00E442A8"/>
    <w:rsid w:val="00E442C5"/>
    <w:rsid w:val="00E442F4"/>
    <w:rsid w:val="00E44305"/>
    <w:rsid w:val="00E4445C"/>
    <w:rsid w:val="00E44553"/>
    <w:rsid w:val="00E4471A"/>
    <w:rsid w:val="00E44732"/>
    <w:rsid w:val="00E44735"/>
    <w:rsid w:val="00E447DE"/>
    <w:rsid w:val="00E44808"/>
    <w:rsid w:val="00E44869"/>
    <w:rsid w:val="00E448CA"/>
    <w:rsid w:val="00E448F6"/>
    <w:rsid w:val="00E4491E"/>
    <w:rsid w:val="00E44973"/>
    <w:rsid w:val="00E44988"/>
    <w:rsid w:val="00E4498A"/>
    <w:rsid w:val="00E44A1A"/>
    <w:rsid w:val="00E44A7A"/>
    <w:rsid w:val="00E44BB5"/>
    <w:rsid w:val="00E44BD1"/>
    <w:rsid w:val="00E44BE3"/>
    <w:rsid w:val="00E44C87"/>
    <w:rsid w:val="00E44D05"/>
    <w:rsid w:val="00E44DDD"/>
    <w:rsid w:val="00E44DEF"/>
    <w:rsid w:val="00E44E5A"/>
    <w:rsid w:val="00E44E8A"/>
    <w:rsid w:val="00E44EC5"/>
    <w:rsid w:val="00E45182"/>
    <w:rsid w:val="00E45246"/>
    <w:rsid w:val="00E453F7"/>
    <w:rsid w:val="00E45482"/>
    <w:rsid w:val="00E45650"/>
    <w:rsid w:val="00E4577C"/>
    <w:rsid w:val="00E457CA"/>
    <w:rsid w:val="00E45874"/>
    <w:rsid w:val="00E458E9"/>
    <w:rsid w:val="00E45A35"/>
    <w:rsid w:val="00E45AC5"/>
    <w:rsid w:val="00E45BC9"/>
    <w:rsid w:val="00E45C03"/>
    <w:rsid w:val="00E45C0C"/>
    <w:rsid w:val="00E45DB3"/>
    <w:rsid w:val="00E45E5F"/>
    <w:rsid w:val="00E45EA9"/>
    <w:rsid w:val="00E45FE8"/>
    <w:rsid w:val="00E46022"/>
    <w:rsid w:val="00E460D0"/>
    <w:rsid w:val="00E460E8"/>
    <w:rsid w:val="00E46119"/>
    <w:rsid w:val="00E46265"/>
    <w:rsid w:val="00E462A5"/>
    <w:rsid w:val="00E462DD"/>
    <w:rsid w:val="00E462EB"/>
    <w:rsid w:val="00E4639E"/>
    <w:rsid w:val="00E46402"/>
    <w:rsid w:val="00E46587"/>
    <w:rsid w:val="00E465D6"/>
    <w:rsid w:val="00E4661A"/>
    <w:rsid w:val="00E4667C"/>
    <w:rsid w:val="00E4672E"/>
    <w:rsid w:val="00E46826"/>
    <w:rsid w:val="00E46843"/>
    <w:rsid w:val="00E46919"/>
    <w:rsid w:val="00E469E3"/>
    <w:rsid w:val="00E469EE"/>
    <w:rsid w:val="00E46A38"/>
    <w:rsid w:val="00E46A77"/>
    <w:rsid w:val="00E46BFA"/>
    <w:rsid w:val="00E46C24"/>
    <w:rsid w:val="00E46C37"/>
    <w:rsid w:val="00E46CA3"/>
    <w:rsid w:val="00E46CEA"/>
    <w:rsid w:val="00E46D39"/>
    <w:rsid w:val="00E46D6F"/>
    <w:rsid w:val="00E46EF3"/>
    <w:rsid w:val="00E4701E"/>
    <w:rsid w:val="00E470CC"/>
    <w:rsid w:val="00E470DC"/>
    <w:rsid w:val="00E47184"/>
    <w:rsid w:val="00E471E2"/>
    <w:rsid w:val="00E47267"/>
    <w:rsid w:val="00E47294"/>
    <w:rsid w:val="00E472B5"/>
    <w:rsid w:val="00E47382"/>
    <w:rsid w:val="00E473D9"/>
    <w:rsid w:val="00E474AF"/>
    <w:rsid w:val="00E474F2"/>
    <w:rsid w:val="00E47582"/>
    <w:rsid w:val="00E476ED"/>
    <w:rsid w:val="00E477C4"/>
    <w:rsid w:val="00E47A1A"/>
    <w:rsid w:val="00E47A31"/>
    <w:rsid w:val="00E47BB0"/>
    <w:rsid w:val="00E47BB5"/>
    <w:rsid w:val="00E47BB8"/>
    <w:rsid w:val="00E47CA4"/>
    <w:rsid w:val="00E47CE1"/>
    <w:rsid w:val="00E47CF6"/>
    <w:rsid w:val="00E47D34"/>
    <w:rsid w:val="00E47D51"/>
    <w:rsid w:val="00E47DC6"/>
    <w:rsid w:val="00E47E9F"/>
    <w:rsid w:val="00E47EF9"/>
    <w:rsid w:val="00E47F53"/>
    <w:rsid w:val="00E47F97"/>
    <w:rsid w:val="00E47FA4"/>
    <w:rsid w:val="00E47FB4"/>
    <w:rsid w:val="00E50017"/>
    <w:rsid w:val="00E5007A"/>
    <w:rsid w:val="00E50183"/>
    <w:rsid w:val="00E501AC"/>
    <w:rsid w:val="00E502F2"/>
    <w:rsid w:val="00E5036A"/>
    <w:rsid w:val="00E503EE"/>
    <w:rsid w:val="00E50445"/>
    <w:rsid w:val="00E50446"/>
    <w:rsid w:val="00E50592"/>
    <w:rsid w:val="00E505F7"/>
    <w:rsid w:val="00E50617"/>
    <w:rsid w:val="00E5061E"/>
    <w:rsid w:val="00E5061F"/>
    <w:rsid w:val="00E5062D"/>
    <w:rsid w:val="00E50758"/>
    <w:rsid w:val="00E50781"/>
    <w:rsid w:val="00E5082A"/>
    <w:rsid w:val="00E50B3D"/>
    <w:rsid w:val="00E50B56"/>
    <w:rsid w:val="00E50BE2"/>
    <w:rsid w:val="00E50C98"/>
    <w:rsid w:val="00E50CDF"/>
    <w:rsid w:val="00E50D1C"/>
    <w:rsid w:val="00E50DD9"/>
    <w:rsid w:val="00E50E7C"/>
    <w:rsid w:val="00E50ECC"/>
    <w:rsid w:val="00E50F05"/>
    <w:rsid w:val="00E50F59"/>
    <w:rsid w:val="00E51023"/>
    <w:rsid w:val="00E5107B"/>
    <w:rsid w:val="00E5118B"/>
    <w:rsid w:val="00E5119D"/>
    <w:rsid w:val="00E51405"/>
    <w:rsid w:val="00E514DE"/>
    <w:rsid w:val="00E51545"/>
    <w:rsid w:val="00E51599"/>
    <w:rsid w:val="00E51668"/>
    <w:rsid w:val="00E51686"/>
    <w:rsid w:val="00E51793"/>
    <w:rsid w:val="00E51797"/>
    <w:rsid w:val="00E517DF"/>
    <w:rsid w:val="00E518E3"/>
    <w:rsid w:val="00E51945"/>
    <w:rsid w:val="00E519C7"/>
    <w:rsid w:val="00E519E4"/>
    <w:rsid w:val="00E51A0E"/>
    <w:rsid w:val="00E51A89"/>
    <w:rsid w:val="00E51AFE"/>
    <w:rsid w:val="00E51C75"/>
    <w:rsid w:val="00E51CA2"/>
    <w:rsid w:val="00E51D9E"/>
    <w:rsid w:val="00E51DD2"/>
    <w:rsid w:val="00E51DDA"/>
    <w:rsid w:val="00E51EE1"/>
    <w:rsid w:val="00E51EE2"/>
    <w:rsid w:val="00E51F91"/>
    <w:rsid w:val="00E52021"/>
    <w:rsid w:val="00E520C2"/>
    <w:rsid w:val="00E52117"/>
    <w:rsid w:val="00E52120"/>
    <w:rsid w:val="00E521BD"/>
    <w:rsid w:val="00E522D9"/>
    <w:rsid w:val="00E522E9"/>
    <w:rsid w:val="00E52341"/>
    <w:rsid w:val="00E52587"/>
    <w:rsid w:val="00E525FD"/>
    <w:rsid w:val="00E52611"/>
    <w:rsid w:val="00E526AA"/>
    <w:rsid w:val="00E526CB"/>
    <w:rsid w:val="00E5272F"/>
    <w:rsid w:val="00E527FD"/>
    <w:rsid w:val="00E5283A"/>
    <w:rsid w:val="00E52940"/>
    <w:rsid w:val="00E529AE"/>
    <w:rsid w:val="00E52AAF"/>
    <w:rsid w:val="00E52AF0"/>
    <w:rsid w:val="00E52B31"/>
    <w:rsid w:val="00E52C50"/>
    <w:rsid w:val="00E52CF1"/>
    <w:rsid w:val="00E52DB0"/>
    <w:rsid w:val="00E52F3F"/>
    <w:rsid w:val="00E5304D"/>
    <w:rsid w:val="00E53059"/>
    <w:rsid w:val="00E530B4"/>
    <w:rsid w:val="00E5310F"/>
    <w:rsid w:val="00E53199"/>
    <w:rsid w:val="00E531B9"/>
    <w:rsid w:val="00E531F3"/>
    <w:rsid w:val="00E53241"/>
    <w:rsid w:val="00E53294"/>
    <w:rsid w:val="00E53313"/>
    <w:rsid w:val="00E53403"/>
    <w:rsid w:val="00E53413"/>
    <w:rsid w:val="00E53440"/>
    <w:rsid w:val="00E5345D"/>
    <w:rsid w:val="00E5362D"/>
    <w:rsid w:val="00E536E6"/>
    <w:rsid w:val="00E5379D"/>
    <w:rsid w:val="00E537D1"/>
    <w:rsid w:val="00E53812"/>
    <w:rsid w:val="00E53830"/>
    <w:rsid w:val="00E538AD"/>
    <w:rsid w:val="00E5399D"/>
    <w:rsid w:val="00E53C51"/>
    <w:rsid w:val="00E53C54"/>
    <w:rsid w:val="00E53D6A"/>
    <w:rsid w:val="00E53E4F"/>
    <w:rsid w:val="00E53E8D"/>
    <w:rsid w:val="00E53EB7"/>
    <w:rsid w:val="00E53ED0"/>
    <w:rsid w:val="00E53F9D"/>
    <w:rsid w:val="00E5403D"/>
    <w:rsid w:val="00E5410F"/>
    <w:rsid w:val="00E54121"/>
    <w:rsid w:val="00E541A7"/>
    <w:rsid w:val="00E54286"/>
    <w:rsid w:val="00E542D6"/>
    <w:rsid w:val="00E54362"/>
    <w:rsid w:val="00E54388"/>
    <w:rsid w:val="00E544D1"/>
    <w:rsid w:val="00E5457F"/>
    <w:rsid w:val="00E54638"/>
    <w:rsid w:val="00E54668"/>
    <w:rsid w:val="00E546A4"/>
    <w:rsid w:val="00E54869"/>
    <w:rsid w:val="00E5489C"/>
    <w:rsid w:val="00E549C0"/>
    <w:rsid w:val="00E549CC"/>
    <w:rsid w:val="00E54A26"/>
    <w:rsid w:val="00E54A91"/>
    <w:rsid w:val="00E54C0F"/>
    <w:rsid w:val="00E54CB1"/>
    <w:rsid w:val="00E54CDA"/>
    <w:rsid w:val="00E54D5D"/>
    <w:rsid w:val="00E54DD2"/>
    <w:rsid w:val="00E54E66"/>
    <w:rsid w:val="00E54F0B"/>
    <w:rsid w:val="00E54F9C"/>
    <w:rsid w:val="00E55012"/>
    <w:rsid w:val="00E550E4"/>
    <w:rsid w:val="00E5528A"/>
    <w:rsid w:val="00E552FD"/>
    <w:rsid w:val="00E55472"/>
    <w:rsid w:val="00E55523"/>
    <w:rsid w:val="00E55569"/>
    <w:rsid w:val="00E55647"/>
    <w:rsid w:val="00E55737"/>
    <w:rsid w:val="00E55884"/>
    <w:rsid w:val="00E558C1"/>
    <w:rsid w:val="00E558DF"/>
    <w:rsid w:val="00E559F7"/>
    <w:rsid w:val="00E55A42"/>
    <w:rsid w:val="00E55A7B"/>
    <w:rsid w:val="00E55A7D"/>
    <w:rsid w:val="00E55C6D"/>
    <w:rsid w:val="00E55DBC"/>
    <w:rsid w:val="00E55E64"/>
    <w:rsid w:val="00E55E80"/>
    <w:rsid w:val="00E55F45"/>
    <w:rsid w:val="00E55FCD"/>
    <w:rsid w:val="00E5605C"/>
    <w:rsid w:val="00E56091"/>
    <w:rsid w:val="00E562CB"/>
    <w:rsid w:val="00E564C3"/>
    <w:rsid w:val="00E56522"/>
    <w:rsid w:val="00E56633"/>
    <w:rsid w:val="00E5669B"/>
    <w:rsid w:val="00E567E6"/>
    <w:rsid w:val="00E568A5"/>
    <w:rsid w:val="00E56929"/>
    <w:rsid w:val="00E56960"/>
    <w:rsid w:val="00E56971"/>
    <w:rsid w:val="00E569A4"/>
    <w:rsid w:val="00E569B2"/>
    <w:rsid w:val="00E56A04"/>
    <w:rsid w:val="00E56A6D"/>
    <w:rsid w:val="00E56B07"/>
    <w:rsid w:val="00E56B19"/>
    <w:rsid w:val="00E56CCA"/>
    <w:rsid w:val="00E56CD3"/>
    <w:rsid w:val="00E56D29"/>
    <w:rsid w:val="00E56DFF"/>
    <w:rsid w:val="00E56E87"/>
    <w:rsid w:val="00E56F0E"/>
    <w:rsid w:val="00E56F8C"/>
    <w:rsid w:val="00E5700F"/>
    <w:rsid w:val="00E57061"/>
    <w:rsid w:val="00E571CB"/>
    <w:rsid w:val="00E5729A"/>
    <w:rsid w:val="00E572EC"/>
    <w:rsid w:val="00E572F8"/>
    <w:rsid w:val="00E574B7"/>
    <w:rsid w:val="00E574D3"/>
    <w:rsid w:val="00E57507"/>
    <w:rsid w:val="00E57647"/>
    <w:rsid w:val="00E5765E"/>
    <w:rsid w:val="00E57767"/>
    <w:rsid w:val="00E577E9"/>
    <w:rsid w:val="00E5780F"/>
    <w:rsid w:val="00E57971"/>
    <w:rsid w:val="00E57AC3"/>
    <w:rsid w:val="00E57B04"/>
    <w:rsid w:val="00E57B68"/>
    <w:rsid w:val="00E57CB4"/>
    <w:rsid w:val="00E57CCF"/>
    <w:rsid w:val="00E57D34"/>
    <w:rsid w:val="00E57D9C"/>
    <w:rsid w:val="00E57DD5"/>
    <w:rsid w:val="00E57EDE"/>
    <w:rsid w:val="00E57F53"/>
    <w:rsid w:val="00E57FE2"/>
    <w:rsid w:val="00E60010"/>
    <w:rsid w:val="00E60039"/>
    <w:rsid w:val="00E600B0"/>
    <w:rsid w:val="00E60214"/>
    <w:rsid w:val="00E60248"/>
    <w:rsid w:val="00E6031F"/>
    <w:rsid w:val="00E6053D"/>
    <w:rsid w:val="00E60540"/>
    <w:rsid w:val="00E6055F"/>
    <w:rsid w:val="00E605F6"/>
    <w:rsid w:val="00E605FC"/>
    <w:rsid w:val="00E6084B"/>
    <w:rsid w:val="00E609B3"/>
    <w:rsid w:val="00E609CB"/>
    <w:rsid w:val="00E609E4"/>
    <w:rsid w:val="00E60B09"/>
    <w:rsid w:val="00E60B3A"/>
    <w:rsid w:val="00E60B72"/>
    <w:rsid w:val="00E60B94"/>
    <w:rsid w:val="00E60CC3"/>
    <w:rsid w:val="00E60CC4"/>
    <w:rsid w:val="00E60D16"/>
    <w:rsid w:val="00E60D1D"/>
    <w:rsid w:val="00E60E51"/>
    <w:rsid w:val="00E60EE3"/>
    <w:rsid w:val="00E60F02"/>
    <w:rsid w:val="00E60F07"/>
    <w:rsid w:val="00E60FC8"/>
    <w:rsid w:val="00E60FDF"/>
    <w:rsid w:val="00E60FE7"/>
    <w:rsid w:val="00E6113D"/>
    <w:rsid w:val="00E6121F"/>
    <w:rsid w:val="00E61251"/>
    <w:rsid w:val="00E61337"/>
    <w:rsid w:val="00E61472"/>
    <w:rsid w:val="00E61473"/>
    <w:rsid w:val="00E61484"/>
    <w:rsid w:val="00E6149A"/>
    <w:rsid w:val="00E61529"/>
    <w:rsid w:val="00E6164E"/>
    <w:rsid w:val="00E61732"/>
    <w:rsid w:val="00E61A8E"/>
    <w:rsid w:val="00E61A9A"/>
    <w:rsid w:val="00E61AFD"/>
    <w:rsid w:val="00E61B21"/>
    <w:rsid w:val="00E61C5A"/>
    <w:rsid w:val="00E61C6F"/>
    <w:rsid w:val="00E61D65"/>
    <w:rsid w:val="00E61DE0"/>
    <w:rsid w:val="00E61F01"/>
    <w:rsid w:val="00E61F40"/>
    <w:rsid w:val="00E61F55"/>
    <w:rsid w:val="00E62036"/>
    <w:rsid w:val="00E6204E"/>
    <w:rsid w:val="00E6215C"/>
    <w:rsid w:val="00E6222E"/>
    <w:rsid w:val="00E623AD"/>
    <w:rsid w:val="00E624FF"/>
    <w:rsid w:val="00E62568"/>
    <w:rsid w:val="00E6256C"/>
    <w:rsid w:val="00E6268A"/>
    <w:rsid w:val="00E62735"/>
    <w:rsid w:val="00E627C3"/>
    <w:rsid w:val="00E627EC"/>
    <w:rsid w:val="00E62867"/>
    <w:rsid w:val="00E62891"/>
    <w:rsid w:val="00E629F0"/>
    <w:rsid w:val="00E629FB"/>
    <w:rsid w:val="00E62A19"/>
    <w:rsid w:val="00E62B8F"/>
    <w:rsid w:val="00E62C0C"/>
    <w:rsid w:val="00E62C98"/>
    <w:rsid w:val="00E62D5A"/>
    <w:rsid w:val="00E62D5F"/>
    <w:rsid w:val="00E62D72"/>
    <w:rsid w:val="00E62DF9"/>
    <w:rsid w:val="00E62E8B"/>
    <w:rsid w:val="00E62EEE"/>
    <w:rsid w:val="00E62F61"/>
    <w:rsid w:val="00E62F7D"/>
    <w:rsid w:val="00E62FDB"/>
    <w:rsid w:val="00E62FFA"/>
    <w:rsid w:val="00E6301D"/>
    <w:rsid w:val="00E630AC"/>
    <w:rsid w:val="00E63132"/>
    <w:rsid w:val="00E63181"/>
    <w:rsid w:val="00E6320D"/>
    <w:rsid w:val="00E6321B"/>
    <w:rsid w:val="00E63294"/>
    <w:rsid w:val="00E633DF"/>
    <w:rsid w:val="00E633EC"/>
    <w:rsid w:val="00E6346E"/>
    <w:rsid w:val="00E63500"/>
    <w:rsid w:val="00E63522"/>
    <w:rsid w:val="00E635C2"/>
    <w:rsid w:val="00E636DF"/>
    <w:rsid w:val="00E6373C"/>
    <w:rsid w:val="00E6374A"/>
    <w:rsid w:val="00E63766"/>
    <w:rsid w:val="00E63865"/>
    <w:rsid w:val="00E63887"/>
    <w:rsid w:val="00E638B3"/>
    <w:rsid w:val="00E639C0"/>
    <w:rsid w:val="00E63A19"/>
    <w:rsid w:val="00E63B0E"/>
    <w:rsid w:val="00E63DAD"/>
    <w:rsid w:val="00E63DD1"/>
    <w:rsid w:val="00E63E20"/>
    <w:rsid w:val="00E63F97"/>
    <w:rsid w:val="00E6413B"/>
    <w:rsid w:val="00E64196"/>
    <w:rsid w:val="00E641AF"/>
    <w:rsid w:val="00E641F6"/>
    <w:rsid w:val="00E6431B"/>
    <w:rsid w:val="00E6435C"/>
    <w:rsid w:val="00E643EA"/>
    <w:rsid w:val="00E64563"/>
    <w:rsid w:val="00E645DE"/>
    <w:rsid w:val="00E6466C"/>
    <w:rsid w:val="00E64940"/>
    <w:rsid w:val="00E649FF"/>
    <w:rsid w:val="00E64A33"/>
    <w:rsid w:val="00E64A57"/>
    <w:rsid w:val="00E64B20"/>
    <w:rsid w:val="00E64B21"/>
    <w:rsid w:val="00E64B4C"/>
    <w:rsid w:val="00E64BCF"/>
    <w:rsid w:val="00E64BE7"/>
    <w:rsid w:val="00E64C29"/>
    <w:rsid w:val="00E64C35"/>
    <w:rsid w:val="00E64D37"/>
    <w:rsid w:val="00E64E6C"/>
    <w:rsid w:val="00E64EB4"/>
    <w:rsid w:val="00E64FDC"/>
    <w:rsid w:val="00E65091"/>
    <w:rsid w:val="00E650C0"/>
    <w:rsid w:val="00E65119"/>
    <w:rsid w:val="00E6515C"/>
    <w:rsid w:val="00E651BF"/>
    <w:rsid w:val="00E6527F"/>
    <w:rsid w:val="00E65295"/>
    <w:rsid w:val="00E65381"/>
    <w:rsid w:val="00E653FF"/>
    <w:rsid w:val="00E65410"/>
    <w:rsid w:val="00E65487"/>
    <w:rsid w:val="00E6549B"/>
    <w:rsid w:val="00E654C7"/>
    <w:rsid w:val="00E65512"/>
    <w:rsid w:val="00E65669"/>
    <w:rsid w:val="00E6573B"/>
    <w:rsid w:val="00E657D5"/>
    <w:rsid w:val="00E6582D"/>
    <w:rsid w:val="00E658CB"/>
    <w:rsid w:val="00E658F2"/>
    <w:rsid w:val="00E6591A"/>
    <w:rsid w:val="00E6597F"/>
    <w:rsid w:val="00E6599D"/>
    <w:rsid w:val="00E65A71"/>
    <w:rsid w:val="00E65B75"/>
    <w:rsid w:val="00E65CFD"/>
    <w:rsid w:val="00E65D16"/>
    <w:rsid w:val="00E65DB0"/>
    <w:rsid w:val="00E65DDE"/>
    <w:rsid w:val="00E65E2B"/>
    <w:rsid w:val="00E6604D"/>
    <w:rsid w:val="00E66058"/>
    <w:rsid w:val="00E661A5"/>
    <w:rsid w:val="00E66324"/>
    <w:rsid w:val="00E6640B"/>
    <w:rsid w:val="00E66545"/>
    <w:rsid w:val="00E6661D"/>
    <w:rsid w:val="00E667E4"/>
    <w:rsid w:val="00E667EE"/>
    <w:rsid w:val="00E66930"/>
    <w:rsid w:val="00E669A4"/>
    <w:rsid w:val="00E66A53"/>
    <w:rsid w:val="00E66A9E"/>
    <w:rsid w:val="00E66C2B"/>
    <w:rsid w:val="00E66C80"/>
    <w:rsid w:val="00E66D60"/>
    <w:rsid w:val="00E66E44"/>
    <w:rsid w:val="00E66E9B"/>
    <w:rsid w:val="00E6700A"/>
    <w:rsid w:val="00E6706C"/>
    <w:rsid w:val="00E670F6"/>
    <w:rsid w:val="00E6710F"/>
    <w:rsid w:val="00E6722B"/>
    <w:rsid w:val="00E67376"/>
    <w:rsid w:val="00E673E6"/>
    <w:rsid w:val="00E67424"/>
    <w:rsid w:val="00E674B4"/>
    <w:rsid w:val="00E674E9"/>
    <w:rsid w:val="00E6760F"/>
    <w:rsid w:val="00E6772A"/>
    <w:rsid w:val="00E67965"/>
    <w:rsid w:val="00E679DD"/>
    <w:rsid w:val="00E67A77"/>
    <w:rsid w:val="00E67BC6"/>
    <w:rsid w:val="00E67D28"/>
    <w:rsid w:val="00E67D5E"/>
    <w:rsid w:val="00E67DA3"/>
    <w:rsid w:val="00E67DF7"/>
    <w:rsid w:val="00E67E54"/>
    <w:rsid w:val="00E67F0A"/>
    <w:rsid w:val="00E67FC7"/>
    <w:rsid w:val="00E7005E"/>
    <w:rsid w:val="00E70178"/>
    <w:rsid w:val="00E702E5"/>
    <w:rsid w:val="00E70326"/>
    <w:rsid w:val="00E703C9"/>
    <w:rsid w:val="00E70469"/>
    <w:rsid w:val="00E704FB"/>
    <w:rsid w:val="00E70554"/>
    <w:rsid w:val="00E7071E"/>
    <w:rsid w:val="00E70793"/>
    <w:rsid w:val="00E70795"/>
    <w:rsid w:val="00E70830"/>
    <w:rsid w:val="00E708C4"/>
    <w:rsid w:val="00E7090F"/>
    <w:rsid w:val="00E70CB5"/>
    <w:rsid w:val="00E70DAC"/>
    <w:rsid w:val="00E70E07"/>
    <w:rsid w:val="00E70E9B"/>
    <w:rsid w:val="00E70F76"/>
    <w:rsid w:val="00E71037"/>
    <w:rsid w:val="00E710B6"/>
    <w:rsid w:val="00E711D7"/>
    <w:rsid w:val="00E7133F"/>
    <w:rsid w:val="00E71342"/>
    <w:rsid w:val="00E71410"/>
    <w:rsid w:val="00E71458"/>
    <w:rsid w:val="00E7152A"/>
    <w:rsid w:val="00E715F0"/>
    <w:rsid w:val="00E716A0"/>
    <w:rsid w:val="00E716C0"/>
    <w:rsid w:val="00E716ED"/>
    <w:rsid w:val="00E71747"/>
    <w:rsid w:val="00E7175B"/>
    <w:rsid w:val="00E7198C"/>
    <w:rsid w:val="00E719AD"/>
    <w:rsid w:val="00E71AAC"/>
    <w:rsid w:val="00E71AFE"/>
    <w:rsid w:val="00E71B2D"/>
    <w:rsid w:val="00E71B78"/>
    <w:rsid w:val="00E71BD4"/>
    <w:rsid w:val="00E71BFA"/>
    <w:rsid w:val="00E71D24"/>
    <w:rsid w:val="00E71E22"/>
    <w:rsid w:val="00E71E3C"/>
    <w:rsid w:val="00E71E69"/>
    <w:rsid w:val="00E71EA6"/>
    <w:rsid w:val="00E71EBB"/>
    <w:rsid w:val="00E71EF6"/>
    <w:rsid w:val="00E71F78"/>
    <w:rsid w:val="00E71FDE"/>
    <w:rsid w:val="00E720CC"/>
    <w:rsid w:val="00E720FE"/>
    <w:rsid w:val="00E7215D"/>
    <w:rsid w:val="00E7219C"/>
    <w:rsid w:val="00E7225D"/>
    <w:rsid w:val="00E7228C"/>
    <w:rsid w:val="00E7233A"/>
    <w:rsid w:val="00E72466"/>
    <w:rsid w:val="00E72522"/>
    <w:rsid w:val="00E7254E"/>
    <w:rsid w:val="00E725A7"/>
    <w:rsid w:val="00E7263F"/>
    <w:rsid w:val="00E7266A"/>
    <w:rsid w:val="00E72746"/>
    <w:rsid w:val="00E727EA"/>
    <w:rsid w:val="00E7282D"/>
    <w:rsid w:val="00E72881"/>
    <w:rsid w:val="00E72943"/>
    <w:rsid w:val="00E72A1B"/>
    <w:rsid w:val="00E72B52"/>
    <w:rsid w:val="00E72BCC"/>
    <w:rsid w:val="00E72C0E"/>
    <w:rsid w:val="00E72C1E"/>
    <w:rsid w:val="00E72C4F"/>
    <w:rsid w:val="00E72CD4"/>
    <w:rsid w:val="00E72D0E"/>
    <w:rsid w:val="00E72DD3"/>
    <w:rsid w:val="00E72F2F"/>
    <w:rsid w:val="00E731CA"/>
    <w:rsid w:val="00E73205"/>
    <w:rsid w:val="00E732B3"/>
    <w:rsid w:val="00E733E7"/>
    <w:rsid w:val="00E73463"/>
    <w:rsid w:val="00E7348F"/>
    <w:rsid w:val="00E734B0"/>
    <w:rsid w:val="00E73565"/>
    <w:rsid w:val="00E73602"/>
    <w:rsid w:val="00E73685"/>
    <w:rsid w:val="00E73694"/>
    <w:rsid w:val="00E737EC"/>
    <w:rsid w:val="00E7389C"/>
    <w:rsid w:val="00E7397E"/>
    <w:rsid w:val="00E73ABA"/>
    <w:rsid w:val="00E73AD3"/>
    <w:rsid w:val="00E73B13"/>
    <w:rsid w:val="00E73BA8"/>
    <w:rsid w:val="00E73BC5"/>
    <w:rsid w:val="00E73C18"/>
    <w:rsid w:val="00E73C2B"/>
    <w:rsid w:val="00E73C66"/>
    <w:rsid w:val="00E73DD5"/>
    <w:rsid w:val="00E73EDF"/>
    <w:rsid w:val="00E73F6E"/>
    <w:rsid w:val="00E73FB0"/>
    <w:rsid w:val="00E73FBB"/>
    <w:rsid w:val="00E740F9"/>
    <w:rsid w:val="00E7417B"/>
    <w:rsid w:val="00E7418D"/>
    <w:rsid w:val="00E743B2"/>
    <w:rsid w:val="00E743FF"/>
    <w:rsid w:val="00E74416"/>
    <w:rsid w:val="00E744AE"/>
    <w:rsid w:val="00E744BF"/>
    <w:rsid w:val="00E744F4"/>
    <w:rsid w:val="00E74539"/>
    <w:rsid w:val="00E74613"/>
    <w:rsid w:val="00E74660"/>
    <w:rsid w:val="00E74673"/>
    <w:rsid w:val="00E746FD"/>
    <w:rsid w:val="00E7471E"/>
    <w:rsid w:val="00E7472E"/>
    <w:rsid w:val="00E747D4"/>
    <w:rsid w:val="00E747DD"/>
    <w:rsid w:val="00E748E2"/>
    <w:rsid w:val="00E749E2"/>
    <w:rsid w:val="00E749EB"/>
    <w:rsid w:val="00E74A98"/>
    <w:rsid w:val="00E74AA9"/>
    <w:rsid w:val="00E74AB5"/>
    <w:rsid w:val="00E74B0A"/>
    <w:rsid w:val="00E74B16"/>
    <w:rsid w:val="00E74CF4"/>
    <w:rsid w:val="00E74D2A"/>
    <w:rsid w:val="00E74DAD"/>
    <w:rsid w:val="00E74E1A"/>
    <w:rsid w:val="00E74E29"/>
    <w:rsid w:val="00E74E68"/>
    <w:rsid w:val="00E74EBE"/>
    <w:rsid w:val="00E74EE6"/>
    <w:rsid w:val="00E74F00"/>
    <w:rsid w:val="00E74FFD"/>
    <w:rsid w:val="00E7504D"/>
    <w:rsid w:val="00E75063"/>
    <w:rsid w:val="00E7516A"/>
    <w:rsid w:val="00E751C4"/>
    <w:rsid w:val="00E752BD"/>
    <w:rsid w:val="00E753B6"/>
    <w:rsid w:val="00E753F1"/>
    <w:rsid w:val="00E75442"/>
    <w:rsid w:val="00E754AA"/>
    <w:rsid w:val="00E754AD"/>
    <w:rsid w:val="00E75545"/>
    <w:rsid w:val="00E7558D"/>
    <w:rsid w:val="00E755ED"/>
    <w:rsid w:val="00E75736"/>
    <w:rsid w:val="00E75779"/>
    <w:rsid w:val="00E75805"/>
    <w:rsid w:val="00E75A25"/>
    <w:rsid w:val="00E75AB2"/>
    <w:rsid w:val="00E75B48"/>
    <w:rsid w:val="00E75B70"/>
    <w:rsid w:val="00E75C25"/>
    <w:rsid w:val="00E75C83"/>
    <w:rsid w:val="00E75CF8"/>
    <w:rsid w:val="00E75D16"/>
    <w:rsid w:val="00E75D92"/>
    <w:rsid w:val="00E75D95"/>
    <w:rsid w:val="00E75EDC"/>
    <w:rsid w:val="00E75F0F"/>
    <w:rsid w:val="00E75F15"/>
    <w:rsid w:val="00E75F92"/>
    <w:rsid w:val="00E760B4"/>
    <w:rsid w:val="00E760C5"/>
    <w:rsid w:val="00E760DA"/>
    <w:rsid w:val="00E7610E"/>
    <w:rsid w:val="00E76193"/>
    <w:rsid w:val="00E761E2"/>
    <w:rsid w:val="00E76203"/>
    <w:rsid w:val="00E7629D"/>
    <w:rsid w:val="00E7629F"/>
    <w:rsid w:val="00E7637D"/>
    <w:rsid w:val="00E763A4"/>
    <w:rsid w:val="00E76506"/>
    <w:rsid w:val="00E7654E"/>
    <w:rsid w:val="00E76708"/>
    <w:rsid w:val="00E767F8"/>
    <w:rsid w:val="00E76819"/>
    <w:rsid w:val="00E7692E"/>
    <w:rsid w:val="00E76958"/>
    <w:rsid w:val="00E76979"/>
    <w:rsid w:val="00E7697F"/>
    <w:rsid w:val="00E769E0"/>
    <w:rsid w:val="00E76AB0"/>
    <w:rsid w:val="00E76ADD"/>
    <w:rsid w:val="00E76C21"/>
    <w:rsid w:val="00E76CD0"/>
    <w:rsid w:val="00E76DCB"/>
    <w:rsid w:val="00E76DF0"/>
    <w:rsid w:val="00E76E19"/>
    <w:rsid w:val="00E76EED"/>
    <w:rsid w:val="00E76F85"/>
    <w:rsid w:val="00E76FB3"/>
    <w:rsid w:val="00E770C1"/>
    <w:rsid w:val="00E770D8"/>
    <w:rsid w:val="00E77101"/>
    <w:rsid w:val="00E77253"/>
    <w:rsid w:val="00E77265"/>
    <w:rsid w:val="00E7728E"/>
    <w:rsid w:val="00E772A3"/>
    <w:rsid w:val="00E7730C"/>
    <w:rsid w:val="00E7735B"/>
    <w:rsid w:val="00E773B2"/>
    <w:rsid w:val="00E7740C"/>
    <w:rsid w:val="00E7755D"/>
    <w:rsid w:val="00E77563"/>
    <w:rsid w:val="00E77568"/>
    <w:rsid w:val="00E776FD"/>
    <w:rsid w:val="00E77726"/>
    <w:rsid w:val="00E77785"/>
    <w:rsid w:val="00E7779A"/>
    <w:rsid w:val="00E779D9"/>
    <w:rsid w:val="00E779E5"/>
    <w:rsid w:val="00E779FA"/>
    <w:rsid w:val="00E77A12"/>
    <w:rsid w:val="00E77A4C"/>
    <w:rsid w:val="00E77B36"/>
    <w:rsid w:val="00E77BC3"/>
    <w:rsid w:val="00E77C28"/>
    <w:rsid w:val="00E77C71"/>
    <w:rsid w:val="00E77E32"/>
    <w:rsid w:val="00E77EF3"/>
    <w:rsid w:val="00E8003E"/>
    <w:rsid w:val="00E800AC"/>
    <w:rsid w:val="00E800DB"/>
    <w:rsid w:val="00E800DD"/>
    <w:rsid w:val="00E8015B"/>
    <w:rsid w:val="00E801F5"/>
    <w:rsid w:val="00E80208"/>
    <w:rsid w:val="00E80333"/>
    <w:rsid w:val="00E803CC"/>
    <w:rsid w:val="00E8040A"/>
    <w:rsid w:val="00E8059B"/>
    <w:rsid w:val="00E80690"/>
    <w:rsid w:val="00E806A5"/>
    <w:rsid w:val="00E806E3"/>
    <w:rsid w:val="00E80725"/>
    <w:rsid w:val="00E808C4"/>
    <w:rsid w:val="00E808F1"/>
    <w:rsid w:val="00E809C1"/>
    <w:rsid w:val="00E80A9A"/>
    <w:rsid w:val="00E80B00"/>
    <w:rsid w:val="00E80B0E"/>
    <w:rsid w:val="00E80BDD"/>
    <w:rsid w:val="00E80CF9"/>
    <w:rsid w:val="00E80D6D"/>
    <w:rsid w:val="00E80E48"/>
    <w:rsid w:val="00E80E77"/>
    <w:rsid w:val="00E80ED9"/>
    <w:rsid w:val="00E80F59"/>
    <w:rsid w:val="00E80FD3"/>
    <w:rsid w:val="00E81077"/>
    <w:rsid w:val="00E8117F"/>
    <w:rsid w:val="00E8119B"/>
    <w:rsid w:val="00E811E5"/>
    <w:rsid w:val="00E81286"/>
    <w:rsid w:val="00E8130B"/>
    <w:rsid w:val="00E8140A"/>
    <w:rsid w:val="00E814F5"/>
    <w:rsid w:val="00E815E1"/>
    <w:rsid w:val="00E816B4"/>
    <w:rsid w:val="00E816E8"/>
    <w:rsid w:val="00E817AC"/>
    <w:rsid w:val="00E818DF"/>
    <w:rsid w:val="00E81942"/>
    <w:rsid w:val="00E81A2D"/>
    <w:rsid w:val="00E81AA2"/>
    <w:rsid w:val="00E81BD7"/>
    <w:rsid w:val="00E81C21"/>
    <w:rsid w:val="00E81C25"/>
    <w:rsid w:val="00E81CA5"/>
    <w:rsid w:val="00E81CC7"/>
    <w:rsid w:val="00E81CF4"/>
    <w:rsid w:val="00E81D6D"/>
    <w:rsid w:val="00E81DA1"/>
    <w:rsid w:val="00E81DB0"/>
    <w:rsid w:val="00E81E10"/>
    <w:rsid w:val="00E81F0C"/>
    <w:rsid w:val="00E81FA8"/>
    <w:rsid w:val="00E81FEF"/>
    <w:rsid w:val="00E82139"/>
    <w:rsid w:val="00E8223F"/>
    <w:rsid w:val="00E82339"/>
    <w:rsid w:val="00E824B9"/>
    <w:rsid w:val="00E82544"/>
    <w:rsid w:val="00E8271A"/>
    <w:rsid w:val="00E8274D"/>
    <w:rsid w:val="00E82756"/>
    <w:rsid w:val="00E827BD"/>
    <w:rsid w:val="00E82811"/>
    <w:rsid w:val="00E829B0"/>
    <w:rsid w:val="00E829BA"/>
    <w:rsid w:val="00E82A4A"/>
    <w:rsid w:val="00E82A5D"/>
    <w:rsid w:val="00E82AAA"/>
    <w:rsid w:val="00E82AE4"/>
    <w:rsid w:val="00E82B25"/>
    <w:rsid w:val="00E82B9A"/>
    <w:rsid w:val="00E82C43"/>
    <w:rsid w:val="00E82CF3"/>
    <w:rsid w:val="00E82DA0"/>
    <w:rsid w:val="00E82DA7"/>
    <w:rsid w:val="00E82E32"/>
    <w:rsid w:val="00E82EBF"/>
    <w:rsid w:val="00E82F6C"/>
    <w:rsid w:val="00E82FC5"/>
    <w:rsid w:val="00E82FF4"/>
    <w:rsid w:val="00E831FD"/>
    <w:rsid w:val="00E83259"/>
    <w:rsid w:val="00E8327F"/>
    <w:rsid w:val="00E832B6"/>
    <w:rsid w:val="00E83328"/>
    <w:rsid w:val="00E8337A"/>
    <w:rsid w:val="00E834CB"/>
    <w:rsid w:val="00E83506"/>
    <w:rsid w:val="00E8351F"/>
    <w:rsid w:val="00E8365D"/>
    <w:rsid w:val="00E836D5"/>
    <w:rsid w:val="00E8374A"/>
    <w:rsid w:val="00E8391A"/>
    <w:rsid w:val="00E839B9"/>
    <w:rsid w:val="00E83A22"/>
    <w:rsid w:val="00E83A71"/>
    <w:rsid w:val="00E83AEE"/>
    <w:rsid w:val="00E83BE4"/>
    <w:rsid w:val="00E83DF6"/>
    <w:rsid w:val="00E83EBD"/>
    <w:rsid w:val="00E83FC7"/>
    <w:rsid w:val="00E8416B"/>
    <w:rsid w:val="00E84191"/>
    <w:rsid w:val="00E841F1"/>
    <w:rsid w:val="00E842C3"/>
    <w:rsid w:val="00E842D0"/>
    <w:rsid w:val="00E84341"/>
    <w:rsid w:val="00E84384"/>
    <w:rsid w:val="00E843DB"/>
    <w:rsid w:val="00E84440"/>
    <w:rsid w:val="00E8449F"/>
    <w:rsid w:val="00E844A9"/>
    <w:rsid w:val="00E844DA"/>
    <w:rsid w:val="00E84563"/>
    <w:rsid w:val="00E8467E"/>
    <w:rsid w:val="00E8468F"/>
    <w:rsid w:val="00E84810"/>
    <w:rsid w:val="00E8482C"/>
    <w:rsid w:val="00E84861"/>
    <w:rsid w:val="00E848D6"/>
    <w:rsid w:val="00E8492B"/>
    <w:rsid w:val="00E849A1"/>
    <w:rsid w:val="00E849DC"/>
    <w:rsid w:val="00E84B0F"/>
    <w:rsid w:val="00E84B4F"/>
    <w:rsid w:val="00E84BBD"/>
    <w:rsid w:val="00E84BEA"/>
    <w:rsid w:val="00E84C38"/>
    <w:rsid w:val="00E84C94"/>
    <w:rsid w:val="00E84D04"/>
    <w:rsid w:val="00E84E1D"/>
    <w:rsid w:val="00E84E5E"/>
    <w:rsid w:val="00E84E95"/>
    <w:rsid w:val="00E84FC4"/>
    <w:rsid w:val="00E85085"/>
    <w:rsid w:val="00E850E5"/>
    <w:rsid w:val="00E851D1"/>
    <w:rsid w:val="00E852B2"/>
    <w:rsid w:val="00E85301"/>
    <w:rsid w:val="00E8533E"/>
    <w:rsid w:val="00E85391"/>
    <w:rsid w:val="00E853F4"/>
    <w:rsid w:val="00E85456"/>
    <w:rsid w:val="00E854E3"/>
    <w:rsid w:val="00E85553"/>
    <w:rsid w:val="00E855A5"/>
    <w:rsid w:val="00E8563D"/>
    <w:rsid w:val="00E856ED"/>
    <w:rsid w:val="00E85734"/>
    <w:rsid w:val="00E85796"/>
    <w:rsid w:val="00E857BD"/>
    <w:rsid w:val="00E85841"/>
    <w:rsid w:val="00E8585B"/>
    <w:rsid w:val="00E85880"/>
    <w:rsid w:val="00E858E1"/>
    <w:rsid w:val="00E85995"/>
    <w:rsid w:val="00E85A09"/>
    <w:rsid w:val="00E85AE9"/>
    <w:rsid w:val="00E85B06"/>
    <w:rsid w:val="00E85B58"/>
    <w:rsid w:val="00E85C52"/>
    <w:rsid w:val="00E85C85"/>
    <w:rsid w:val="00E85E17"/>
    <w:rsid w:val="00E85E5E"/>
    <w:rsid w:val="00E85ED3"/>
    <w:rsid w:val="00E8600B"/>
    <w:rsid w:val="00E860EB"/>
    <w:rsid w:val="00E861B7"/>
    <w:rsid w:val="00E861C3"/>
    <w:rsid w:val="00E862FC"/>
    <w:rsid w:val="00E86307"/>
    <w:rsid w:val="00E86310"/>
    <w:rsid w:val="00E86313"/>
    <w:rsid w:val="00E8631F"/>
    <w:rsid w:val="00E863A1"/>
    <w:rsid w:val="00E86425"/>
    <w:rsid w:val="00E86498"/>
    <w:rsid w:val="00E864AC"/>
    <w:rsid w:val="00E8659D"/>
    <w:rsid w:val="00E8659F"/>
    <w:rsid w:val="00E865AE"/>
    <w:rsid w:val="00E865AF"/>
    <w:rsid w:val="00E86603"/>
    <w:rsid w:val="00E866DC"/>
    <w:rsid w:val="00E8683E"/>
    <w:rsid w:val="00E8686C"/>
    <w:rsid w:val="00E86878"/>
    <w:rsid w:val="00E868C9"/>
    <w:rsid w:val="00E869AC"/>
    <w:rsid w:val="00E86A24"/>
    <w:rsid w:val="00E86A50"/>
    <w:rsid w:val="00E86A7F"/>
    <w:rsid w:val="00E86C5E"/>
    <w:rsid w:val="00E86C7C"/>
    <w:rsid w:val="00E86C9A"/>
    <w:rsid w:val="00E86CD4"/>
    <w:rsid w:val="00E86D05"/>
    <w:rsid w:val="00E86E6C"/>
    <w:rsid w:val="00E86FC9"/>
    <w:rsid w:val="00E8702B"/>
    <w:rsid w:val="00E870A9"/>
    <w:rsid w:val="00E870FB"/>
    <w:rsid w:val="00E8728C"/>
    <w:rsid w:val="00E87297"/>
    <w:rsid w:val="00E87429"/>
    <w:rsid w:val="00E8758C"/>
    <w:rsid w:val="00E87627"/>
    <w:rsid w:val="00E8762F"/>
    <w:rsid w:val="00E87684"/>
    <w:rsid w:val="00E876CE"/>
    <w:rsid w:val="00E877A4"/>
    <w:rsid w:val="00E877BB"/>
    <w:rsid w:val="00E878B9"/>
    <w:rsid w:val="00E878EC"/>
    <w:rsid w:val="00E878F8"/>
    <w:rsid w:val="00E87983"/>
    <w:rsid w:val="00E8799D"/>
    <w:rsid w:val="00E879AC"/>
    <w:rsid w:val="00E87A09"/>
    <w:rsid w:val="00E87ABC"/>
    <w:rsid w:val="00E87C7E"/>
    <w:rsid w:val="00E87CD9"/>
    <w:rsid w:val="00E87D1F"/>
    <w:rsid w:val="00E87D9C"/>
    <w:rsid w:val="00E87DA4"/>
    <w:rsid w:val="00E87E35"/>
    <w:rsid w:val="00E87E7E"/>
    <w:rsid w:val="00E9006D"/>
    <w:rsid w:val="00E9018B"/>
    <w:rsid w:val="00E90253"/>
    <w:rsid w:val="00E902B0"/>
    <w:rsid w:val="00E902E8"/>
    <w:rsid w:val="00E9054A"/>
    <w:rsid w:val="00E90574"/>
    <w:rsid w:val="00E906FC"/>
    <w:rsid w:val="00E907AC"/>
    <w:rsid w:val="00E908FC"/>
    <w:rsid w:val="00E90ABB"/>
    <w:rsid w:val="00E90B96"/>
    <w:rsid w:val="00E90BB9"/>
    <w:rsid w:val="00E90BBF"/>
    <w:rsid w:val="00E90C15"/>
    <w:rsid w:val="00E90C62"/>
    <w:rsid w:val="00E90DED"/>
    <w:rsid w:val="00E90F7A"/>
    <w:rsid w:val="00E91021"/>
    <w:rsid w:val="00E911EA"/>
    <w:rsid w:val="00E91387"/>
    <w:rsid w:val="00E913EE"/>
    <w:rsid w:val="00E91449"/>
    <w:rsid w:val="00E9157E"/>
    <w:rsid w:val="00E91666"/>
    <w:rsid w:val="00E916B3"/>
    <w:rsid w:val="00E916FE"/>
    <w:rsid w:val="00E91707"/>
    <w:rsid w:val="00E9173C"/>
    <w:rsid w:val="00E91767"/>
    <w:rsid w:val="00E91904"/>
    <w:rsid w:val="00E919A5"/>
    <w:rsid w:val="00E919EC"/>
    <w:rsid w:val="00E91A66"/>
    <w:rsid w:val="00E91AD6"/>
    <w:rsid w:val="00E91B72"/>
    <w:rsid w:val="00E91B91"/>
    <w:rsid w:val="00E91C00"/>
    <w:rsid w:val="00E91CA5"/>
    <w:rsid w:val="00E91D97"/>
    <w:rsid w:val="00E91E26"/>
    <w:rsid w:val="00E91F50"/>
    <w:rsid w:val="00E91F67"/>
    <w:rsid w:val="00E91FA9"/>
    <w:rsid w:val="00E92163"/>
    <w:rsid w:val="00E9226A"/>
    <w:rsid w:val="00E92287"/>
    <w:rsid w:val="00E922BB"/>
    <w:rsid w:val="00E92310"/>
    <w:rsid w:val="00E92313"/>
    <w:rsid w:val="00E92334"/>
    <w:rsid w:val="00E92400"/>
    <w:rsid w:val="00E92456"/>
    <w:rsid w:val="00E9246E"/>
    <w:rsid w:val="00E924CA"/>
    <w:rsid w:val="00E92513"/>
    <w:rsid w:val="00E92541"/>
    <w:rsid w:val="00E92555"/>
    <w:rsid w:val="00E926EF"/>
    <w:rsid w:val="00E92733"/>
    <w:rsid w:val="00E927C7"/>
    <w:rsid w:val="00E92880"/>
    <w:rsid w:val="00E92940"/>
    <w:rsid w:val="00E92A03"/>
    <w:rsid w:val="00E92C62"/>
    <w:rsid w:val="00E92C99"/>
    <w:rsid w:val="00E92D48"/>
    <w:rsid w:val="00E92D8A"/>
    <w:rsid w:val="00E92DCD"/>
    <w:rsid w:val="00E92EB1"/>
    <w:rsid w:val="00E92FB9"/>
    <w:rsid w:val="00E92FDE"/>
    <w:rsid w:val="00E9302C"/>
    <w:rsid w:val="00E93035"/>
    <w:rsid w:val="00E93115"/>
    <w:rsid w:val="00E93142"/>
    <w:rsid w:val="00E93194"/>
    <w:rsid w:val="00E932BD"/>
    <w:rsid w:val="00E932F2"/>
    <w:rsid w:val="00E933FC"/>
    <w:rsid w:val="00E93471"/>
    <w:rsid w:val="00E934B3"/>
    <w:rsid w:val="00E9354B"/>
    <w:rsid w:val="00E9375C"/>
    <w:rsid w:val="00E9377B"/>
    <w:rsid w:val="00E93798"/>
    <w:rsid w:val="00E937F5"/>
    <w:rsid w:val="00E9388C"/>
    <w:rsid w:val="00E938D8"/>
    <w:rsid w:val="00E93921"/>
    <w:rsid w:val="00E9394F"/>
    <w:rsid w:val="00E93BC6"/>
    <w:rsid w:val="00E93BF1"/>
    <w:rsid w:val="00E93C6C"/>
    <w:rsid w:val="00E93DBC"/>
    <w:rsid w:val="00E93EAD"/>
    <w:rsid w:val="00E93FA0"/>
    <w:rsid w:val="00E940EE"/>
    <w:rsid w:val="00E94195"/>
    <w:rsid w:val="00E9419B"/>
    <w:rsid w:val="00E941D1"/>
    <w:rsid w:val="00E94278"/>
    <w:rsid w:val="00E94484"/>
    <w:rsid w:val="00E944A4"/>
    <w:rsid w:val="00E944D6"/>
    <w:rsid w:val="00E9453A"/>
    <w:rsid w:val="00E94702"/>
    <w:rsid w:val="00E9477E"/>
    <w:rsid w:val="00E947DA"/>
    <w:rsid w:val="00E948B2"/>
    <w:rsid w:val="00E94921"/>
    <w:rsid w:val="00E9497C"/>
    <w:rsid w:val="00E949EC"/>
    <w:rsid w:val="00E94A8B"/>
    <w:rsid w:val="00E94AEC"/>
    <w:rsid w:val="00E94B2B"/>
    <w:rsid w:val="00E94B77"/>
    <w:rsid w:val="00E94C41"/>
    <w:rsid w:val="00E94CC3"/>
    <w:rsid w:val="00E94CDF"/>
    <w:rsid w:val="00E94D0F"/>
    <w:rsid w:val="00E94DB5"/>
    <w:rsid w:val="00E951A9"/>
    <w:rsid w:val="00E9526D"/>
    <w:rsid w:val="00E95341"/>
    <w:rsid w:val="00E953B5"/>
    <w:rsid w:val="00E95438"/>
    <w:rsid w:val="00E95486"/>
    <w:rsid w:val="00E954DC"/>
    <w:rsid w:val="00E9550C"/>
    <w:rsid w:val="00E9551F"/>
    <w:rsid w:val="00E95562"/>
    <w:rsid w:val="00E955F7"/>
    <w:rsid w:val="00E956D1"/>
    <w:rsid w:val="00E9580A"/>
    <w:rsid w:val="00E95820"/>
    <w:rsid w:val="00E958AC"/>
    <w:rsid w:val="00E9593F"/>
    <w:rsid w:val="00E95942"/>
    <w:rsid w:val="00E95961"/>
    <w:rsid w:val="00E9596C"/>
    <w:rsid w:val="00E95A30"/>
    <w:rsid w:val="00E95A79"/>
    <w:rsid w:val="00E95AEC"/>
    <w:rsid w:val="00E95B6A"/>
    <w:rsid w:val="00E95BBA"/>
    <w:rsid w:val="00E95C64"/>
    <w:rsid w:val="00E95D17"/>
    <w:rsid w:val="00E95DD9"/>
    <w:rsid w:val="00E95E2C"/>
    <w:rsid w:val="00E95ED4"/>
    <w:rsid w:val="00E95EEE"/>
    <w:rsid w:val="00E95F27"/>
    <w:rsid w:val="00E95F81"/>
    <w:rsid w:val="00E95FDD"/>
    <w:rsid w:val="00E9603B"/>
    <w:rsid w:val="00E960CF"/>
    <w:rsid w:val="00E96136"/>
    <w:rsid w:val="00E96267"/>
    <w:rsid w:val="00E96354"/>
    <w:rsid w:val="00E9637C"/>
    <w:rsid w:val="00E963A8"/>
    <w:rsid w:val="00E963AE"/>
    <w:rsid w:val="00E963CB"/>
    <w:rsid w:val="00E963D2"/>
    <w:rsid w:val="00E964E2"/>
    <w:rsid w:val="00E965BA"/>
    <w:rsid w:val="00E9665F"/>
    <w:rsid w:val="00E9668F"/>
    <w:rsid w:val="00E966DB"/>
    <w:rsid w:val="00E96705"/>
    <w:rsid w:val="00E96759"/>
    <w:rsid w:val="00E96762"/>
    <w:rsid w:val="00E967D2"/>
    <w:rsid w:val="00E967F0"/>
    <w:rsid w:val="00E96845"/>
    <w:rsid w:val="00E9692F"/>
    <w:rsid w:val="00E96A64"/>
    <w:rsid w:val="00E96A7A"/>
    <w:rsid w:val="00E96B21"/>
    <w:rsid w:val="00E96B59"/>
    <w:rsid w:val="00E96D74"/>
    <w:rsid w:val="00E96DE3"/>
    <w:rsid w:val="00E96F2F"/>
    <w:rsid w:val="00E97170"/>
    <w:rsid w:val="00E971E3"/>
    <w:rsid w:val="00E97327"/>
    <w:rsid w:val="00E9747A"/>
    <w:rsid w:val="00E97490"/>
    <w:rsid w:val="00E975D1"/>
    <w:rsid w:val="00E97735"/>
    <w:rsid w:val="00E977A2"/>
    <w:rsid w:val="00E978D2"/>
    <w:rsid w:val="00E979AC"/>
    <w:rsid w:val="00E979CF"/>
    <w:rsid w:val="00E97A40"/>
    <w:rsid w:val="00E97A98"/>
    <w:rsid w:val="00E97B29"/>
    <w:rsid w:val="00E97C6F"/>
    <w:rsid w:val="00E97DA9"/>
    <w:rsid w:val="00E97E32"/>
    <w:rsid w:val="00E97E37"/>
    <w:rsid w:val="00E97EC0"/>
    <w:rsid w:val="00E97EF2"/>
    <w:rsid w:val="00E97F71"/>
    <w:rsid w:val="00EA002D"/>
    <w:rsid w:val="00EA0066"/>
    <w:rsid w:val="00EA0090"/>
    <w:rsid w:val="00EA00D0"/>
    <w:rsid w:val="00EA01D9"/>
    <w:rsid w:val="00EA01FD"/>
    <w:rsid w:val="00EA0204"/>
    <w:rsid w:val="00EA0244"/>
    <w:rsid w:val="00EA026D"/>
    <w:rsid w:val="00EA028E"/>
    <w:rsid w:val="00EA029A"/>
    <w:rsid w:val="00EA02C0"/>
    <w:rsid w:val="00EA0446"/>
    <w:rsid w:val="00EA0586"/>
    <w:rsid w:val="00EA0617"/>
    <w:rsid w:val="00EA069A"/>
    <w:rsid w:val="00EA0723"/>
    <w:rsid w:val="00EA076D"/>
    <w:rsid w:val="00EA0858"/>
    <w:rsid w:val="00EA089C"/>
    <w:rsid w:val="00EA0954"/>
    <w:rsid w:val="00EA0A99"/>
    <w:rsid w:val="00EA0AA9"/>
    <w:rsid w:val="00EA0AB8"/>
    <w:rsid w:val="00EA0AF3"/>
    <w:rsid w:val="00EA0B88"/>
    <w:rsid w:val="00EA0C74"/>
    <w:rsid w:val="00EA0CE5"/>
    <w:rsid w:val="00EA0D5C"/>
    <w:rsid w:val="00EA0E70"/>
    <w:rsid w:val="00EA10BF"/>
    <w:rsid w:val="00EA10C7"/>
    <w:rsid w:val="00EA12A1"/>
    <w:rsid w:val="00EA12E8"/>
    <w:rsid w:val="00EA130F"/>
    <w:rsid w:val="00EA13DD"/>
    <w:rsid w:val="00EA140C"/>
    <w:rsid w:val="00EA1421"/>
    <w:rsid w:val="00EA14AA"/>
    <w:rsid w:val="00EA1540"/>
    <w:rsid w:val="00EA160C"/>
    <w:rsid w:val="00EA165C"/>
    <w:rsid w:val="00EA1668"/>
    <w:rsid w:val="00EA1686"/>
    <w:rsid w:val="00EA173F"/>
    <w:rsid w:val="00EA1754"/>
    <w:rsid w:val="00EA17F9"/>
    <w:rsid w:val="00EA1803"/>
    <w:rsid w:val="00EA187D"/>
    <w:rsid w:val="00EA18F2"/>
    <w:rsid w:val="00EA1903"/>
    <w:rsid w:val="00EA190E"/>
    <w:rsid w:val="00EA1913"/>
    <w:rsid w:val="00EA19A4"/>
    <w:rsid w:val="00EA1A15"/>
    <w:rsid w:val="00EA1ADC"/>
    <w:rsid w:val="00EA1AF6"/>
    <w:rsid w:val="00EA1C0D"/>
    <w:rsid w:val="00EA1D68"/>
    <w:rsid w:val="00EA1D8E"/>
    <w:rsid w:val="00EA1DDE"/>
    <w:rsid w:val="00EA1E27"/>
    <w:rsid w:val="00EA1E68"/>
    <w:rsid w:val="00EA1EA7"/>
    <w:rsid w:val="00EA2072"/>
    <w:rsid w:val="00EA20B8"/>
    <w:rsid w:val="00EA20ED"/>
    <w:rsid w:val="00EA21D5"/>
    <w:rsid w:val="00EA21D9"/>
    <w:rsid w:val="00EA220F"/>
    <w:rsid w:val="00EA222C"/>
    <w:rsid w:val="00EA2288"/>
    <w:rsid w:val="00EA228E"/>
    <w:rsid w:val="00EA22E4"/>
    <w:rsid w:val="00EA23A4"/>
    <w:rsid w:val="00EA23AC"/>
    <w:rsid w:val="00EA2410"/>
    <w:rsid w:val="00EA2439"/>
    <w:rsid w:val="00EA2478"/>
    <w:rsid w:val="00EA249A"/>
    <w:rsid w:val="00EA24D9"/>
    <w:rsid w:val="00EA2565"/>
    <w:rsid w:val="00EA25CC"/>
    <w:rsid w:val="00EA2614"/>
    <w:rsid w:val="00EA2727"/>
    <w:rsid w:val="00EA272D"/>
    <w:rsid w:val="00EA2792"/>
    <w:rsid w:val="00EA27B9"/>
    <w:rsid w:val="00EA2823"/>
    <w:rsid w:val="00EA2872"/>
    <w:rsid w:val="00EA28DD"/>
    <w:rsid w:val="00EA291D"/>
    <w:rsid w:val="00EA29A2"/>
    <w:rsid w:val="00EA29DA"/>
    <w:rsid w:val="00EA2A63"/>
    <w:rsid w:val="00EA2A85"/>
    <w:rsid w:val="00EA2A9C"/>
    <w:rsid w:val="00EA2BF4"/>
    <w:rsid w:val="00EA2D2F"/>
    <w:rsid w:val="00EA2DB6"/>
    <w:rsid w:val="00EA2EF4"/>
    <w:rsid w:val="00EA2FA5"/>
    <w:rsid w:val="00EA3003"/>
    <w:rsid w:val="00EA3033"/>
    <w:rsid w:val="00EA3051"/>
    <w:rsid w:val="00EA30DA"/>
    <w:rsid w:val="00EA320A"/>
    <w:rsid w:val="00EA33C5"/>
    <w:rsid w:val="00EA33DA"/>
    <w:rsid w:val="00EA3530"/>
    <w:rsid w:val="00EA3548"/>
    <w:rsid w:val="00EA35AD"/>
    <w:rsid w:val="00EA3619"/>
    <w:rsid w:val="00EA361F"/>
    <w:rsid w:val="00EA36BF"/>
    <w:rsid w:val="00EA372E"/>
    <w:rsid w:val="00EA37AA"/>
    <w:rsid w:val="00EA389C"/>
    <w:rsid w:val="00EA396D"/>
    <w:rsid w:val="00EA399C"/>
    <w:rsid w:val="00EA39DC"/>
    <w:rsid w:val="00EA3AD1"/>
    <w:rsid w:val="00EA3C68"/>
    <w:rsid w:val="00EA3D09"/>
    <w:rsid w:val="00EA3DA7"/>
    <w:rsid w:val="00EA3DC0"/>
    <w:rsid w:val="00EA3F2A"/>
    <w:rsid w:val="00EA4079"/>
    <w:rsid w:val="00EA40CC"/>
    <w:rsid w:val="00EA4121"/>
    <w:rsid w:val="00EA414A"/>
    <w:rsid w:val="00EA41D9"/>
    <w:rsid w:val="00EA41F5"/>
    <w:rsid w:val="00EA4276"/>
    <w:rsid w:val="00EA42D7"/>
    <w:rsid w:val="00EA4308"/>
    <w:rsid w:val="00EA43DE"/>
    <w:rsid w:val="00EA43E9"/>
    <w:rsid w:val="00EA4514"/>
    <w:rsid w:val="00EA46AD"/>
    <w:rsid w:val="00EA476C"/>
    <w:rsid w:val="00EA477C"/>
    <w:rsid w:val="00EA47CE"/>
    <w:rsid w:val="00EA47F0"/>
    <w:rsid w:val="00EA4892"/>
    <w:rsid w:val="00EA48C0"/>
    <w:rsid w:val="00EA48D4"/>
    <w:rsid w:val="00EA4916"/>
    <w:rsid w:val="00EA4A51"/>
    <w:rsid w:val="00EA4ADD"/>
    <w:rsid w:val="00EA4B5E"/>
    <w:rsid w:val="00EA4B70"/>
    <w:rsid w:val="00EA4B80"/>
    <w:rsid w:val="00EA4BDC"/>
    <w:rsid w:val="00EA4BDD"/>
    <w:rsid w:val="00EA4BFE"/>
    <w:rsid w:val="00EA4C04"/>
    <w:rsid w:val="00EA4C1B"/>
    <w:rsid w:val="00EA4C90"/>
    <w:rsid w:val="00EA4CEE"/>
    <w:rsid w:val="00EA4DEA"/>
    <w:rsid w:val="00EA5084"/>
    <w:rsid w:val="00EA50A0"/>
    <w:rsid w:val="00EA5127"/>
    <w:rsid w:val="00EA516E"/>
    <w:rsid w:val="00EA519A"/>
    <w:rsid w:val="00EA540A"/>
    <w:rsid w:val="00EA576E"/>
    <w:rsid w:val="00EA57BA"/>
    <w:rsid w:val="00EA597A"/>
    <w:rsid w:val="00EA5994"/>
    <w:rsid w:val="00EA59BD"/>
    <w:rsid w:val="00EA5A0A"/>
    <w:rsid w:val="00EA5B5C"/>
    <w:rsid w:val="00EA5B9D"/>
    <w:rsid w:val="00EA5BA8"/>
    <w:rsid w:val="00EA5BAD"/>
    <w:rsid w:val="00EA5BEE"/>
    <w:rsid w:val="00EA5C20"/>
    <w:rsid w:val="00EA5D9C"/>
    <w:rsid w:val="00EA5E42"/>
    <w:rsid w:val="00EA5E56"/>
    <w:rsid w:val="00EA5EFF"/>
    <w:rsid w:val="00EA615D"/>
    <w:rsid w:val="00EA6259"/>
    <w:rsid w:val="00EA63CC"/>
    <w:rsid w:val="00EA63F8"/>
    <w:rsid w:val="00EA660F"/>
    <w:rsid w:val="00EA6644"/>
    <w:rsid w:val="00EA681B"/>
    <w:rsid w:val="00EA6845"/>
    <w:rsid w:val="00EA68D8"/>
    <w:rsid w:val="00EA68E7"/>
    <w:rsid w:val="00EA6903"/>
    <w:rsid w:val="00EA69DA"/>
    <w:rsid w:val="00EA6AD2"/>
    <w:rsid w:val="00EA6B45"/>
    <w:rsid w:val="00EA6C08"/>
    <w:rsid w:val="00EA6CB6"/>
    <w:rsid w:val="00EA6D1D"/>
    <w:rsid w:val="00EA6D39"/>
    <w:rsid w:val="00EA6E59"/>
    <w:rsid w:val="00EA6E9D"/>
    <w:rsid w:val="00EA6EE2"/>
    <w:rsid w:val="00EA6F21"/>
    <w:rsid w:val="00EA6F5D"/>
    <w:rsid w:val="00EA7013"/>
    <w:rsid w:val="00EA706C"/>
    <w:rsid w:val="00EA7295"/>
    <w:rsid w:val="00EA72E9"/>
    <w:rsid w:val="00EA73B9"/>
    <w:rsid w:val="00EA73D8"/>
    <w:rsid w:val="00EA7572"/>
    <w:rsid w:val="00EA75C2"/>
    <w:rsid w:val="00EA7644"/>
    <w:rsid w:val="00EA7687"/>
    <w:rsid w:val="00EA76E5"/>
    <w:rsid w:val="00EA7736"/>
    <w:rsid w:val="00EA775E"/>
    <w:rsid w:val="00EA7A18"/>
    <w:rsid w:val="00EA7AFD"/>
    <w:rsid w:val="00EA7B03"/>
    <w:rsid w:val="00EA7B21"/>
    <w:rsid w:val="00EA7B25"/>
    <w:rsid w:val="00EA7C3D"/>
    <w:rsid w:val="00EA7C9F"/>
    <w:rsid w:val="00EA7CB8"/>
    <w:rsid w:val="00EA7DCA"/>
    <w:rsid w:val="00EA7E0E"/>
    <w:rsid w:val="00EA7EDA"/>
    <w:rsid w:val="00EA7F19"/>
    <w:rsid w:val="00EA7FA4"/>
    <w:rsid w:val="00EA7FC2"/>
    <w:rsid w:val="00EA7FD7"/>
    <w:rsid w:val="00EB00B1"/>
    <w:rsid w:val="00EB00F4"/>
    <w:rsid w:val="00EB0270"/>
    <w:rsid w:val="00EB0379"/>
    <w:rsid w:val="00EB0406"/>
    <w:rsid w:val="00EB05A0"/>
    <w:rsid w:val="00EB0675"/>
    <w:rsid w:val="00EB073E"/>
    <w:rsid w:val="00EB0780"/>
    <w:rsid w:val="00EB0787"/>
    <w:rsid w:val="00EB081B"/>
    <w:rsid w:val="00EB0846"/>
    <w:rsid w:val="00EB0854"/>
    <w:rsid w:val="00EB08E0"/>
    <w:rsid w:val="00EB0939"/>
    <w:rsid w:val="00EB0982"/>
    <w:rsid w:val="00EB0A73"/>
    <w:rsid w:val="00EB0B18"/>
    <w:rsid w:val="00EB0BBB"/>
    <w:rsid w:val="00EB0BDF"/>
    <w:rsid w:val="00EB0C06"/>
    <w:rsid w:val="00EB0C14"/>
    <w:rsid w:val="00EB0D4E"/>
    <w:rsid w:val="00EB0DDA"/>
    <w:rsid w:val="00EB0E30"/>
    <w:rsid w:val="00EB0E49"/>
    <w:rsid w:val="00EB0ED9"/>
    <w:rsid w:val="00EB0F4F"/>
    <w:rsid w:val="00EB0F88"/>
    <w:rsid w:val="00EB0F90"/>
    <w:rsid w:val="00EB12F1"/>
    <w:rsid w:val="00EB13C7"/>
    <w:rsid w:val="00EB13D0"/>
    <w:rsid w:val="00EB13D3"/>
    <w:rsid w:val="00EB13FA"/>
    <w:rsid w:val="00EB142B"/>
    <w:rsid w:val="00EB14A4"/>
    <w:rsid w:val="00EB150A"/>
    <w:rsid w:val="00EB1510"/>
    <w:rsid w:val="00EB1553"/>
    <w:rsid w:val="00EB15FD"/>
    <w:rsid w:val="00EB1638"/>
    <w:rsid w:val="00EB1763"/>
    <w:rsid w:val="00EB17B6"/>
    <w:rsid w:val="00EB17DB"/>
    <w:rsid w:val="00EB18D7"/>
    <w:rsid w:val="00EB1972"/>
    <w:rsid w:val="00EB1A5B"/>
    <w:rsid w:val="00EB1B43"/>
    <w:rsid w:val="00EB1E1B"/>
    <w:rsid w:val="00EB1E20"/>
    <w:rsid w:val="00EB1EEA"/>
    <w:rsid w:val="00EB2160"/>
    <w:rsid w:val="00EB218E"/>
    <w:rsid w:val="00EB234D"/>
    <w:rsid w:val="00EB2393"/>
    <w:rsid w:val="00EB248B"/>
    <w:rsid w:val="00EB25FF"/>
    <w:rsid w:val="00EB2627"/>
    <w:rsid w:val="00EB265B"/>
    <w:rsid w:val="00EB2772"/>
    <w:rsid w:val="00EB289F"/>
    <w:rsid w:val="00EB28B6"/>
    <w:rsid w:val="00EB2918"/>
    <w:rsid w:val="00EB299A"/>
    <w:rsid w:val="00EB2A29"/>
    <w:rsid w:val="00EB2AE6"/>
    <w:rsid w:val="00EB2AE9"/>
    <w:rsid w:val="00EB2BB4"/>
    <w:rsid w:val="00EB2C1F"/>
    <w:rsid w:val="00EB2C75"/>
    <w:rsid w:val="00EB2D5C"/>
    <w:rsid w:val="00EB2EBC"/>
    <w:rsid w:val="00EB302C"/>
    <w:rsid w:val="00EB308B"/>
    <w:rsid w:val="00EB328B"/>
    <w:rsid w:val="00EB32CF"/>
    <w:rsid w:val="00EB3524"/>
    <w:rsid w:val="00EB352A"/>
    <w:rsid w:val="00EB3547"/>
    <w:rsid w:val="00EB354F"/>
    <w:rsid w:val="00EB357B"/>
    <w:rsid w:val="00EB3610"/>
    <w:rsid w:val="00EB368B"/>
    <w:rsid w:val="00EB36AC"/>
    <w:rsid w:val="00EB37AB"/>
    <w:rsid w:val="00EB37AF"/>
    <w:rsid w:val="00EB37D4"/>
    <w:rsid w:val="00EB38E2"/>
    <w:rsid w:val="00EB39A1"/>
    <w:rsid w:val="00EB3D33"/>
    <w:rsid w:val="00EB3DE4"/>
    <w:rsid w:val="00EB3E09"/>
    <w:rsid w:val="00EB3E83"/>
    <w:rsid w:val="00EB3EBC"/>
    <w:rsid w:val="00EB3F32"/>
    <w:rsid w:val="00EB3F49"/>
    <w:rsid w:val="00EB40B9"/>
    <w:rsid w:val="00EB410F"/>
    <w:rsid w:val="00EB421B"/>
    <w:rsid w:val="00EB42B9"/>
    <w:rsid w:val="00EB440E"/>
    <w:rsid w:val="00EB4453"/>
    <w:rsid w:val="00EB4474"/>
    <w:rsid w:val="00EB448F"/>
    <w:rsid w:val="00EB4512"/>
    <w:rsid w:val="00EB4525"/>
    <w:rsid w:val="00EB453A"/>
    <w:rsid w:val="00EB4546"/>
    <w:rsid w:val="00EB4550"/>
    <w:rsid w:val="00EB4607"/>
    <w:rsid w:val="00EB4642"/>
    <w:rsid w:val="00EB46C2"/>
    <w:rsid w:val="00EB46E8"/>
    <w:rsid w:val="00EB4808"/>
    <w:rsid w:val="00EB4966"/>
    <w:rsid w:val="00EB4A09"/>
    <w:rsid w:val="00EB4AB2"/>
    <w:rsid w:val="00EB4B28"/>
    <w:rsid w:val="00EB4C08"/>
    <w:rsid w:val="00EB4CBF"/>
    <w:rsid w:val="00EB4CD0"/>
    <w:rsid w:val="00EB5052"/>
    <w:rsid w:val="00EB507E"/>
    <w:rsid w:val="00EB508E"/>
    <w:rsid w:val="00EB50DF"/>
    <w:rsid w:val="00EB531D"/>
    <w:rsid w:val="00EB5510"/>
    <w:rsid w:val="00EB55DF"/>
    <w:rsid w:val="00EB5606"/>
    <w:rsid w:val="00EB56CD"/>
    <w:rsid w:val="00EB57CA"/>
    <w:rsid w:val="00EB57F2"/>
    <w:rsid w:val="00EB58B3"/>
    <w:rsid w:val="00EB59C4"/>
    <w:rsid w:val="00EB5A61"/>
    <w:rsid w:val="00EB5AB0"/>
    <w:rsid w:val="00EB5ED5"/>
    <w:rsid w:val="00EB5F01"/>
    <w:rsid w:val="00EB60FD"/>
    <w:rsid w:val="00EB6134"/>
    <w:rsid w:val="00EB61B8"/>
    <w:rsid w:val="00EB625C"/>
    <w:rsid w:val="00EB6272"/>
    <w:rsid w:val="00EB62B7"/>
    <w:rsid w:val="00EB62F3"/>
    <w:rsid w:val="00EB6320"/>
    <w:rsid w:val="00EB6385"/>
    <w:rsid w:val="00EB64FC"/>
    <w:rsid w:val="00EB6500"/>
    <w:rsid w:val="00EB6508"/>
    <w:rsid w:val="00EB6619"/>
    <w:rsid w:val="00EB6689"/>
    <w:rsid w:val="00EB6696"/>
    <w:rsid w:val="00EB671E"/>
    <w:rsid w:val="00EB6721"/>
    <w:rsid w:val="00EB672E"/>
    <w:rsid w:val="00EB6878"/>
    <w:rsid w:val="00EB693A"/>
    <w:rsid w:val="00EB6A5A"/>
    <w:rsid w:val="00EB6ABB"/>
    <w:rsid w:val="00EB6B10"/>
    <w:rsid w:val="00EB6B4C"/>
    <w:rsid w:val="00EB6BA7"/>
    <w:rsid w:val="00EB6C41"/>
    <w:rsid w:val="00EB6CE1"/>
    <w:rsid w:val="00EB6D22"/>
    <w:rsid w:val="00EB6DB4"/>
    <w:rsid w:val="00EB710B"/>
    <w:rsid w:val="00EB719A"/>
    <w:rsid w:val="00EB7262"/>
    <w:rsid w:val="00EB72C0"/>
    <w:rsid w:val="00EB7339"/>
    <w:rsid w:val="00EB734A"/>
    <w:rsid w:val="00EB73C7"/>
    <w:rsid w:val="00EB73EB"/>
    <w:rsid w:val="00EB748B"/>
    <w:rsid w:val="00EB7591"/>
    <w:rsid w:val="00EB759C"/>
    <w:rsid w:val="00EB75F4"/>
    <w:rsid w:val="00EB7653"/>
    <w:rsid w:val="00EB78C8"/>
    <w:rsid w:val="00EB7935"/>
    <w:rsid w:val="00EB7961"/>
    <w:rsid w:val="00EB79FD"/>
    <w:rsid w:val="00EB7A9C"/>
    <w:rsid w:val="00EB7BF7"/>
    <w:rsid w:val="00EB7D06"/>
    <w:rsid w:val="00EB7D5A"/>
    <w:rsid w:val="00EB7DED"/>
    <w:rsid w:val="00EB7DEF"/>
    <w:rsid w:val="00EB7EF8"/>
    <w:rsid w:val="00EB7F35"/>
    <w:rsid w:val="00EB7F75"/>
    <w:rsid w:val="00EB7FB0"/>
    <w:rsid w:val="00EC0243"/>
    <w:rsid w:val="00EC0271"/>
    <w:rsid w:val="00EC02E8"/>
    <w:rsid w:val="00EC0375"/>
    <w:rsid w:val="00EC0391"/>
    <w:rsid w:val="00EC03C0"/>
    <w:rsid w:val="00EC0492"/>
    <w:rsid w:val="00EC0627"/>
    <w:rsid w:val="00EC0679"/>
    <w:rsid w:val="00EC0814"/>
    <w:rsid w:val="00EC08C8"/>
    <w:rsid w:val="00EC099E"/>
    <w:rsid w:val="00EC0A9D"/>
    <w:rsid w:val="00EC0B12"/>
    <w:rsid w:val="00EC0B23"/>
    <w:rsid w:val="00EC0B7F"/>
    <w:rsid w:val="00EC0C0F"/>
    <w:rsid w:val="00EC0C1C"/>
    <w:rsid w:val="00EC0D79"/>
    <w:rsid w:val="00EC0D7C"/>
    <w:rsid w:val="00EC0D97"/>
    <w:rsid w:val="00EC0E2A"/>
    <w:rsid w:val="00EC0EC5"/>
    <w:rsid w:val="00EC0F0C"/>
    <w:rsid w:val="00EC0F70"/>
    <w:rsid w:val="00EC0F85"/>
    <w:rsid w:val="00EC10A0"/>
    <w:rsid w:val="00EC1141"/>
    <w:rsid w:val="00EC1172"/>
    <w:rsid w:val="00EC1246"/>
    <w:rsid w:val="00EC12DB"/>
    <w:rsid w:val="00EC1368"/>
    <w:rsid w:val="00EC14E9"/>
    <w:rsid w:val="00EC174A"/>
    <w:rsid w:val="00EC1816"/>
    <w:rsid w:val="00EC1870"/>
    <w:rsid w:val="00EC19B2"/>
    <w:rsid w:val="00EC1B0F"/>
    <w:rsid w:val="00EC1B62"/>
    <w:rsid w:val="00EC1B7B"/>
    <w:rsid w:val="00EC1C2F"/>
    <w:rsid w:val="00EC1CE8"/>
    <w:rsid w:val="00EC1D90"/>
    <w:rsid w:val="00EC1D9B"/>
    <w:rsid w:val="00EC1DCF"/>
    <w:rsid w:val="00EC1E0E"/>
    <w:rsid w:val="00EC1E26"/>
    <w:rsid w:val="00EC1E37"/>
    <w:rsid w:val="00EC1F2D"/>
    <w:rsid w:val="00EC1F7E"/>
    <w:rsid w:val="00EC2091"/>
    <w:rsid w:val="00EC222C"/>
    <w:rsid w:val="00EC236D"/>
    <w:rsid w:val="00EC23F2"/>
    <w:rsid w:val="00EC253C"/>
    <w:rsid w:val="00EC26C1"/>
    <w:rsid w:val="00EC271C"/>
    <w:rsid w:val="00EC2752"/>
    <w:rsid w:val="00EC27AA"/>
    <w:rsid w:val="00EC2823"/>
    <w:rsid w:val="00EC28CF"/>
    <w:rsid w:val="00EC2963"/>
    <w:rsid w:val="00EC29E3"/>
    <w:rsid w:val="00EC29F0"/>
    <w:rsid w:val="00EC2C4C"/>
    <w:rsid w:val="00EC2C60"/>
    <w:rsid w:val="00EC2DB5"/>
    <w:rsid w:val="00EC2E10"/>
    <w:rsid w:val="00EC2E4B"/>
    <w:rsid w:val="00EC2F62"/>
    <w:rsid w:val="00EC3113"/>
    <w:rsid w:val="00EC311F"/>
    <w:rsid w:val="00EC3182"/>
    <w:rsid w:val="00EC323D"/>
    <w:rsid w:val="00EC3248"/>
    <w:rsid w:val="00EC3386"/>
    <w:rsid w:val="00EC3509"/>
    <w:rsid w:val="00EC35E5"/>
    <w:rsid w:val="00EC364D"/>
    <w:rsid w:val="00EC36D1"/>
    <w:rsid w:val="00EC3731"/>
    <w:rsid w:val="00EC3732"/>
    <w:rsid w:val="00EC3768"/>
    <w:rsid w:val="00EC37A1"/>
    <w:rsid w:val="00EC38BD"/>
    <w:rsid w:val="00EC38EA"/>
    <w:rsid w:val="00EC394E"/>
    <w:rsid w:val="00EC39A2"/>
    <w:rsid w:val="00EC39C3"/>
    <w:rsid w:val="00EC39FF"/>
    <w:rsid w:val="00EC3A0B"/>
    <w:rsid w:val="00EC3B76"/>
    <w:rsid w:val="00EC3B80"/>
    <w:rsid w:val="00EC3BE6"/>
    <w:rsid w:val="00EC3D18"/>
    <w:rsid w:val="00EC3D66"/>
    <w:rsid w:val="00EC3D9E"/>
    <w:rsid w:val="00EC3F41"/>
    <w:rsid w:val="00EC3F5C"/>
    <w:rsid w:val="00EC4191"/>
    <w:rsid w:val="00EC419B"/>
    <w:rsid w:val="00EC41AF"/>
    <w:rsid w:val="00EC41FA"/>
    <w:rsid w:val="00EC425C"/>
    <w:rsid w:val="00EC4303"/>
    <w:rsid w:val="00EC4393"/>
    <w:rsid w:val="00EC43DD"/>
    <w:rsid w:val="00EC4513"/>
    <w:rsid w:val="00EC455D"/>
    <w:rsid w:val="00EC45E4"/>
    <w:rsid w:val="00EC45EA"/>
    <w:rsid w:val="00EC463E"/>
    <w:rsid w:val="00EC467C"/>
    <w:rsid w:val="00EC46E8"/>
    <w:rsid w:val="00EC4765"/>
    <w:rsid w:val="00EC47A8"/>
    <w:rsid w:val="00EC48A7"/>
    <w:rsid w:val="00EC48C0"/>
    <w:rsid w:val="00EC4926"/>
    <w:rsid w:val="00EC4A97"/>
    <w:rsid w:val="00EC4B48"/>
    <w:rsid w:val="00EC4C5F"/>
    <w:rsid w:val="00EC4CA4"/>
    <w:rsid w:val="00EC4CBC"/>
    <w:rsid w:val="00EC4CF2"/>
    <w:rsid w:val="00EC4D2E"/>
    <w:rsid w:val="00EC4DF8"/>
    <w:rsid w:val="00EC4DFE"/>
    <w:rsid w:val="00EC4E2E"/>
    <w:rsid w:val="00EC4F9A"/>
    <w:rsid w:val="00EC4F9D"/>
    <w:rsid w:val="00EC5066"/>
    <w:rsid w:val="00EC511E"/>
    <w:rsid w:val="00EC5124"/>
    <w:rsid w:val="00EC5166"/>
    <w:rsid w:val="00EC516C"/>
    <w:rsid w:val="00EC5224"/>
    <w:rsid w:val="00EC5326"/>
    <w:rsid w:val="00EC5423"/>
    <w:rsid w:val="00EC547B"/>
    <w:rsid w:val="00EC54B3"/>
    <w:rsid w:val="00EC55AD"/>
    <w:rsid w:val="00EC5637"/>
    <w:rsid w:val="00EC564A"/>
    <w:rsid w:val="00EC5655"/>
    <w:rsid w:val="00EC567C"/>
    <w:rsid w:val="00EC568C"/>
    <w:rsid w:val="00EC582F"/>
    <w:rsid w:val="00EC58F9"/>
    <w:rsid w:val="00EC5BB4"/>
    <w:rsid w:val="00EC5C25"/>
    <w:rsid w:val="00EC5C3D"/>
    <w:rsid w:val="00EC5CA9"/>
    <w:rsid w:val="00EC5D76"/>
    <w:rsid w:val="00EC5EA2"/>
    <w:rsid w:val="00EC5ECF"/>
    <w:rsid w:val="00EC5EEB"/>
    <w:rsid w:val="00EC5F79"/>
    <w:rsid w:val="00EC5F89"/>
    <w:rsid w:val="00EC5FA5"/>
    <w:rsid w:val="00EC601F"/>
    <w:rsid w:val="00EC6072"/>
    <w:rsid w:val="00EC60A2"/>
    <w:rsid w:val="00EC60E5"/>
    <w:rsid w:val="00EC610D"/>
    <w:rsid w:val="00EC620F"/>
    <w:rsid w:val="00EC6239"/>
    <w:rsid w:val="00EC6296"/>
    <w:rsid w:val="00EC62C4"/>
    <w:rsid w:val="00EC6326"/>
    <w:rsid w:val="00EC6451"/>
    <w:rsid w:val="00EC651C"/>
    <w:rsid w:val="00EC65AA"/>
    <w:rsid w:val="00EC6641"/>
    <w:rsid w:val="00EC667A"/>
    <w:rsid w:val="00EC668C"/>
    <w:rsid w:val="00EC669F"/>
    <w:rsid w:val="00EC680D"/>
    <w:rsid w:val="00EC68BB"/>
    <w:rsid w:val="00EC6904"/>
    <w:rsid w:val="00EC6917"/>
    <w:rsid w:val="00EC691C"/>
    <w:rsid w:val="00EC699F"/>
    <w:rsid w:val="00EC6B16"/>
    <w:rsid w:val="00EC6B5E"/>
    <w:rsid w:val="00EC6B83"/>
    <w:rsid w:val="00EC6BA3"/>
    <w:rsid w:val="00EC6BE7"/>
    <w:rsid w:val="00EC6C54"/>
    <w:rsid w:val="00EC6D0D"/>
    <w:rsid w:val="00EC6D27"/>
    <w:rsid w:val="00EC6D61"/>
    <w:rsid w:val="00EC6DBD"/>
    <w:rsid w:val="00EC6E14"/>
    <w:rsid w:val="00EC6E67"/>
    <w:rsid w:val="00EC6F29"/>
    <w:rsid w:val="00EC70CB"/>
    <w:rsid w:val="00EC714F"/>
    <w:rsid w:val="00EC719C"/>
    <w:rsid w:val="00EC723D"/>
    <w:rsid w:val="00EC72D0"/>
    <w:rsid w:val="00EC72EC"/>
    <w:rsid w:val="00EC72F5"/>
    <w:rsid w:val="00EC744F"/>
    <w:rsid w:val="00EC7467"/>
    <w:rsid w:val="00EC750F"/>
    <w:rsid w:val="00EC7581"/>
    <w:rsid w:val="00EC7693"/>
    <w:rsid w:val="00EC76E1"/>
    <w:rsid w:val="00EC774B"/>
    <w:rsid w:val="00EC77E4"/>
    <w:rsid w:val="00EC7908"/>
    <w:rsid w:val="00EC79F1"/>
    <w:rsid w:val="00EC7A96"/>
    <w:rsid w:val="00EC7AAD"/>
    <w:rsid w:val="00EC7B73"/>
    <w:rsid w:val="00EC7C80"/>
    <w:rsid w:val="00EC7C98"/>
    <w:rsid w:val="00EC7DCF"/>
    <w:rsid w:val="00EC7E49"/>
    <w:rsid w:val="00EC7EE7"/>
    <w:rsid w:val="00EC7F61"/>
    <w:rsid w:val="00EC7F7A"/>
    <w:rsid w:val="00ED00EB"/>
    <w:rsid w:val="00ED00EC"/>
    <w:rsid w:val="00ED0185"/>
    <w:rsid w:val="00ED019A"/>
    <w:rsid w:val="00ED01BF"/>
    <w:rsid w:val="00ED0210"/>
    <w:rsid w:val="00ED0291"/>
    <w:rsid w:val="00ED034D"/>
    <w:rsid w:val="00ED041B"/>
    <w:rsid w:val="00ED0464"/>
    <w:rsid w:val="00ED0614"/>
    <w:rsid w:val="00ED0627"/>
    <w:rsid w:val="00ED06C0"/>
    <w:rsid w:val="00ED0792"/>
    <w:rsid w:val="00ED0A21"/>
    <w:rsid w:val="00ED0A3F"/>
    <w:rsid w:val="00ED0A46"/>
    <w:rsid w:val="00ED0A74"/>
    <w:rsid w:val="00ED0B18"/>
    <w:rsid w:val="00ED0C2D"/>
    <w:rsid w:val="00ED0C66"/>
    <w:rsid w:val="00ED0CD6"/>
    <w:rsid w:val="00ED0ED8"/>
    <w:rsid w:val="00ED0FC2"/>
    <w:rsid w:val="00ED0FDD"/>
    <w:rsid w:val="00ED1038"/>
    <w:rsid w:val="00ED10A4"/>
    <w:rsid w:val="00ED10BB"/>
    <w:rsid w:val="00ED111B"/>
    <w:rsid w:val="00ED1150"/>
    <w:rsid w:val="00ED1206"/>
    <w:rsid w:val="00ED1209"/>
    <w:rsid w:val="00ED1242"/>
    <w:rsid w:val="00ED1506"/>
    <w:rsid w:val="00ED1590"/>
    <w:rsid w:val="00ED15BD"/>
    <w:rsid w:val="00ED16F0"/>
    <w:rsid w:val="00ED1747"/>
    <w:rsid w:val="00ED181D"/>
    <w:rsid w:val="00ED191D"/>
    <w:rsid w:val="00ED199F"/>
    <w:rsid w:val="00ED19F3"/>
    <w:rsid w:val="00ED1A23"/>
    <w:rsid w:val="00ED1AA2"/>
    <w:rsid w:val="00ED1B7F"/>
    <w:rsid w:val="00ED1B9B"/>
    <w:rsid w:val="00ED1C11"/>
    <w:rsid w:val="00ED1D8C"/>
    <w:rsid w:val="00ED1DB6"/>
    <w:rsid w:val="00ED1E0E"/>
    <w:rsid w:val="00ED1F3A"/>
    <w:rsid w:val="00ED1F72"/>
    <w:rsid w:val="00ED1FE6"/>
    <w:rsid w:val="00ED2100"/>
    <w:rsid w:val="00ED2156"/>
    <w:rsid w:val="00ED217F"/>
    <w:rsid w:val="00ED2188"/>
    <w:rsid w:val="00ED22A9"/>
    <w:rsid w:val="00ED244F"/>
    <w:rsid w:val="00ED25DC"/>
    <w:rsid w:val="00ED25F3"/>
    <w:rsid w:val="00ED267A"/>
    <w:rsid w:val="00ED26E1"/>
    <w:rsid w:val="00ED2908"/>
    <w:rsid w:val="00ED295E"/>
    <w:rsid w:val="00ED296B"/>
    <w:rsid w:val="00ED298D"/>
    <w:rsid w:val="00ED2A33"/>
    <w:rsid w:val="00ED2ABA"/>
    <w:rsid w:val="00ED2ADB"/>
    <w:rsid w:val="00ED2B05"/>
    <w:rsid w:val="00ED2B12"/>
    <w:rsid w:val="00ED2B4C"/>
    <w:rsid w:val="00ED2BB3"/>
    <w:rsid w:val="00ED2C8D"/>
    <w:rsid w:val="00ED2CC0"/>
    <w:rsid w:val="00ED2D86"/>
    <w:rsid w:val="00ED2DA6"/>
    <w:rsid w:val="00ED2E85"/>
    <w:rsid w:val="00ED2FCD"/>
    <w:rsid w:val="00ED2FCF"/>
    <w:rsid w:val="00ED3023"/>
    <w:rsid w:val="00ED3047"/>
    <w:rsid w:val="00ED305F"/>
    <w:rsid w:val="00ED312E"/>
    <w:rsid w:val="00ED31FC"/>
    <w:rsid w:val="00ED3204"/>
    <w:rsid w:val="00ED322B"/>
    <w:rsid w:val="00ED3287"/>
    <w:rsid w:val="00ED3460"/>
    <w:rsid w:val="00ED34BC"/>
    <w:rsid w:val="00ED34CB"/>
    <w:rsid w:val="00ED3611"/>
    <w:rsid w:val="00ED369B"/>
    <w:rsid w:val="00ED36F6"/>
    <w:rsid w:val="00ED3787"/>
    <w:rsid w:val="00ED379A"/>
    <w:rsid w:val="00ED381D"/>
    <w:rsid w:val="00ED3955"/>
    <w:rsid w:val="00ED3B0F"/>
    <w:rsid w:val="00ED3B8C"/>
    <w:rsid w:val="00ED3BA3"/>
    <w:rsid w:val="00ED3BCB"/>
    <w:rsid w:val="00ED3D0E"/>
    <w:rsid w:val="00ED3E0D"/>
    <w:rsid w:val="00ED3EAA"/>
    <w:rsid w:val="00ED3FEB"/>
    <w:rsid w:val="00ED40AD"/>
    <w:rsid w:val="00ED4152"/>
    <w:rsid w:val="00ED4318"/>
    <w:rsid w:val="00ED434B"/>
    <w:rsid w:val="00ED4358"/>
    <w:rsid w:val="00ED444F"/>
    <w:rsid w:val="00ED44EC"/>
    <w:rsid w:val="00ED4583"/>
    <w:rsid w:val="00ED4607"/>
    <w:rsid w:val="00ED46FC"/>
    <w:rsid w:val="00ED4712"/>
    <w:rsid w:val="00ED483A"/>
    <w:rsid w:val="00ED4955"/>
    <w:rsid w:val="00ED4A8F"/>
    <w:rsid w:val="00ED4AB7"/>
    <w:rsid w:val="00ED4ACB"/>
    <w:rsid w:val="00ED4BEC"/>
    <w:rsid w:val="00ED4BF7"/>
    <w:rsid w:val="00ED4C19"/>
    <w:rsid w:val="00ED4CD0"/>
    <w:rsid w:val="00ED4DD8"/>
    <w:rsid w:val="00ED4E23"/>
    <w:rsid w:val="00ED4E3A"/>
    <w:rsid w:val="00ED4F73"/>
    <w:rsid w:val="00ED4FE2"/>
    <w:rsid w:val="00ED4FEA"/>
    <w:rsid w:val="00ED502B"/>
    <w:rsid w:val="00ED5040"/>
    <w:rsid w:val="00ED5155"/>
    <w:rsid w:val="00ED519E"/>
    <w:rsid w:val="00ED51C9"/>
    <w:rsid w:val="00ED5423"/>
    <w:rsid w:val="00ED56E2"/>
    <w:rsid w:val="00ED5758"/>
    <w:rsid w:val="00ED5988"/>
    <w:rsid w:val="00ED59B4"/>
    <w:rsid w:val="00ED5A9A"/>
    <w:rsid w:val="00ED5B08"/>
    <w:rsid w:val="00ED5B7B"/>
    <w:rsid w:val="00ED5B9E"/>
    <w:rsid w:val="00ED5BC9"/>
    <w:rsid w:val="00ED5BD1"/>
    <w:rsid w:val="00ED5D30"/>
    <w:rsid w:val="00ED5DE0"/>
    <w:rsid w:val="00ED5F36"/>
    <w:rsid w:val="00ED5FBB"/>
    <w:rsid w:val="00ED5FDE"/>
    <w:rsid w:val="00ED610B"/>
    <w:rsid w:val="00ED61B4"/>
    <w:rsid w:val="00ED61C9"/>
    <w:rsid w:val="00ED6262"/>
    <w:rsid w:val="00ED628A"/>
    <w:rsid w:val="00ED63B7"/>
    <w:rsid w:val="00ED63CA"/>
    <w:rsid w:val="00ED6448"/>
    <w:rsid w:val="00ED6460"/>
    <w:rsid w:val="00ED64DD"/>
    <w:rsid w:val="00ED6551"/>
    <w:rsid w:val="00ED65C2"/>
    <w:rsid w:val="00ED66FC"/>
    <w:rsid w:val="00ED673B"/>
    <w:rsid w:val="00ED6773"/>
    <w:rsid w:val="00ED6883"/>
    <w:rsid w:val="00ED691C"/>
    <w:rsid w:val="00ED6924"/>
    <w:rsid w:val="00ED69A4"/>
    <w:rsid w:val="00ED6A5B"/>
    <w:rsid w:val="00ED6B63"/>
    <w:rsid w:val="00ED6B8E"/>
    <w:rsid w:val="00ED6DF3"/>
    <w:rsid w:val="00ED6E28"/>
    <w:rsid w:val="00ED6E50"/>
    <w:rsid w:val="00ED6E7A"/>
    <w:rsid w:val="00ED6F22"/>
    <w:rsid w:val="00ED6F7B"/>
    <w:rsid w:val="00ED6FD0"/>
    <w:rsid w:val="00ED7025"/>
    <w:rsid w:val="00ED70B1"/>
    <w:rsid w:val="00ED70C3"/>
    <w:rsid w:val="00ED70FF"/>
    <w:rsid w:val="00ED71C5"/>
    <w:rsid w:val="00ED71C9"/>
    <w:rsid w:val="00ED71FB"/>
    <w:rsid w:val="00ED72EF"/>
    <w:rsid w:val="00ED734E"/>
    <w:rsid w:val="00ED735C"/>
    <w:rsid w:val="00ED745C"/>
    <w:rsid w:val="00ED747F"/>
    <w:rsid w:val="00ED7545"/>
    <w:rsid w:val="00ED75F9"/>
    <w:rsid w:val="00ED7602"/>
    <w:rsid w:val="00ED7749"/>
    <w:rsid w:val="00ED774F"/>
    <w:rsid w:val="00ED78A6"/>
    <w:rsid w:val="00ED7985"/>
    <w:rsid w:val="00ED7A60"/>
    <w:rsid w:val="00ED7C36"/>
    <w:rsid w:val="00ED7E04"/>
    <w:rsid w:val="00ED7E6D"/>
    <w:rsid w:val="00ED7E75"/>
    <w:rsid w:val="00ED7FA3"/>
    <w:rsid w:val="00ED7FA4"/>
    <w:rsid w:val="00EE006A"/>
    <w:rsid w:val="00EE01C4"/>
    <w:rsid w:val="00EE03BC"/>
    <w:rsid w:val="00EE03C6"/>
    <w:rsid w:val="00EE03C9"/>
    <w:rsid w:val="00EE0438"/>
    <w:rsid w:val="00EE053B"/>
    <w:rsid w:val="00EE059D"/>
    <w:rsid w:val="00EE0767"/>
    <w:rsid w:val="00EE081C"/>
    <w:rsid w:val="00EE0932"/>
    <w:rsid w:val="00EE0A78"/>
    <w:rsid w:val="00EE0B87"/>
    <w:rsid w:val="00EE0B9A"/>
    <w:rsid w:val="00EE0CCD"/>
    <w:rsid w:val="00EE0D62"/>
    <w:rsid w:val="00EE0E8B"/>
    <w:rsid w:val="00EE0F47"/>
    <w:rsid w:val="00EE0F66"/>
    <w:rsid w:val="00EE1028"/>
    <w:rsid w:val="00EE10E2"/>
    <w:rsid w:val="00EE1193"/>
    <w:rsid w:val="00EE119E"/>
    <w:rsid w:val="00EE1392"/>
    <w:rsid w:val="00EE13C6"/>
    <w:rsid w:val="00EE1447"/>
    <w:rsid w:val="00EE1544"/>
    <w:rsid w:val="00EE15DD"/>
    <w:rsid w:val="00EE1634"/>
    <w:rsid w:val="00EE1723"/>
    <w:rsid w:val="00EE172C"/>
    <w:rsid w:val="00EE1793"/>
    <w:rsid w:val="00EE1894"/>
    <w:rsid w:val="00EE1987"/>
    <w:rsid w:val="00EE1AE6"/>
    <w:rsid w:val="00EE1AED"/>
    <w:rsid w:val="00EE1B5F"/>
    <w:rsid w:val="00EE1C37"/>
    <w:rsid w:val="00EE1D37"/>
    <w:rsid w:val="00EE1D4E"/>
    <w:rsid w:val="00EE1D96"/>
    <w:rsid w:val="00EE1E56"/>
    <w:rsid w:val="00EE1F7C"/>
    <w:rsid w:val="00EE2232"/>
    <w:rsid w:val="00EE23B5"/>
    <w:rsid w:val="00EE2439"/>
    <w:rsid w:val="00EE2442"/>
    <w:rsid w:val="00EE2453"/>
    <w:rsid w:val="00EE253F"/>
    <w:rsid w:val="00EE2585"/>
    <w:rsid w:val="00EE2632"/>
    <w:rsid w:val="00EE2653"/>
    <w:rsid w:val="00EE2688"/>
    <w:rsid w:val="00EE26EF"/>
    <w:rsid w:val="00EE26FB"/>
    <w:rsid w:val="00EE2753"/>
    <w:rsid w:val="00EE2796"/>
    <w:rsid w:val="00EE27A6"/>
    <w:rsid w:val="00EE2810"/>
    <w:rsid w:val="00EE2850"/>
    <w:rsid w:val="00EE2892"/>
    <w:rsid w:val="00EE2902"/>
    <w:rsid w:val="00EE29BE"/>
    <w:rsid w:val="00EE2A4F"/>
    <w:rsid w:val="00EE2A8C"/>
    <w:rsid w:val="00EE2AE1"/>
    <w:rsid w:val="00EE2B4E"/>
    <w:rsid w:val="00EE2BFF"/>
    <w:rsid w:val="00EE2C5B"/>
    <w:rsid w:val="00EE2D36"/>
    <w:rsid w:val="00EE2DB7"/>
    <w:rsid w:val="00EE2ED8"/>
    <w:rsid w:val="00EE2EFA"/>
    <w:rsid w:val="00EE2F6F"/>
    <w:rsid w:val="00EE2FF9"/>
    <w:rsid w:val="00EE3104"/>
    <w:rsid w:val="00EE3123"/>
    <w:rsid w:val="00EE3136"/>
    <w:rsid w:val="00EE31B2"/>
    <w:rsid w:val="00EE324C"/>
    <w:rsid w:val="00EE32B5"/>
    <w:rsid w:val="00EE3328"/>
    <w:rsid w:val="00EE34DC"/>
    <w:rsid w:val="00EE3558"/>
    <w:rsid w:val="00EE3581"/>
    <w:rsid w:val="00EE365F"/>
    <w:rsid w:val="00EE3665"/>
    <w:rsid w:val="00EE3702"/>
    <w:rsid w:val="00EE394C"/>
    <w:rsid w:val="00EE396D"/>
    <w:rsid w:val="00EE39B6"/>
    <w:rsid w:val="00EE3A56"/>
    <w:rsid w:val="00EE3A86"/>
    <w:rsid w:val="00EE3A8E"/>
    <w:rsid w:val="00EE3AD0"/>
    <w:rsid w:val="00EE3BC5"/>
    <w:rsid w:val="00EE3C9B"/>
    <w:rsid w:val="00EE3D05"/>
    <w:rsid w:val="00EE3D80"/>
    <w:rsid w:val="00EE3DB4"/>
    <w:rsid w:val="00EE3E49"/>
    <w:rsid w:val="00EE3E8D"/>
    <w:rsid w:val="00EE3EE1"/>
    <w:rsid w:val="00EE3FCF"/>
    <w:rsid w:val="00EE406D"/>
    <w:rsid w:val="00EE40E7"/>
    <w:rsid w:val="00EE414F"/>
    <w:rsid w:val="00EE435B"/>
    <w:rsid w:val="00EE436D"/>
    <w:rsid w:val="00EE439E"/>
    <w:rsid w:val="00EE43CD"/>
    <w:rsid w:val="00EE44C0"/>
    <w:rsid w:val="00EE44C1"/>
    <w:rsid w:val="00EE453A"/>
    <w:rsid w:val="00EE46E7"/>
    <w:rsid w:val="00EE4767"/>
    <w:rsid w:val="00EE47AD"/>
    <w:rsid w:val="00EE47CA"/>
    <w:rsid w:val="00EE48E5"/>
    <w:rsid w:val="00EE4902"/>
    <w:rsid w:val="00EE4945"/>
    <w:rsid w:val="00EE4970"/>
    <w:rsid w:val="00EE4A3C"/>
    <w:rsid w:val="00EE4A68"/>
    <w:rsid w:val="00EE4AD2"/>
    <w:rsid w:val="00EE4B58"/>
    <w:rsid w:val="00EE4BC8"/>
    <w:rsid w:val="00EE4CD2"/>
    <w:rsid w:val="00EE4D4C"/>
    <w:rsid w:val="00EE4EAF"/>
    <w:rsid w:val="00EE4EDD"/>
    <w:rsid w:val="00EE4F70"/>
    <w:rsid w:val="00EE4FAE"/>
    <w:rsid w:val="00EE5010"/>
    <w:rsid w:val="00EE50AA"/>
    <w:rsid w:val="00EE5498"/>
    <w:rsid w:val="00EE55B2"/>
    <w:rsid w:val="00EE560F"/>
    <w:rsid w:val="00EE567E"/>
    <w:rsid w:val="00EE57B6"/>
    <w:rsid w:val="00EE5854"/>
    <w:rsid w:val="00EE5879"/>
    <w:rsid w:val="00EE58E3"/>
    <w:rsid w:val="00EE58E8"/>
    <w:rsid w:val="00EE58EA"/>
    <w:rsid w:val="00EE58F7"/>
    <w:rsid w:val="00EE595F"/>
    <w:rsid w:val="00EE5A43"/>
    <w:rsid w:val="00EE5AB0"/>
    <w:rsid w:val="00EE5AD5"/>
    <w:rsid w:val="00EE5AEC"/>
    <w:rsid w:val="00EE5B30"/>
    <w:rsid w:val="00EE5B43"/>
    <w:rsid w:val="00EE5B93"/>
    <w:rsid w:val="00EE5C32"/>
    <w:rsid w:val="00EE5F0E"/>
    <w:rsid w:val="00EE5FCC"/>
    <w:rsid w:val="00EE61F4"/>
    <w:rsid w:val="00EE6360"/>
    <w:rsid w:val="00EE6494"/>
    <w:rsid w:val="00EE6497"/>
    <w:rsid w:val="00EE6627"/>
    <w:rsid w:val="00EE6743"/>
    <w:rsid w:val="00EE678C"/>
    <w:rsid w:val="00EE6797"/>
    <w:rsid w:val="00EE67AE"/>
    <w:rsid w:val="00EE6952"/>
    <w:rsid w:val="00EE6A7A"/>
    <w:rsid w:val="00EE6B30"/>
    <w:rsid w:val="00EE6BF6"/>
    <w:rsid w:val="00EE6C12"/>
    <w:rsid w:val="00EE6C31"/>
    <w:rsid w:val="00EE6C78"/>
    <w:rsid w:val="00EE6CCA"/>
    <w:rsid w:val="00EE6F31"/>
    <w:rsid w:val="00EE6F40"/>
    <w:rsid w:val="00EE7206"/>
    <w:rsid w:val="00EE7218"/>
    <w:rsid w:val="00EE72A8"/>
    <w:rsid w:val="00EE72AC"/>
    <w:rsid w:val="00EE72CC"/>
    <w:rsid w:val="00EE72DC"/>
    <w:rsid w:val="00EE72ED"/>
    <w:rsid w:val="00EE7370"/>
    <w:rsid w:val="00EE74EA"/>
    <w:rsid w:val="00EE76E9"/>
    <w:rsid w:val="00EE7743"/>
    <w:rsid w:val="00EE7748"/>
    <w:rsid w:val="00EE77CC"/>
    <w:rsid w:val="00EE7835"/>
    <w:rsid w:val="00EE788E"/>
    <w:rsid w:val="00EE78EC"/>
    <w:rsid w:val="00EE78EF"/>
    <w:rsid w:val="00EE791A"/>
    <w:rsid w:val="00EE7A16"/>
    <w:rsid w:val="00EE7ABB"/>
    <w:rsid w:val="00EE7B82"/>
    <w:rsid w:val="00EE7BE7"/>
    <w:rsid w:val="00EE7CAB"/>
    <w:rsid w:val="00EE7CB0"/>
    <w:rsid w:val="00EE7CC6"/>
    <w:rsid w:val="00EE7CD1"/>
    <w:rsid w:val="00EE7D8E"/>
    <w:rsid w:val="00EE7E0D"/>
    <w:rsid w:val="00EF008D"/>
    <w:rsid w:val="00EF0099"/>
    <w:rsid w:val="00EF00F8"/>
    <w:rsid w:val="00EF0106"/>
    <w:rsid w:val="00EF01D6"/>
    <w:rsid w:val="00EF0206"/>
    <w:rsid w:val="00EF0221"/>
    <w:rsid w:val="00EF02DE"/>
    <w:rsid w:val="00EF0302"/>
    <w:rsid w:val="00EF03C1"/>
    <w:rsid w:val="00EF03D0"/>
    <w:rsid w:val="00EF04C6"/>
    <w:rsid w:val="00EF04FD"/>
    <w:rsid w:val="00EF0525"/>
    <w:rsid w:val="00EF06FB"/>
    <w:rsid w:val="00EF0812"/>
    <w:rsid w:val="00EF084E"/>
    <w:rsid w:val="00EF086B"/>
    <w:rsid w:val="00EF092B"/>
    <w:rsid w:val="00EF0932"/>
    <w:rsid w:val="00EF0989"/>
    <w:rsid w:val="00EF0A45"/>
    <w:rsid w:val="00EF0BBF"/>
    <w:rsid w:val="00EF0C7C"/>
    <w:rsid w:val="00EF0D4F"/>
    <w:rsid w:val="00EF0E2B"/>
    <w:rsid w:val="00EF0E30"/>
    <w:rsid w:val="00EF0EC5"/>
    <w:rsid w:val="00EF1020"/>
    <w:rsid w:val="00EF1083"/>
    <w:rsid w:val="00EF111D"/>
    <w:rsid w:val="00EF117D"/>
    <w:rsid w:val="00EF11F0"/>
    <w:rsid w:val="00EF138F"/>
    <w:rsid w:val="00EF1395"/>
    <w:rsid w:val="00EF13AE"/>
    <w:rsid w:val="00EF1435"/>
    <w:rsid w:val="00EF145E"/>
    <w:rsid w:val="00EF150A"/>
    <w:rsid w:val="00EF1527"/>
    <w:rsid w:val="00EF1577"/>
    <w:rsid w:val="00EF1593"/>
    <w:rsid w:val="00EF15FA"/>
    <w:rsid w:val="00EF162E"/>
    <w:rsid w:val="00EF16F8"/>
    <w:rsid w:val="00EF1723"/>
    <w:rsid w:val="00EF1865"/>
    <w:rsid w:val="00EF18DD"/>
    <w:rsid w:val="00EF1975"/>
    <w:rsid w:val="00EF1A04"/>
    <w:rsid w:val="00EF1ACB"/>
    <w:rsid w:val="00EF1B4C"/>
    <w:rsid w:val="00EF1BD4"/>
    <w:rsid w:val="00EF1C3B"/>
    <w:rsid w:val="00EF1D0A"/>
    <w:rsid w:val="00EF1D34"/>
    <w:rsid w:val="00EF1D4F"/>
    <w:rsid w:val="00EF1D75"/>
    <w:rsid w:val="00EF1D9C"/>
    <w:rsid w:val="00EF1DAE"/>
    <w:rsid w:val="00EF1DBC"/>
    <w:rsid w:val="00EF1E0C"/>
    <w:rsid w:val="00EF1E40"/>
    <w:rsid w:val="00EF1ED1"/>
    <w:rsid w:val="00EF1FC2"/>
    <w:rsid w:val="00EF2015"/>
    <w:rsid w:val="00EF2071"/>
    <w:rsid w:val="00EF20D8"/>
    <w:rsid w:val="00EF20EC"/>
    <w:rsid w:val="00EF21AB"/>
    <w:rsid w:val="00EF22BD"/>
    <w:rsid w:val="00EF22F9"/>
    <w:rsid w:val="00EF2344"/>
    <w:rsid w:val="00EF240D"/>
    <w:rsid w:val="00EF256A"/>
    <w:rsid w:val="00EF2739"/>
    <w:rsid w:val="00EF274A"/>
    <w:rsid w:val="00EF27D0"/>
    <w:rsid w:val="00EF27DC"/>
    <w:rsid w:val="00EF2806"/>
    <w:rsid w:val="00EF2819"/>
    <w:rsid w:val="00EF2884"/>
    <w:rsid w:val="00EF2892"/>
    <w:rsid w:val="00EF292F"/>
    <w:rsid w:val="00EF2A45"/>
    <w:rsid w:val="00EF2A78"/>
    <w:rsid w:val="00EF2B01"/>
    <w:rsid w:val="00EF2BBB"/>
    <w:rsid w:val="00EF2C7B"/>
    <w:rsid w:val="00EF2D27"/>
    <w:rsid w:val="00EF2EBE"/>
    <w:rsid w:val="00EF2F3A"/>
    <w:rsid w:val="00EF2F3E"/>
    <w:rsid w:val="00EF2FE0"/>
    <w:rsid w:val="00EF2FE7"/>
    <w:rsid w:val="00EF2FF4"/>
    <w:rsid w:val="00EF2FFF"/>
    <w:rsid w:val="00EF305F"/>
    <w:rsid w:val="00EF30E8"/>
    <w:rsid w:val="00EF318B"/>
    <w:rsid w:val="00EF318E"/>
    <w:rsid w:val="00EF3266"/>
    <w:rsid w:val="00EF3284"/>
    <w:rsid w:val="00EF32F2"/>
    <w:rsid w:val="00EF331B"/>
    <w:rsid w:val="00EF3367"/>
    <w:rsid w:val="00EF3377"/>
    <w:rsid w:val="00EF339D"/>
    <w:rsid w:val="00EF33BF"/>
    <w:rsid w:val="00EF341A"/>
    <w:rsid w:val="00EF343C"/>
    <w:rsid w:val="00EF3450"/>
    <w:rsid w:val="00EF349A"/>
    <w:rsid w:val="00EF3582"/>
    <w:rsid w:val="00EF3668"/>
    <w:rsid w:val="00EF3679"/>
    <w:rsid w:val="00EF37AD"/>
    <w:rsid w:val="00EF39AD"/>
    <w:rsid w:val="00EF3A68"/>
    <w:rsid w:val="00EF3A83"/>
    <w:rsid w:val="00EF3B14"/>
    <w:rsid w:val="00EF3B5B"/>
    <w:rsid w:val="00EF3CF1"/>
    <w:rsid w:val="00EF3D0D"/>
    <w:rsid w:val="00EF3D45"/>
    <w:rsid w:val="00EF3DF2"/>
    <w:rsid w:val="00EF3FB6"/>
    <w:rsid w:val="00EF402F"/>
    <w:rsid w:val="00EF403E"/>
    <w:rsid w:val="00EF40B7"/>
    <w:rsid w:val="00EF423D"/>
    <w:rsid w:val="00EF426B"/>
    <w:rsid w:val="00EF42B0"/>
    <w:rsid w:val="00EF4373"/>
    <w:rsid w:val="00EF4569"/>
    <w:rsid w:val="00EF45ED"/>
    <w:rsid w:val="00EF469D"/>
    <w:rsid w:val="00EF46EF"/>
    <w:rsid w:val="00EF481C"/>
    <w:rsid w:val="00EF48E8"/>
    <w:rsid w:val="00EF4A61"/>
    <w:rsid w:val="00EF4AEA"/>
    <w:rsid w:val="00EF4BD7"/>
    <w:rsid w:val="00EF4C56"/>
    <w:rsid w:val="00EF4CEA"/>
    <w:rsid w:val="00EF4D5A"/>
    <w:rsid w:val="00EF4DBC"/>
    <w:rsid w:val="00EF4E4B"/>
    <w:rsid w:val="00EF4FCD"/>
    <w:rsid w:val="00EF4FDE"/>
    <w:rsid w:val="00EF509E"/>
    <w:rsid w:val="00EF50A5"/>
    <w:rsid w:val="00EF5169"/>
    <w:rsid w:val="00EF52F4"/>
    <w:rsid w:val="00EF5368"/>
    <w:rsid w:val="00EF537C"/>
    <w:rsid w:val="00EF53B7"/>
    <w:rsid w:val="00EF541A"/>
    <w:rsid w:val="00EF54B1"/>
    <w:rsid w:val="00EF54CD"/>
    <w:rsid w:val="00EF54DC"/>
    <w:rsid w:val="00EF5547"/>
    <w:rsid w:val="00EF557B"/>
    <w:rsid w:val="00EF5581"/>
    <w:rsid w:val="00EF55AB"/>
    <w:rsid w:val="00EF55CC"/>
    <w:rsid w:val="00EF5668"/>
    <w:rsid w:val="00EF56CF"/>
    <w:rsid w:val="00EF5744"/>
    <w:rsid w:val="00EF577C"/>
    <w:rsid w:val="00EF57F7"/>
    <w:rsid w:val="00EF58B0"/>
    <w:rsid w:val="00EF5927"/>
    <w:rsid w:val="00EF5950"/>
    <w:rsid w:val="00EF5A0D"/>
    <w:rsid w:val="00EF5AA6"/>
    <w:rsid w:val="00EF5B1A"/>
    <w:rsid w:val="00EF5B2E"/>
    <w:rsid w:val="00EF5B60"/>
    <w:rsid w:val="00EF5C8A"/>
    <w:rsid w:val="00EF5CC8"/>
    <w:rsid w:val="00EF5D1B"/>
    <w:rsid w:val="00EF5D59"/>
    <w:rsid w:val="00EF5F21"/>
    <w:rsid w:val="00EF5FEE"/>
    <w:rsid w:val="00EF60A4"/>
    <w:rsid w:val="00EF610F"/>
    <w:rsid w:val="00EF61B2"/>
    <w:rsid w:val="00EF623A"/>
    <w:rsid w:val="00EF62AE"/>
    <w:rsid w:val="00EF6312"/>
    <w:rsid w:val="00EF631F"/>
    <w:rsid w:val="00EF6346"/>
    <w:rsid w:val="00EF63B6"/>
    <w:rsid w:val="00EF641C"/>
    <w:rsid w:val="00EF64BE"/>
    <w:rsid w:val="00EF652F"/>
    <w:rsid w:val="00EF6571"/>
    <w:rsid w:val="00EF6973"/>
    <w:rsid w:val="00EF6976"/>
    <w:rsid w:val="00EF69A6"/>
    <w:rsid w:val="00EF6BEB"/>
    <w:rsid w:val="00EF6C54"/>
    <w:rsid w:val="00EF6E8B"/>
    <w:rsid w:val="00EF6EDE"/>
    <w:rsid w:val="00EF6F7E"/>
    <w:rsid w:val="00EF6FE2"/>
    <w:rsid w:val="00EF7089"/>
    <w:rsid w:val="00EF71BB"/>
    <w:rsid w:val="00EF71CF"/>
    <w:rsid w:val="00EF72BD"/>
    <w:rsid w:val="00EF7341"/>
    <w:rsid w:val="00EF73A7"/>
    <w:rsid w:val="00EF73D2"/>
    <w:rsid w:val="00EF7406"/>
    <w:rsid w:val="00EF7484"/>
    <w:rsid w:val="00EF74E4"/>
    <w:rsid w:val="00EF7660"/>
    <w:rsid w:val="00EF7733"/>
    <w:rsid w:val="00EF7739"/>
    <w:rsid w:val="00EF777D"/>
    <w:rsid w:val="00EF779C"/>
    <w:rsid w:val="00EF78FE"/>
    <w:rsid w:val="00EF7AE2"/>
    <w:rsid w:val="00EF7BE7"/>
    <w:rsid w:val="00EF7C4E"/>
    <w:rsid w:val="00EF7CD6"/>
    <w:rsid w:val="00EF7DAA"/>
    <w:rsid w:val="00EF7E08"/>
    <w:rsid w:val="00EF7F22"/>
    <w:rsid w:val="00EF7FD1"/>
    <w:rsid w:val="00EF7FEF"/>
    <w:rsid w:val="00F0007D"/>
    <w:rsid w:val="00F000EF"/>
    <w:rsid w:val="00F000F6"/>
    <w:rsid w:val="00F00341"/>
    <w:rsid w:val="00F00446"/>
    <w:rsid w:val="00F004BD"/>
    <w:rsid w:val="00F004EC"/>
    <w:rsid w:val="00F00577"/>
    <w:rsid w:val="00F006B2"/>
    <w:rsid w:val="00F006EB"/>
    <w:rsid w:val="00F007BF"/>
    <w:rsid w:val="00F00829"/>
    <w:rsid w:val="00F0082D"/>
    <w:rsid w:val="00F009E2"/>
    <w:rsid w:val="00F00C0C"/>
    <w:rsid w:val="00F00C18"/>
    <w:rsid w:val="00F00CD9"/>
    <w:rsid w:val="00F00D96"/>
    <w:rsid w:val="00F00DD6"/>
    <w:rsid w:val="00F00E20"/>
    <w:rsid w:val="00F00E3F"/>
    <w:rsid w:val="00F00E5F"/>
    <w:rsid w:val="00F01084"/>
    <w:rsid w:val="00F0108B"/>
    <w:rsid w:val="00F0115B"/>
    <w:rsid w:val="00F011DB"/>
    <w:rsid w:val="00F0123C"/>
    <w:rsid w:val="00F012CA"/>
    <w:rsid w:val="00F012EC"/>
    <w:rsid w:val="00F01388"/>
    <w:rsid w:val="00F0140D"/>
    <w:rsid w:val="00F014E7"/>
    <w:rsid w:val="00F01559"/>
    <w:rsid w:val="00F0158F"/>
    <w:rsid w:val="00F015AB"/>
    <w:rsid w:val="00F015C5"/>
    <w:rsid w:val="00F01701"/>
    <w:rsid w:val="00F0174A"/>
    <w:rsid w:val="00F017F7"/>
    <w:rsid w:val="00F0186B"/>
    <w:rsid w:val="00F018AC"/>
    <w:rsid w:val="00F0196A"/>
    <w:rsid w:val="00F01A03"/>
    <w:rsid w:val="00F01A77"/>
    <w:rsid w:val="00F01AB5"/>
    <w:rsid w:val="00F01AE5"/>
    <w:rsid w:val="00F01AEC"/>
    <w:rsid w:val="00F01BD8"/>
    <w:rsid w:val="00F01BDB"/>
    <w:rsid w:val="00F01CCD"/>
    <w:rsid w:val="00F01D5C"/>
    <w:rsid w:val="00F01D5E"/>
    <w:rsid w:val="00F01DB0"/>
    <w:rsid w:val="00F01E12"/>
    <w:rsid w:val="00F02047"/>
    <w:rsid w:val="00F020CF"/>
    <w:rsid w:val="00F02110"/>
    <w:rsid w:val="00F02196"/>
    <w:rsid w:val="00F021FA"/>
    <w:rsid w:val="00F023C9"/>
    <w:rsid w:val="00F0242D"/>
    <w:rsid w:val="00F024B2"/>
    <w:rsid w:val="00F02527"/>
    <w:rsid w:val="00F02536"/>
    <w:rsid w:val="00F02545"/>
    <w:rsid w:val="00F0257B"/>
    <w:rsid w:val="00F026F2"/>
    <w:rsid w:val="00F0275A"/>
    <w:rsid w:val="00F027C1"/>
    <w:rsid w:val="00F02890"/>
    <w:rsid w:val="00F028CC"/>
    <w:rsid w:val="00F028CD"/>
    <w:rsid w:val="00F02A1A"/>
    <w:rsid w:val="00F02A93"/>
    <w:rsid w:val="00F02B14"/>
    <w:rsid w:val="00F02B4B"/>
    <w:rsid w:val="00F02B9A"/>
    <w:rsid w:val="00F02BFF"/>
    <w:rsid w:val="00F02C59"/>
    <w:rsid w:val="00F02C76"/>
    <w:rsid w:val="00F02E22"/>
    <w:rsid w:val="00F02EF6"/>
    <w:rsid w:val="00F02F56"/>
    <w:rsid w:val="00F03047"/>
    <w:rsid w:val="00F030C4"/>
    <w:rsid w:val="00F030DB"/>
    <w:rsid w:val="00F03153"/>
    <w:rsid w:val="00F03185"/>
    <w:rsid w:val="00F03239"/>
    <w:rsid w:val="00F032C4"/>
    <w:rsid w:val="00F032D8"/>
    <w:rsid w:val="00F0332C"/>
    <w:rsid w:val="00F034C2"/>
    <w:rsid w:val="00F03566"/>
    <w:rsid w:val="00F03691"/>
    <w:rsid w:val="00F03716"/>
    <w:rsid w:val="00F037BB"/>
    <w:rsid w:val="00F03807"/>
    <w:rsid w:val="00F03813"/>
    <w:rsid w:val="00F0383A"/>
    <w:rsid w:val="00F03942"/>
    <w:rsid w:val="00F03983"/>
    <w:rsid w:val="00F03A9F"/>
    <w:rsid w:val="00F03AD5"/>
    <w:rsid w:val="00F03BA8"/>
    <w:rsid w:val="00F03BB9"/>
    <w:rsid w:val="00F03C7A"/>
    <w:rsid w:val="00F03E22"/>
    <w:rsid w:val="00F03EAD"/>
    <w:rsid w:val="00F03EB4"/>
    <w:rsid w:val="00F03F25"/>
    <w:rsid w:val="00F03F9B"/>
    <w:rsid w:val="00F04039"/>
    <w:rsid w:val="00F04052"/>
    <w:rsid w:val="00F0413F"/>
    <w:rsid w:val="00F04154"/>
    <w:rsid w:val="00F041FF"/>
    <w:rsid w:val="00F0441E"/>
    <w:rsid w:val="00F04497"/>
    <w:rsid w:val="00F04602"/>
    <w:rsid w:val="00F04835"/>
    <w:rsid w:val="00F048CF"/>
    <w:rsid w:val="00F04981"/>
    <w:rsid w:val="00F049D9"/>
    <w:rsid w:val="00F049E4"/>
    <w:rsid w:val="00F04A49"/>
    <w:rsid w:val="00F04B1C"/>
    <w:rsid w:val="00F04C2C"/>
    <w:rsid w:val="00F04C5F"/>
    <w:rsid w:val="00F04D99"/>
    <w:rsid w:val="00F04DAB"/>
    <w:rsid w:val="00F04EA8"/>
    <w:rsid w:val="00F05056"/>
    <w:rsid w:val="00F050B9"/>
    <w:rsid w:val="00F05131"/>
    <w:rsid w:val="00F05163"/>
    <w:rsid w:val="00F051B2"/>
    <w:rsid w:val="00F051CE"/>
    <w:rsid w:val="00F052AF"/>
    <w:rsid w:val="00F05451"/>
    <w:rsid w:val="00F0549A"/>
    <w:rsid w:val="00F054DD"/>
    <w:rsid w:val="00F055EE"/>
    <w:rsid w:val="00F0561E"/>
    <w:rsid w:val="00F05664"/>
    <w:rsid w:val="00F056CD"/>
    <w:rsid w:val="00F057E9"/>
    <w:rsid w:val="00F0592A"/>
    <w:rsid w:val="00F05947"/>
    <w:rsid w:val="00F05969"/>
    <w:rsid w:val="00F059AF"/>
    <w:rsid w:val="00F05A3F"/>
    <w:rsid w:val="00F05B53"/>
    <w:rsid w:val="00F05BA3"/>
    <w:rsid w:val="00F05BE4"/>
    <w:rsid w:val="00F05C02"/>
    <w:rsid w:val="00F05D5E"/>
    <w:rsid w:val="00F05D7E"/>
    <w:rsid w:val="00F05D85"/>
    <w:rsid w:val="00F05DEE"/>
    <w:rsid w:val="00F05F92"/>
    <w:rsid w:val="00F06013"/>
    <w:rsid w:val="00F061C9"/>
    <w:rsid w:val="00F06200"/>
    <w:rsid w:val="00F06226"/>
    <w:rsid w:val="00F062BA"/>
    <w:rsid w:val="00F06394"/>
    <w:rsid w:val="00F06445"/>
    <w:rsid w:val="00F06462"/>
    <w:rsid w:val="00F0647F"/>
    <w:rsid w:val="00F06528"/>
    <w:rsid w:val="00F065C4"/>
    <w:rsid w:val="00F0665D"/>
    <w:rsid w:val="00F06696"/>
    <w:rsid w:val="00F067A0"/>
    <w:rsid w:val="00F06B4E"/>
    <w:rsid w:val="00F06BA3"/>
    <w:rsid w:val="00F06C16"/>
    <w:rsid w:val="00F06D13"/>
    <w:rsid w:val="00F06E4D"/>
    <w:rsid w:val="00F06ED9"/>
    <w:rsid w:val="00F06FC7"/>
    <w:rsid w:val="00F07023"/>
    <w:rsid w:val="00F07041"/>
    <w:rsid w:val="00F070B6"/>
    <w:rsid w:val="00F070D5"/>
    <w:rsid w:val="00F07173"/>
    <w:rsid w:val="00F0717C"/>
    <w:rsid w:val="00F0741C"/>
    <w:rsid w:val="00F07512"/>
    <w:rsid w:val="00F07590"/>
    <w:rsid w:val="00F07591"/>
    <w:rsid w:val="00F078BF"/>
    <w:rsid w:val="00F07C90"/>
    <w:rsid w:val="00F07CF6"/>
    <w:rsid w:val="00F07D9A"/>
    <w:rsid w:val="00F07E24"/>
    <w:rsid w:val="00F07F33"/>
    <w:rsid w:val="00F07F89"/>
    <w:rsid w:val="00F1002B"/>
    <w:rsid w:val="00F10101"/>
    <w:rsid w:val="00F10374"/>
    <w:rsid w:val="00F103AE"/>
    <w:rsid w:val="00F103D7"/>
    <w:rsid w:val="00F1050B"/>
    <w:rsid w:val="00F10587"/>
    <w:rsid w:val="00F10630"/>
    <w:rsid w:val="00F106FA"/>
    <w:rsid w:val="00F1079F"/>
    <w:rsid w:val="00F1085A"/>
    <w:rsid w:val="00F108F3"/>
    <w:rsid w:val="00F10918"/>
    <w:rsid w:val="00F1093F"/>
    <w:rsid w:val="00F10A58"/>
    <w:rsid w:val="00F10AAE"/>
    <w:rsid w:val="00F10B37"/>
    <w:rsid w:val="00F10B7A"/>
    <w:rsid w:val="00F10C2C"/>
    <w:rsid w:val="00F10C77"/>
    <w:rsid w:val="00F10D36"/>
    <w:rsid w:val="00F10D53"/>
    <w:rsid w:val="00F10FAF"/>
    <w:rsid w:val="00F10FBB"/>
    <w:rsid w:val="00F110B8"/>
    <w:rsid w:val="00F111D8"/>
    <w:rsid w:val="00F11237"/>
    <w:rsid w:val="00F11287"/>
    <w:rsid w:val="00F1129F"/>
    <w:rsid w:val="00F112B6"/>
    <w:rsid w:val="00F112EE"/>
    <w:rsid w:val="00F11330"/>
    <w:rsid w:val="00F1145E"/>
    <w:rsid w:val="00F1156B"/>
    <w:rsid w:val="00F115F1"/>
    <w:rsid w:val="00F11699"/>
    <w:rsid w:val="00F116F7"/>
    <w:rsid w:val="00F11722"/>
    <w:rsid w:val="00F1181F"/>
    <w:rsid w:val="00F11843"/>
    <w:rsid w:val="00F11864"/>
    <w:rsid w:val="00F1190C"/>
    <w:rsid w:val="00F1196B"/>
    <w:rsid w:val="00F11A27"/>
    <w:rsid w:val="00F11A8D"/>
    <w:rsid w:val="00F11A97"/>
    <w:rsid w:val="00F11A99"/>
    <w:rsid w:val="00F11C54"/>
    <w:rsid w:val="00F11C86"/>
    <w:rsid w:val="00F11CB2"/>
    <w:rsid w:val="00F11E68"/>
    <w:rsid w:val="00F12017"/>
    <w:rsid w:val="00F12102"/>
    <w:rsid w:val="00F12164"/>
    <w:rsid w:val="00F121F5"/>
    <w:rsid w:val="00F12251"/>
    <w:rsid w:val="00F122B4"/>
    <w:rsid w:val="00F122EF"/>
    <w:rsid w:val="00F12374"/>
    <w:rsid w:val="00F123C6"/>
    <w:rsid w:val="00F1240C"/>
    <w:rsid w:val="00F12419"/>
    <w:rsid w:val="00F125E2"/>
    <w:rsid w:val="00F12612"/>
    <w:rsid w:val="00F12653"/>
    <w:rsid w:val="00F12744"/>
    <w:rsid w:val="00F1276E"/>
    <w:rsid w:val="00F12829"/>
    <w:rsid w:val="00F12892"/>
    <w:rsid w:val="00F128C7"/>
    <w:rsid w:val="00F1290D"/>
    <w:rsid w:val="00F12917"/>
    <w:rsid w:val="00F1297E"/>
    <w:rsid w:val="00F129E5"/>
    <w:rsid w:val="00F12A86"/>
    <w:rsid w:val="00F12B61"/>
    <w:rsid w:val="00F12BD6"/>
    <w:rsid w:val="00F12C66"/>
    <w:rsid w:val="00F12C9E"/>
    <w:rsid w:val="00F12D94"/>
    <w:rsid w:val="00F12E9D"/>
    <w:rsid w:val="00F12F46"/>
    <w:rsid w:val="00F13115"/>
    <w:rsid w:val="00F13182"/>
    <w:rsid w:val="00F13203"/>
    <w:rsid w:val="00F13249"/>
    <w:rsid w:val="00F133E2"/>
    <w:rsid w:val="00F13417"/>
    <w:rsid w:val="00F13570"/>
    <w:rsid w:val="00F13627"/>
    <w:rsid w:val="00F13731"/>
    <w:rsid w:val="00F13816"/>
    <w:rsid w:val="00F1386E"/>
    <w:rsid w:val="00F1388A"/>
    <w:rsid w:val="00F13A54"/>
    <w:rsid w:val="00F13AE8"/>
    <w:rsid w:val="00F13B2D"/>
    <w:rsid w:val="00F13C13"/>
    <w:rsid w:val="00F13CF5"/>
    <w:rsid w:val="00F13D20"/>
    <w:rsid w:val="00F13EC5"/>
    <w:rsid w:val="00F13EE6"/>
    <w:rsid w:val="00F14003"/>
    <w:rsid w:val="00F14091"/>
    <w:rsid w:val="00F14099"/>
    <w:rsid w:val="00F140E8"/>
    <w:rsid w:val="00F14100"/>
    <w:rsid w:val="00F1410C"/>
    <w:rsid w:val="00F14111"/>
    <w:rsid w:val="00F141C0"/>
    <w:rsid w:val="00F14262"/>
    <w:rsid w:val="00F142E7"/>
    <w:rsid w:val="00F14311"/>
    <w:rsid w:val="00F14316"/>
    <w:rsid w:val="00F14356"/>
    <w:rsid w:val="00F14440"/>
    <w:rsid w:val="00F14452"/>
    <w:rsid w:val="00F144EE"/>
    <w:rsid w:val="00F14567"/>
    <w:rsid w:val="00F14574"/>
    <w:rsid w:val="00F14599"/>
    <w:rsid w:val="00F145C8"/>
    <w:rsid w:val="00F14614"/>
    <w:rsid w:val="00F14650"/>
    <w:rsid w:val="00F146FC"/>
    <w:rsid w:val="00F14701"/>
    <w:rsid w:val="00F147A0"/>
    <w:rsid w:val="00F147E5"/>
    <w:rsid w:val="00F1480D"/>
    <w:rsid w:val="00F1482F"/>
    <w:rsid w:val="00F14845"/>
    <w:rsid w:val="00F148C0"/>
    <w:rsid w:val="00F14912"/>
    <w:rsid w:val="00F14938"/>
    <w:rsid w:val="00F149E8"/>
    <w:rsid w:val="00F14A47"/>
    <w:rsid w:val="00F14A7D"/>
    <w:rsid w:val="00F14BF2"/>
    <w:rsid w:val="00F14CC6"/>
    <w:rsid w:val="00F14D9D"/>
    <w:rsid w:val="00F14DD1"/>
    <w:rsid w:val="00F14F7A"/>
    <w:rsid w:val="00F15023"/>
    <w:rsid w:val="00F150E7"/>
    <w:rsid w:val="00F152A9"/>
    <w:rsid w:val="00F1534F"/>
    <w:rsid w:val="00F153AD"/>
    <w:rsid w:val="00F155C1"/>
    <w:rsid w:val="00F155EE"/>
    <w:rsid w:val="00F1564E"/>
    <w:rsid w:val="00F156EF"/>
    <w:rsid w:val="00F1574E"/>
    <w:rsid w:val="00F1575C"/>
    <w:rsid w:val="00F157A7"/>
    <w:rsid w:val="00F157F5"/>
    <w:rsid w:val="00F159DF"/>
    <w:rsid w:val="00F15A02"/>
    <w:rsid w:val="00F15A14"/>
    <w:rsid w:val="00F15BC1"/>
    <w:rsid w:val="00F15BF0"/>
    <w:rsid w:val="00F15D9C"/>
    <w:rsid w:val="00F15E6E"/>
    <w:rsid w:val="00F15E72"/>
    <w:rsid w:val="00F15E7C"/>
    <w:rsid w:val="00F15EDF"/>
    <w:rsid w:val="00F15EF0"/>
    <w:rsid w:val="00F15F73"/>
    <w:rsid w:val="00F15FBC"/>
    <w:rsid w:val="00F160CF"/>
    <w:rsid w:val="00F16247"/>
    <w:rsid w:val="00F16351"/>
    <w:rsid w:val="00F163A2"/>
    <w:rsid w:val="00F1649B"/>
    <w:rsid w:val="00F1651C"/>
    <w:rsid w:val="00F16527"/>
    <w:rsid w:val="00F16660"/>
    <w:rsid w:val="00F16793"/>
    <w:rsid w:val="00F16803"/>
    <w:rsid w:val="00F16A24"/>
    <w:rsid w:val="00F16B2D"/>
    <w:rsid w:val="00F16BDE"/>
    <w:rsid w:val="00F16D6F"/>
    <w:rsid w:val="00F16D77"/>
    <w:rsid w:val="00F16E01"/>
    <w:rsid w:val="00F16E3A"/>
    <w:rsid w:val="00F16E8A"/>
    <w:rsid w:val="00F16FBB"/>
    <w:rsid w:val="00F17019"/>
    <w:rsid w:val="00F17054"/>
    <w:rsid w:val="00F17157"/>
    <w:rsid w:val="00F1719F"/>
    <w:rsid w:val="00F171CE"/>
    <w:rsid w:val="00F171ED"/>
    <w:rsid w:val="00F17280"/>
    <w:rsid w:val="00F172AB"/>
    <w:rsid w:val="00F17458"/>
    <w:rsid w:val="00F174C9"/>
    <w:rsid w:val="00F174FE"/>
    <w:rsid w:val="00F1753B"/>
    <w:rsid w:val="00F17698"/>
    <w:rsid w:val="00F1769B"/>
    <w:rsid w:val="00F176B0"/>
    <w:rsid w:val="00F176FE"/>
    <w:rsid w:val="00F177DC"/>
    <w:rsid w:val="00F17824"/>
    <w:rsid w:val="00F1791C"/>
    <w:rsid w:val="00F17C48"/>
    <w:rsid w:val="00F17D6B"/>
    <w:rsid w:val="00F17DBC"/>
    <w:rsid w:val="00F17E60"/>
    <w:rsid w:val="00F17E8F"/>
    <w:rsid w:val="00F17F40"/>
    <w:rsid w:val="00F2026D"/>
    <w:rsid w:val="00F20291"/>
    <w:rsid w:val="00F20397"/>
    <w:rsid w:val="00F203BC"/>
    <w:rsid w:val="00F204A8"/>
    <w:rsid w:val="00F205F5"/>
    <w:rsid w:val="00F2075A"/>
    <w:rsid w:val="00F2075D"/>
    <w:rsid w:val="00F207E5"/>
    <w:rsid w:val="00F208D3"/>
    <w:rsid w:val="00F2099F"/>
    <w:rsid w:val="00F209C0"/>
    <w:rsid w:val="00F209D3"/>
    <w:rsid w:val="00F20A38"/>
    <w:rsid w:val="00F20AFE"/>
    <w:rsid w:val="00F20B8E"/>
    <w:rsid w:val="00F20C66"/>
    <w:rsid w:val="00F20C93"/>
    <w:rsid w:val="00F20D2E"/>
    <w:rsid w:val="00F20DA4"/>
    <w:rsid w:val="00F20E0D"/>
    <w:rsid w:val="00F20E1D"/>
    <w:rsid w:val="00F20F1A"/>
    <w:rsid w:val="00F20FEC"/>
    <w:rsid w:val="00F2104C"/>
    <w:rsid w:val="00F21089"/>
    <w:rsid w:val="00F210A7"/>
    <w:rsid w:val="00F212EB"/>
    <w:rsid w:val="00F21356"/>
    <w:rsid w:val="00F21374"/>
    <w:rsid w:val="00F2141A"/>
    <w:rsid w:val="00F21430"/>
    <w:rsid w:val="00F21442"/>
    <w:rsid w:val="00F214D4"/>
    <w:rsid w:val="00F21507"/>
    <w:rsid w:val="00F2167B"/>
    <w:rsid w:val="00F21753"/>
    <w:rsid w:val="00F21778"/>
    <w:rsid w:val="00F2197B"/>
    <w:rsid w:val="00F219B1"/>
    <w:rsid w:val="00F219C3"/>
    <w:rsid w:val="00F21A38"/>
    <w:rsid w:val="00F21A6B"/>
    <w:rsid w:val="00F21B14"/>
    <w:rsid w:val="00F21B92"/>
    <w:rsid w:val="00F21CE2"/>
    <w:rsid w:val="00F21E93"/>
    <w:rsid w:val="00F21F80"/>
    <w:rsid w:val="00F21FDB"/>
    <w:rsid w:val="00F22047"/>
    <w:rsid w:val="00F2213C"/>
    <w:rsid w:val="00F221B0"/>
    <w:rsid w:val="00F2228B"/>
    <w:rsid w:val="00F2235F"/>
    <w:rsid w:val="00F22461"/>
    <w:rsid w:val="00F2252A"/>
    <w:rsid w:val="00F22533"/>
    <w:rsid w:val="00F22653"/>
    <w:rsid w:val="00F22785"/>
    <w:rsid w:val="00F2289A"/>
    <w:rsid w:val="00F228C1"/>
    <w:rsid w:val="00F22986"/>
    <w:rsid w:val="00F22A6E"/>
    <w:rsid w:val="00F22B2D"/>
    <w:rsid w:val="00F22B36"/>
    <w:rsid w:val="00F22C31"/>
    <w:rsid w:val="00F22D42"/>
    <w:rsid w:val="00F22DA3"/>
    <w:rsid w:val="00F22E1A"/>
    <w:rsid w:val="00F22EA6"/>
    <w:rsid w:val="00F22F2D"/>
    <w:rsid w:val="00F22F35"/>
    <w:rsid w:val="00F22F63"/>
    <w:rsid w:val="00F22F65"/>
    <w:rsid w:val="00F22F8B"/>
    <w:rsid w:val="00F22FD4"/>
    <w:rsid w:val="00F230A2"/>
    <w:rsid w:val="00F230D4"/>
    <w:rsid w:val="00F23126"/>
    <w:rsid w:val="00F23156"/>
    <w:rsid w:val="00F23161"/>
    <w:rsid w:val="00F23204"/>
    <w:rsid w:val="00F23263"/>
    <w:rsid w:val="00F232E4"/>
    <w:rsid w:val="00F23305"/>
    <w:rsid w:val="00F2332B"/>
    <w:rsid w:val="00F23435"/>
    <w:rsid w:val="00F23463"/>
    <w:rsid w:val="00F2361D"/>
    <w:rsid w:val="00F236C2"/>
    <w:rsid w:val="00F238AA"/>
    <w:rsid w:val="00F23919"/>
    <w:rsid w:val="00F23943"/>
    <w:rsid w:val="00F2397E"/>
    <w:rsid w:val="00F2399C"/>
    <w:rsid w:val="00F23A68"/>
    <w:rsid w:val="00F23B73"/>
    <w:rsid w:val="00F23B88"/>
    <w:rsid w:val="00F23D1A"/>
    <w:rsid w:val="00F23D66"/>
    <w:rsid w:val="00F23D9C"/>
    <w:rsid w:val="00F23DA7"/>
    <w:rsid w:val="00F23DFC"/>
    <w:rsid w:val="00F23DFF"/>
    <w:rsid w:val="00F23E50"/>
    <w:rsid w:val="00F23E8A"/>
    <w:rsid w:val="00F23EA5"/>
    <w:rsid w:val="00F23F69"/>
    <w:rsid w:val="00F23FB2"/>
    <w:rsid w:val="00F24018"/>
    <w:rsid w:val="00F24031"/>
    <w:rsid w:val="00F2407A"/>
    <w:rsid w:val="00F24109"/>
    <w:rsid w:val="00F2410F"/>
    <w:rsid w:val="00F2412F"/>
    <w:rsid w:val="00F24154"/>
    <w:rsid w:val="00F2424F"/>
    <w:rsid w:val="00F2428D"/>
    <w:rsid w:val="00F24611"/>
    <w:rsid w:val="00F2462D"/>
    <w:rsid w:val="00F246A0"/>
    <w:rsid w:val="00F246CC"/>
    <w:rsid w:val="00F24745"/>
    <w:rsid w:val="00F2477C"/>
    <w:rsid w:val="00F24856"/>
    <w:rsid w:val="00F24881"/>
    <w:rsid w:val="00F2495B"/>
    <w:rsid w:val="00F24999"/>
    <w:rsid w:val="00F249DD"/>
    <w:rsid w:val="00F24AB4"/>
    <w:rsid w:val="00F24B2E"/>
    <w:rsid w:val="00F24B43"/>
    <w:rsid w:val="00F24C31"/>
    <w:rsid w:val="00F24C3E"/>
    <w:rsid w:val="00F24CFE"/>
    <w:rsid w:val="00F24D57"/>
    <w:rsid w:val="00F24D59"/>
    <w:rsid w:val="00F24E37"/>
    <w:rsid w:val="00F24E81"/>
    <w:rsid w:val="00F25067"/>
    <w:rsid w:val="00F250BE"/>
    <w:rsid w:val="00F2521B"/>
    <w:rsid w:val="00F2523B"/>
    <w:rsid w:val="00F25269"/>
    <w:rsid w:val="00F25288"/>
    <w:rsid w:val="00F252F1"/>
    <w:rsid w:val="00F25305"/>
    <w:rsid w:val="00F25392"/>
    <w:rsid w:val="00F253CE"/>
    <w:rsid w:val="00F25406"/>
    <w:rsid w:val="00F25462"/>
    <w:rsid w:val="00F2546A"/>
    <w:rsid w:val="00F25487"/>
    <w:rsid w:val="00F25567"/>
    <w:rsid w:val="00F255A2"/>
    <w:rsid w:val="00F255CF"/>
    <w:rsid w:val="00F25695"/>
    <w:rsid w:val="00F257EC"/>
    <w:rsid w:val="00F258B7"/>
    <w:rsid w:val="00F2598C"/>
    <w:rsid w:val="00F259FA"/>
    <w:rsid w:val="00F25B64"/>
    <w:rsid w:val="00F25B6A"/>
    <w:rsid w:val="00F25B96"/>
    <w:rsid w:val="00F25CED"/>
    <w:rsid w:val="00F25CFC"/>
    <w:rsid w:val="00F25E3E"/>
    <w:rsid w:val="00F25E64"/>
    <w:rsid w:val="00F26076"/>
    <w:rsid w:val="00F261C0"/>
    <w:rsid w:val="00F26216"/>
    <w:rsid w:val="00F26217"/>
    <w:rsid w:val="00F26234"/>
    <w:rsid w:val="00F26350"/>
    <w:rsid w:val="00F26388"/>
    <w:rsid w:val="00F263B3"/>
    <w:rsid w:val="00F263F3"/>
    <w:rsid w:val="00F26417"/>
    <w:rsid w:val="00F26442"/>
    <w:rsid w:val="00F2651E"/>
    <w:rsid w:val="00F265A9"/>
    <w:rsid w:val="00F266A6"/>
    <w:rsid w:val="00F266A8"/>
    <w:rsid w:val="00F266E5"/>
    <w:rsid w:val="00F2683F"/>
    <w:rsid w:val="00F268DA"/>
    <w:rsid w:val="00F26917"/>
    <w:rsid w:val="00F26943"/>
    <w:rsid w:val="00F269AC"/>
    <w:rsid w:val="00F26A4F"/>
    <w:rsid w:val="00F26BCB"/>
    <w:rsid w:val="00F26CD2"/>
    <w:rsid w:val="00F26D02"/>
    <w:rsid w:val="00F26D17"/>
    <w:rsid w:val="00F26D6D"/>
    <w:rsid w:val="00F26DEE"/>
    <w:rsid w:val="00F26F1A"/>
    <w:rsid w:val="00F26FA2"/>
    <w:rsid w:val="00F26FAF"/>
    <w:rsid w:val="00F27126"/>
    <w:rsid w:val="00F2725E"/>
    <w:rsid w:val="00F27325"/>
    <w:rsid w:val="00F27357"/>
    <w:rsid w:val="00F2737F"/>
    <w:rsid w:val="00F27465"/>
    <w:rsid w:val="00F274B3"/>
    <w:rsid w:val="00F27607"/>
    <w:rsid w:val="00F27650"/>
    <w:rsid w:val="00F2767D"/>
    <w:rsid w:val="00F2769D"/>
    <w:rsid w:val="00F2775B"/>
    <w:rsid w:val="00F27763"/>
    <w:rsid w:val="00F277A1"/>
    <w:rsid w:val="00F2794D"/>
    <w:rsid w:val="00F2796C"/>
    <w:rsid w:val="00F27975"/>
    <w:rsid w:val="00F27996"/>
    <w:rsid w:val="00F279C8"/>
    <w:rsid w:val="00F27A43"/>
    <w:rsid w:val="00F27A7B"/>
    <w:rsid w:val="00F27AF4"/>
    <w:rsid w:val="00F27B21"/>
    <w:rsid w:val="00F27BAD"/>
    <w:rsid w:val="00F27BD5"/>
    <w:rsid w:val="00F27BFD"/>
    <w:rsid w:val="00F27C60"/>
    <w:rsid w:val="00F27C8C"/>
    <w:rsid w:val="00F27E84"/>
    <w:rsid w:val="00F27EC4"/>
    <w:rsid w:val="00F27FBA"/>
    <w:rsid w:val="00F27FE0"/>
    <w:rsid w:val="00F30033"/>
    <w:rsid w:val="00F3018D"/>
    <w:rsid w:val="00F301EE"/>
    <w:rsid w:val="00F301F0"/>
    <w:rsid w:val="00F3039C"/>
    <w:rsid w:val="00F303D5"/>
    <w:rsid w:val="00F303FE"/>
    <w:rsid w:val="00F30400"/>
    <w:rsid w:val="00F30501"/>
    <w:rsid w:val="00F30518"/>
    <w:rsid w:val="00F30538"/>
    <w:rsid w:val="00F30564"/>
    <w:rsid w:val="00F306AA"/>
    <w:rsid w:val="00F306B4"/>
    <w:rsid w:val="00F30741"/>
    <w:rsid w:val="00F307D2"/>
    <w:rsid w:val="00F307FA"/>
    <w:rsid w:val="00F30859"/>
    <w:rsid w:val="00F3086E"/>
    <w:rsid w:val="00F308D6"/>
    <w:rsid w:val="00F30961"/>
    <w:rsid w:val="00F30A8F"/>
    <w:rsid w:val="00F30AD0"/>
    <w:rsid w:val="00F30B57"/>
    <w:rsid w:val="00F30BD2"/>
    <w:rsid w:val="00F30C38"/>
    <w:rsid w:val="00F30CB4"/>
    <w:rsid w:val="00F30D9F"/>
    <w:rsid w:val="00F30DF4"/>
    <w:rsid w:val="00F30E2E"/>
    <w:rsid w:val="00F30E3F"/>
    <w:rsid w:val="00F30ED8"/>
    <w:rsid w:val="00F30F5C"/>
    <w:rsid w:val="00F30F8C"/>
    <w:rsid w:val="00F30FBC"/>
    <w:rsid w:val="00F311AE"/>
    <w:rsid w:val="00F311B2"/>
    <w:rsid w:val="00F31242"/>
    <w:rsid w:val="00F31248"/>
    <w:rsid w:val="00F31258"/>
    <w:rsid w:val="00F312DE"/>
    <w:rsid w:val="00F312E0"/>
    <w:rsid w:val="00F31371"/>
    <w:rsid w:val="00F31391"/>
    <w:rsid w:val="00F313DB"/>
    <w:rsid w:val="00F3154E"/>
    <w:rsid w:val="00F31572"/>
    <w:rsid w:val="00F31632"/>
    <w:rsid w:val="00F3165F"/>
    <w:rsid w:val="00F31777"/>
    <w:rsid w:val="00F31792"/>
    <w:rsid w:val="00F31805"/>
    <w:rsid w:val="00F31823"/>
    <w:rsid w:val="00F31855"/>
    <w:rsid w:val="00F318F7"/>
    <w:rsid w:val="00F31953"/>
    <w:rsid w:val="00F31997"/>
    <w:rsid w:val="00F319DD"/>
    <w:rsid w:val="00F31A46"/>
    <w:rsid w:val="00F31A68"/>
    <w:rsid w:val="00F31AB8"/>
    <w:rsid w:val="00F31B67"/>
    <w:rsid w:val="00F31BDA"/>
    <w:rsid w:val="00F31C35"/>
    <w:rsid w:val="00F31C56"/>
    <w:rsid w:val="00F31C57"/>
    <w:rsid w:val="00F31C59"/>
    <w:rsid w:val="00F31C79"/>
    <w:rsid w:val="00F31D70"/>
    <w:rsid w:val="00F31EDE"/>
    <w:rsid w:val="00F31F82"/>
    <w:rsid w:val="00F3200B"/>
    <w:rsid w:val="00F32076"/>
    <w:rsid w:val="00F320B0"/>
    <w:rsid w:val="00F320F8"/>
    <w:rsid w:val="00F32125"/>
    <w:rsid w:val="00F321E1"/>
    <w:rsid w:val="00F321EB"/>
    <w:rsid w:val="00F322F0"/>
    <w:rsid w:val="00F323AB"/>
    <w:rsid w:val="00F32481"/>
    <w:rsid w:val="00F32492"/>
    <w:rsid w:val="00F32526"/>
    <w:rsid w:val="00F325C5"/>
    <w:rsid w:val="00F325E7"/>
    <w:rsid w:val="00F3262B"/>
    <w:rsid w:val="00F3263C"/>
    <w:rsid w:val="00F32645"/>
    <w:rsid w:val="00F326FB"/>
    <w:rsid w:val="00F3272C"/>
    <w:rsid w:val="00F327BC"/>
    <w:rsid w:val="00F328EE"/>
    <w:rsid w:val="00F3294A"/>
    <w:rsid w:val="00F329BC"/>
    <w:rsid w:val="00F329BE"/>
    <w:rsid w:val="00F32B27"/>
    <w:rsid w:val="00F32B3D"/>
    <w:rsid w:val="00F32BF8"/>
    <w:rsid w:val="00F32C75"/>
    <w:rsid w:val="00F32C88"/>
    <w:rsid w:val="00F32D6F"/>
    <w:rsid w:val="00F32D78"/>
    <w:rsid w:val="00F32D80"/>
    <w:rsid w:val="00F32DA0"/>
    <w:rsid w:val="00F32E64"/>
    <w:rsid w:val="00F32EA5"/>
    <w:rsid w:val="00F32F3D"/>
    <w:rsid w:val="00F32FAE"/>
    <w:rsid w:val="00F3305E"/>
    <w:rsid w:val="00F33117"/>
    <w:rsid w:val="00F331F3"/>
    <w:rsid w:val="00F33243"/>
    <w:rsid w:val="00F3324B"/>
    <w:rsid w:val="00F333D5"/>
    <w:rsid w:val="00F334D2"/>
    <w:rsid w:val="00F3354D"/>
    <w:rsid w:val="00F337B4"/>
    <w:rsid w:val="00F3385A"/>
    <w:rsid w:val="00F3387D"/>
    <w:rsid w:val="00F338D5"/>
    <w:rsid w:val="00F3390B"/>
    <w:rsid w:val="00F33983"/>
    <w:rsid w:val="00F33A44"/>
    <w:rsid w:val="00F33ABA"/>
    <w:rsid w:val="00F33B33"/>
    <w:rsid w:val="00F33B73"/>
    <w:rsid w:val="00F33CD4"/>
    <w:rsid w:val="00F33D1C"/>
    <w:rsid w:val="00F33DB8"/>
    <w:rsid w:val="00F33DB9"/>
    <w:rsid w:val="00F33E2D"/>
    <w:rsid w:val="00F33EE5"/>
    <w:rsid w:val="00F33EF1"/>
    <w:rsid w:val="00F33F6F"/>
    <w:rsid w:val="00F33FC7"/>
    <w:rsid w:val="00F34086"/>
    <w:rsid w:val="00F340F2"/>
    <w:rsid w:val="00F3412C"/>
    <w:rsid w:val="00F34136"/>
    <w:rsid w:val="00F3414A"/>
    <w:rsid w:val="00F342DE"/>
    <w:rsid w:val="00F34327"/>
    <w:rsid w:val="00F34335"/>
    <w:rsid w:val="00F343A3"/>
    <w:rsid w:val="00F343B3"/>
    <w:rsid w:val="00F344F1"/>
    <w:rsid w:val="00F3456E"/>
    <w:rsid w:val="00F345CE"/>
    <w:rsid w:val="00F3463B"/>
    <w:rsid w:val="00F3469A"/>
    <w:rsid w:val="00F34761"/>
    <w:rsid w:val="00F347B4"/>
    <w:rsid w:val="00F347E6"/>
    <w:rsid w:val="00F34918"/>
    <w:rsid w:val="00F349BD"/>
    <w:rsid w:val="00F349FD"/>
    <w:rsid w:val="00F34A47"/>
    <w:rsid w:val="00F34A63"/>
    <w:rsid w:val="00F34A9C"/>
    <w:rsid w:val="00F34AB9"/>
    <w:rsid w:val="00F34B4C"/>
    <w:rsid w:val="00F34D45"/>
    <w:rsid w:val="00F34D6D"/>
    <w:rsid w:val="00F34DE8"/>
    <w:rsid w:val="00F34E8E"/>
    <w:rsid w:val="00F34ECD"/>
    <w:rsid w:val="00F34FBC"/>
    <w:rsid w:val="00F35096"/>
    <w:rsid w:val="00F350A2"/>
    <w:rsid w:val="00F350FB"/>
    <w:rsid w:val="00F3523B"/>
    <w:rsid w:val="00F35278"/>
    <w:rsid w:val="00F3530F"/>
    <w:rsid w:val="00F3535F"/>
    <w:rsid w:val="00F353D7"/>
    <w:rsid w:val="00F35460"/>
    <w:rsid w:val="00F35471"/>
    <w:rsid w:val="00F354D3"/>
    <w:rsid w:val="00F354F5"/>
    <w:rsid w:val="00F35607"/>
    <w:rsid w:val="00F356CA"/>
    <w:rsid w:val="00F35720"/>
    <w:rsid w:val="00F3573C"/>
    <w:rsid w:val="00F35754"/>
    <w:rsid w:val="00F358A2"/>
    <w:rsid w:val="00F35A34"/>
    <w:rsid w:val="00F35A6E"/>
    <w:rsid w:val="00F35A9B"/>
    <w:rsid w:val="00F35B62"/>
    <w:rsid w:val="00F35BA6"/>
    <w:rsid w:val="00F35C9D"/>
    <w:rsid w:val="00F35D1A"/>
    <w:rsid w:val="00F35E58"/>
    <w:rsid w:val="00F35E64"/>
    <w:rsid w:val="00F35F39"/>
    <w:rsid w:val="00F35F8E"/>
    <w:rsid w:val="00F35FD1"/>
    <w:rsid w:val="00F3603B"/>
    <w:rsid w:val="00F3609E"/>
    <w:rsid w:val="00F3617E"/>
    <w:rsid w:val="00F36213"/>
    <w:rsid w:val="00F3622C"/>
    <w:rsid w:val="00F36253"/>
    <w:rsid w:val="00F3635D"/>
    <w:rsid w:val="00F3658A"/>
    <w:rsid w:val="00F365E7"/>
    <w:rsid w:val="00F36630"/>
    <w:rsid w:val="00F36671"/>
    <w:rsid w:val="00F366D0"/>
    <w:rsid w:val="00F3685F"/>
    <w:rsid w:val="00F3695F"/>
    <w:rsid w:val="00F3699E"/>
    <w:rsid w:val="00F369D6"/>
    <w:rsid w:val="00F369F1"/>
    <w:rsid w:val="00F36A45"/>
    <w:rsid w:val="00F36A65"/>
    <w:rsid w:val="00F36AA6"/>
    <w:rsid w:val="00F36BC2"/>
    <w:rsid w:val="00F36CEE"/>
    <w:rsid w:val="00F36DC0"/>
    <w:rsid w:val="00F36E02"/>
    <w:rsid w:val="00F36E6D"/>
    <w:rsid w:val="00F36EE4"/>
    <w:rsid w:val="00F36F2B"/>
    <w:rsid w:val="00F36FE7"/>
    <w:rsid w:val="00F36FF6"/>
    <w:rsid w:val="00F3701C"/>
    <w:rsid w:val="00F371CC"/>
    <w:rsid w:val="00F3726C"/>
    <w:rsid w:val="00F37326"/>
    <w:rsid w:val="00F37393"/>
    <w:rsid w:val="00F37464"/>
    <w:rsid w:val="00F37583"/>
    <w:rsid w:val="00F375A0"/>
    <w:rsid w:val="00F37733"/>
    <w:rsid w:val="00F37958"/>
    <w:rsid w:val="00F3796F"/>
    <w:rsid w:val="00F37A03"/>
    <w:rsid w:val="00F37A0C"/>
    <w:rsid w:val="00F37AC7"/>
    <w:rsid w:val="00F37B0E"/>
    <w:rsid w:val="00F37C10"/>
    <w:rsid w:val="00F37D7E"/>
    <w:rsid w:val="00F37DA4"/>
    <w:rsid w:val="00F37DAE"/>
    <w:rsid w:val="00F37E4A"/>
    <w:rsid w:val="00F37E89"/>
    <w:rsid w:val="00F37ECF"/>
    <w:rsid w:val="00F37F1D"/>
    <w:rsid w:val="00F37F30"/>
    <w:rsid w:val="00F40066"/>
    <w:rsid w:val="00F40137"/>
    <w:rsid w:val="00F401A0"/>
    <w:rsid w:val="00F401B4"/>
    <w:rsid w:val="00F4027A"/>
    <w:rsid w:val="00F402AF"/>
    <w:rsid w:val="00F403BD"/>
    <w:rsid w:val="00F40448"/>
    <w:rsid w:val="00F405AE"/>
    <w:rsid w:val="00F4073A"/>
    <w:rsid w:val="00F40802"/>
    <w:rsid w:val="00F40814"/>
    <w:rsid w:val="00F40A9D"/>
    <w:rsid w:val="00F40A9F"/>
    <w:rsid w:val="00F40C94"/>
    <w:rsid w:val="00F40EC5"/>
    <w:rsid w:val="00F40F1B"/>
    <w:rsid w:val="00F40F1C"/>
    <w:rsid w:val="00F40F2D"/>
    <w:rsid w:val="00F40F86"/>
    <w:rsid w:val="00F40FE1"/>
    <w:rsid w:val="00F41048"/>
    <w:rsid w:val="00F4111A"/>
    <w:rsid w:val="00F411EF"/>
    <w:rsid w:val="00F411FE"/>
    <w:rsid w:val="00F4127F"/>
    <w:rsid w:val="00F41387"/>
    <w:rsid w:val="00F413F5"/>
    <w:rsid w:val="00F41407"/>
    <w:rsid w:val="00F415F2"/>
    <w:rsid w:val="00F416B6"/>
    <w:rsid w:val="00F4174C"/>
    <w:rsid w:val="00F417BE"/>
    <w:rsid w:val="00F418BA"/>
    <w:rsid w:val="00F4195F"/>
    <w:rsid w:val="00F41A7D"/>
    <w:rsid w:val="00F41BAA"/>
    <w:rsid w:val="00F41BB9"/>
    <w:rsid w:val="00F41C59"/>
    <w:rsid w:val="00F41DE5"/>
    <w:rsid w:val="00F41E1E"/>
    <w:rsid w:val="00F41EC7"/>
    <w:rsid w:val="00F41F0A"/>
    <w:rsid w:val="00F41FA1"/>
    <w:rsid w:val="00F41FD9"/>
    <w:rsid w:val="00F4206C"/>
    <w:rsid w:val="00F42070"/>
    <w:rsid w:val="00F42135"/>
    <w:rsid w:val="00F42149"/>
    <w:rsid w:val="00F42274"/>
    <w:rsid w:val="00F422A1"/>
    <w:rsid w:val="00F4230A"/>
    <w:rsid w:val="00F42344"/>
    <w:rsid w:val="00F423B7"/>
    <w:rsid w:val="00F42412"/>
    <w:rsid w:val="00F4242F"/>
    <w:rsid w:val="00F42547"/>
    <w:rsid w:val="00F425B2"/>
    <w:rsid w:val="00F425C0"/>
    <w:rsid w:val="00F425F3"/>
    <w:rsid w:val="00F4266A"/>
    <w:rsid w:val="00F426F4"/>
    <w:rsid w:val="00F4273D"/>
    <w:rsid w:val="00F42802"/>
    <w:rsid w:val="00F4281B"/>
    <w:rsid w:val="00F4289A"/>
    <w:rsid w:val="00F428D0"/>
    <w:rsid w:val="00F42971"/>
    <w:rsid w:val="00F42BFD"/>
    <w:rsid w:val="00F42C29"/>
    <w:rsid w:val="00F42C2A"/>
    <w:rsid w:val="00F42CF2"/>
    <w:rsid w:val="00F42E56"/>
    <w:rsid w:val="00F42EA8"/>
    <w:rsid w:val="00F42F3F"/>
    <w:rsid w:val="00F42F42"/>
    <w:rsid w:val="00F42F4A"/>
    <w:rsid w:val="00F42FD9"/>
    <w:rsid w:val="00F430E0"/>
    <w:rsid w:val="00F43150"/>
    <w:rsid w:val="00F4315E"/>
    <w:rsid w:val="00F43242"/>
    <w:rsid w:val="00F4335E"/>
    <w:rsid w:val="00F4338E"/>
    <w:rsid w:val="00F433E3"/>
    <w:rsid w:val="00F43485"/>
    <w:rsid w:val="00F434C4"/>
    <w:rsid w:val="00F43500"/>
    <w:rsid w:val="00F43512"/>
    <w:rsid w:val="00F43515"/>
    <w:rsid w:val="00F435FB"/>
    <w:rsid w:val="00F4362D"/>
    <w:rsid w:val="00F43746"/>
    <w:rsid w:val="00F4378D"/>
    <w:rsid w:val="00F437C3"/>
    <w:rsid w:val="00F4392B"/>
    <w:rsid w:val="00F4397C"/>
    <w:rsid w:val="00F439E3"/>
    <w:rsid w:val="00F43AEE"/>
    <w:rsid w:val="00F43B14"/>
    <w:rsid w:val="00F43BDC"/>
    <w:rsid w:val="00F43CDA"/>
    <w:rsid w:val="00F43D00"/>
    <w:rsid w:val="00F43D46"/>
    <w:rsid w:val="00F43DD1"/>
    <w:rsid w:val="00F43E2F"/>
    <w:rsid w:val="00F43F45"/>
    <w:rsid w:val="00F43FE1"/>
    <w:rsid w:val="00F4409B"/>
    <w:rsid w:val="00F4414F"/>
    <w:rsid w:val="00F44185"/>
    <w:rsid w:val="00F44186"/>
    <w:rsid w:val="00F4424E"/>
    <w:rsid w:val="00F442BF"/>
    <w:rsid w:val="00F443B0"/>
    <w:rsid w:val="00F44409"/>
    <w:rsid w:val="00F44506"/>
    <w:rsid w:val="00F44550"/>
    <w:rsid w:val="00F445BB"/>
    <w:rsid w:val="00F4464B"/>
    <w:rsid w:val="00F44674"/>
    <w:rsid w:val="00F4469F"/>
    <w:rsid w:val="00F44737"/>
    <w:rsid w:val="00F4477B"/>
    <w:rsid w:val="00F4478F"/>
    <w:rsid w:val="00F44BED"/>
    <w:rsid w:val="00F44C20"/>
    <w:rsid w:val="00F44C89"/>
    <w:rsid w:val="00F44C8A"/>
    <w:rsid w:val="00F44D04"/>
    <w:rsid w:val="00F44D32"/>
    <w:rsid w:val="00F44D73"/>
    <w:rsid w:val="00F44E5C"/>
    <w:rsid w:val="00F44F1C"/>
    <w:rsid w:val="00F44FCD"/>
    <w:rsid w:val="00F45052"/>
    <w:rsid w:val="00F4506B"/>
    <w:rsid w:val="00F450C4"/>
    <w:rsid w:val="00F450D1"/>
    <w:rsid w:val="00F452A1"/>
    <w:rsid w:val="00F452B7"/>
    <w:rsid w:val="00F452DD"/>
    <w:rsid w:val="00F45323"/>
    <w:rsid w:val="00F45436"/>
    <w:rsid w:val="00F45475"/>
    <w:rsid w:val="00F454EB"/>
    <w:rsid w:val="00F45610"/>
    <w:rsid w:val="00F4570E"/>
    <w:rsid w:val="00F45802"/>
    <w:rsid w:val="00F45906"/>
    <w:rsid w:val="00F45966"/>
    <w:rsid w:val="00F45967"/>
    <w:rsid w:val="00F45B4B"/>
    <w:rsid w:val="00F45B7E"/>
    <w:rsid w:val="00F45C3F"/>
    <w:rsid w:val="00F45CA7"/>
    <w:rsid w:val="00F45DCD"/>
    <w:rsid w:val="00F45E9C"/>
    <w:rsid w:val="00F45EAF"/>
    <w:rsid w:val="00F45F43"/>
    <w:rsid w:val="00F45F8E"/>
    <w:rsid w:val="00F45FDC"/>
    <w:rsid w:val="00F45FEA"/>
    <w:rsid w:val="00F460B0"/>
    <w:rsid w:val="00F461B9"/>
    <w:rsid w:val="00F46215"/>
    <w:rsid w:val="00F462DC"/>
    <w:rsid w:val="00F4637C"/>
    <w:rsid w:val="00F464F4"/>
    <w:rsid w:val="00F464FC"/>
    <w:rsid w:val="00F46562"/>
    <w:rsid w:val="00F46785"/>
    <w:rsid w:val="00F467E7"/>
    <w:rsid w:val="00F46834"/>
    <w:rsid w:val="00F46852"/>
    <w:rsid w:val="00F468A9"/>
    <w:rsid w:val="00F468C0"/>
    <w:rsid w:val="00F46A06"/>
    <w:rsid w:val="00F46DD6"/>
    <w:rsid w:val="00F46E1D"/>
    <w:rsid w:val="00F46EE7"/>
    <w:rsid w:val="00F46FDE"/>
    <w:rsid w:val="00F4717D"/>
    <w:rsid w:val="00F4719A"/>
    <w:rsid w:val="00F4721A"/>
    <w:rsid w:val="00F47291"/>
    <w:rsid w:val="00F472FC"/>
    <w:rsid w:val="00F47368"/>
    <w:rsid w:val="00F473CB"/>
    <w:rsid w:val="00F473DD"/>
    <w:rsid w:val="00F474BE"/>
    <w:rsid w:val="00F475EF"/>
    <w:rsid w:val="00F47653"/>
    <w:rsid w:val="00F47661"/>
    <w:rsid w:val="00F47738"/>
    <w:rsid w:val="00F47864"/>
    <w:rsid w:val="00F4787D"/>
    <w:rsid w:val="00F479DA"/>
    <w:rsid w:val="00F479E1"/>
    <w:rsid w:val="00F47A22"/>
    <w:rsid w:val="00F47AB1"/>
    <w:rsid w:val="00F47ACF"/>
    <w:rsid w:val="00F47BEA"/>
    <w:rsid w:val="00F47D66"/>
    <w:rsid w:val="00F47DA3"/>
    <w:rsid w:val="00F47DBA"/>
    <w:rsid w:val="00F47F2E"/>
    <w:rsid w:val="00F47F74"/>
    <w:rsid w:val="00F47F7D"/>
    <w:rsid w:val="00F47FF0"/>
    <w:rsid w:val="00F5002E"/>
    <w:rsid w:val="00F50095"/>
    <w:rsid w:val="00F500F6"/>
    <w:rsid w:val="00F50278"/>
    <w:rsid w:val="00F502A6"/>
    <w:rsid w:val="00F502E7"/>
    <w:rsid w:val="00F503EF"/>
    <w:rsid w:val="00F50494"/>
    <w:rsid w:val="00F504AE"/>
    <w:rsid w:val="00F5060D"/>
    <w:rsid w:val="00F508DB"/>
    <w:rsid w:val="00F5099C"/>
    <w:rsid w:val="00F50B9C"/>
    <w:rsid w:val="00F50BB8"/>
    <w:rsid w:val="00F50C39"/>
    <w:rsid w:val="00F50D65"/>
    <w:rsid w:val="00F50DE2"/>
    <w:rsid w:val="00F50EAB"/>
    <w:rsid w:val="00F50F07"/>
    <w:rsid w:val="00F50F54"/>
    <w:rsid w:val="00F50FDD"/>
    <w:rsid w:val="00F51035"/>
    <w:rsid w:val="00F510A9"/>
    <w:rsid w:val="00F51108"/>
    <w:rsid w:val="00F51149"/>
    <w:rsid w:val="00F5119D"/>
    <w:rsid w:val="00F512E0"/>
    <w:rsid w:val="00F5138C"/>
    <w:rsid w:val="00F51551"/>
    <w:rsid w:val="00F51552"/>
    <w:rsid w:val="00F5156E"/>
    <w:rsid w:val="00F51575"/>
    <w:rsid w:val="00F5166A"/>
    <w:rsid w:val="00F51690"/>
    <w:rsid w:val="00F5176F"/>
    <w:rsid w:val="00F517C0"/>
    <w:rsid w:val="00F517F5"/>
    <w:rsid w:val="00F5186D"/>
    <w:rsid w:val="00F518A1"/>
    <w:rsid w:val="00F518FF"/>
    <w:rsid w:val="00F5190E"/>
    <w:rsid w:val="00F51938"/>
    <w:rsid w:val="00F519D5"/>
    <w:rsid w:val="00F51A1B"/>
    <w:rsid w:val="00F51ADE"/>
    <w:rsid w:val="00F51DF8"/>
    <w:rsid w:val="00F51F41"/>
    <w:rsid w:val="00F51F5C"/>
    <w:rsid w:val="00F51FA3"/>
    <w:rsid w:val="00F51FE2"/>
    <w:rsid w:val="00F51FEC"/>
    <w:rsid w:val="00F52003"/>
    <w:rsid w:val="00F52006"/>
    <w:rsid w:val="00F5206C"/>
    <w:rsid w:val="00F5214C"/>
    <w:rsid w:val="00F5217D"/>
    <w:rsid w:val="00F5218B"/>
    <w:rsid w:val="00F521C6"/>
    <w:rsid w:val="00F52202"/>
    <w:rsid w:val="00F52250"/>
    <w:rsid w:val="00F522EC"/>
    <w:rsid w:val="00F522F4"/>
    <w:rsid w:val="00F523E6"/>
    <w:rsid w:val="00F5249E"/>
    <w:rsid w:val="00F524B7"/>
    <w:rsid w:val="00F52638"/>
    <w:rsid w:val="00F52740"/>
    <w:rsid w:val="00F527D8"/>
    <w:rsid w:val="00F52804"/>
    <w:rsid w:val="00F52810"/>
    <w:rsid w:val="00F52890"/>
    <w:rsid w:val="00F528CF"/>
    <w:rsid w:val="00F52998"/>
    <w:rsid w:val="00F52A2C"/>
    <w:rsid w:val="00F52A92"/>
    <w:rsid w:val="00F52B59"/>
    <w:rsid w:val="00F52B94"/>
    <w:rsid w:val="00F52BA5"/>
    <w:rsid w:val="00F52E16"/>
    <w:rsid w:val="00F52EAD"/>
    <w:rsid w:val="00F53018"/>
    <w:rsid w:val="00F53092"/>
    <w:rsid w:val="00F530D1"/>
    <w:rsid w:val="00F53274"/>
    <w:rsid w:val="00F5330E"/>
    <w:rsid w:val="00F53323"/>
    <w:rsid w:val="00F53341"/>
    <w:rsid w:val="00F533A8"/>
    <w:rsid w:val="00F533C3"/>
    <w:rsid w:val="00F534CE"/>
    <w:rsid w:val="00F5350F"/>
    <w:rsid w:val="00F53518"/>
    <w:rsid w:val="00F535F9"/>
    <w:rsid w:val="00F536B1"/>
    <w:rsid w:val="00F53807"/>
    <w:rsid w:val="00F5391A"/>
    <w:rsid w:val="00F53D28"/>
    <w:rsid w:val="00F53D9F"/>
    <w:rsid w:val="00F53F65"/>
    <w:rsid w:val="00F53FCC"/>
    <w:rsid w:val="00F53FD4"/>
    <w:rsid w:val="00F53FF0"/>
    <w:rsid w:val="00F54093"/>
    <w:rsid w:val="00F540A9"/>
    <w:rsid w:val="00F54176"/>
    <w:rsid w:val="00F5426B"/>
    <w:rsid w:val="00F54275"/>
    <w:rsid w:val="00F54288"/>
    <w:rsid w:val="00F54316"/>
    <w:rsid w:val="00F54367"/>
    <w:rsid w:val="00F54481"/>
    <w:rsid w:val="00F5448D"/>
    <w:rsid w:val="00F544BA"/>
    <w:rsid w:val="00F544D8"/>
    <w:rsid w:val="00F54501"/>
    <w:rsid w:val="00F54517"/>
    <w:rsid w:val="00F54573"/>
    <w:rsid w:val="00F54651"/>
    <w:rsid w:val="00F546F8"/>
    <w:rsid w:val="00F54828"/>
    <w:rsid w:val="00F548AA"/>
    <w:rsid w:val="00F548BD"/>
    <w:rsid w:val="00F5493D"/>
    <w:rsid w:val="00F54965"/>
    <w:rsid w:val="00F54988"/>
    <w:rsid w:val="00F549D2"/>
    <w:rsid w:val="00F54D0C"/>
    <w:rsid w:val="00F54D4E"/>
    <w:rsid w:val="00F54D71"/>
    <w:rsid w:val="00F54DDC"/>
    <w:rsid w:val="00F54E0F"/>
    <w:rsid w:val="00F54EE0"/>
    <w:rsid w:val="00F54F72"/>
    <w:rsid w:val="00F55028"/>
    <w:rsid w:val="00F5511E"/>
    <w:rsid w:val="00F5514B"/>
    <w:rsid w:val="00F55248"/>
    <w:rsid w:val="00F552EA"/>
    <w:rsid w:val="00F5548D"/>
    <w:rsid w:val="00F554B4"/>
    <w:rsid w:val="00F554DF"/>
    <w:rsid w:val="00F555E6"/>
    <w:rsid w:val="00F55615"/>
    <w:rsid w:val="00F55683"/>
    <w:rsid w:val="00F55697"/>
    <w:rsid w:val="00F556B3"/>
    <w:rsid w:val="00F556EF"/>
    <w:rsid w:val="00F55729"/>
    <w:rsid w:val="00F55789"/>
    <w:rsid w:val="00F557B0"/>
    <w:rsid w:val="00F557D1"/>
    <w:rsid w:val="00F55862"/>
    <w:rsid w:val="00F558F2"/>
    <w:rsid w:val="00F55A9C"/>
    <w:rsid w:val="00F55AC6"/>
    <w:rsid w:val="00F55AE1"/>
    <w:rsid w:val="00F55B08"/>
    <w:rsid w:val="00F55B5F"/>
    <w:rsid w:val="00F55B68"/>
    <w:rsid w:val="00F55C22"/>
    <w:rsid w:val="00F55CDA"/>
    <w:rsid w:val="00F55D40"/>
    <w:rsid w:val="00F55DB8"/>
    <w:rsid w:val="00F55DE0"/>
    <w:rsid w:val="00F55E81"/>
    <w:rsid w:val="00F55E9A"/>
    <w:rsid w:val="00F55EC0"/>
    <w:rsid w:val="00F55ECE"/>
    <w:rsid w:val="00F55F0F"/>
    <w:rsid w:val="00F56229"/>
    <w:rsid w:val="00F5624B"/>
    <w:rsid w:val="00F56375"/>
    <w:rsid w:val="00F563D8"/>
    <w:rsid w:val="00F56466"/>
    <w:rsid w:val="00F564E9"/>
    <w:rsid w:val="00F56582"/>
    <w:rsid w:val="00F56608"/>
    <w:rsid w:val="00F5660D"/>
    <w:rsid w:val="00F5663E"/>
    <w:rsid w:val="00F566A8"/>
    <w:rsid w:val="00F568AE"/>
    <w:rsid w:val="00F568DE"/>
    <w:rsid w:val="00F56951"/>
    <w:rsid w:val="00F56A38"/>
    <w:rsid w:val="00F56A68"/>
    <w:rsid w:val="00F56A73"/>
    <w:rsid w:val="00F56A9F"/>
    <w:rsid w:val="00F56B0D"/>
    <w:rsid w:val="00F56B29"/>
    <w:rsid w:val="00F56CDA"/>
    <w:rsid w:val="00F56D56"/>
    <w:rsid w:val="00F56D5C"/>
    <w:rsid w:val="00F56DC8"/>
    <w:rsid w:val="00F56DD4"/>
    <w:rsid w:val="00F56E08"/>
    <w:rsid w:val="00F56E79"/>
    <w:rsid w:val="00F56EBE"/>
    <w:rsid w:val="00F56EE4"/>
    <w:rsid w:val="00F56FB5"/>
    <w:rsid w:val="00F5714A"/>
    <w:rsid w:val="00F5733A"/>
    <w:rsid w:val="00F57344"/>
    <w:rsid w:val="00F5736B"/>
    <w:rsid w:val="00F5737C"/>
    <w:rsid w:val="00F573FB"/>
    <w:rsid w:val="00F57476"/>
    <w:rsid w:val="00F574AE"/>
    <w:rsid w:val="00F574CA"/>
    <w:rsid w:val="00F574D5"/>
    <w:rsid w:val="00F57524"/>
    <w:rsid w:val="00F5766C"/>
    <w:rsid w:val="00F576DF"/>
    <w:rsid w:val="00F57777"/>
    <w:rsid w:val="00F578F3"/>
    <w:rsid w:val="00F57941"/>
    <w:rsid w:val="00F57B69"/>
    <w:rsid w:val="00F57BE3"/>
    <w:rsid w:val="00F57BED"/>
    <w:rsid w:val="00F57CF6"/>
    <w:rsid w:val="00F57E4D"/>
    <w:rsid w:val="00F60042"/>
    <w:rsid w:val="00F60165"/>
    <w:rsid w:val="00F60198"/>
    <w:rsid w:val="00F601CD"/>
    <w:rsid w:val="00F60237"/>
    <w:rsid w:val="00F60241"/>
    <w:rsid w:val="00F6026F"/>
    <w:rsid w:val="00F60357"/>
    <w:rsid w:val="00F60470"/>
    <w:rsid w:val="00F6051B"/>
    <w:rsid w:val="00F6055C"/>
    <w:rsid w:val="00F605C6"/>
    <w:rsid w:val="00F6062F"/>
    <w:rsid w:val="00F6068C"/>
    <w:rsid w:val="00F606AD"/>
    <w:rsid w:val="00F606CE"/>
    <w:rsid w:val="00F606D6"/>
    <w:rsid w:val="00F606D7"/>
    <w:rsid w:val="00F606EC"/>
    <w:rsid w:val="00F60823"/>
    <w:rsid w:val="00F60852"/>
    <w:rsid w:val="00F6094E"/>
    <w:rsid w:val="00F609C0"/>
    <w:rsid w:val="00F609EF"/>
    <w:rsid w:val="00F60AC0"/>
    <w:rsid w:val="00F60AF3"/>
    <w:rsid w:val="00F60C3B"/>
    <w:rsid w:val="00F60C4A"/>
    <w:rsid w:val="00F60C94"/>
    <w:rsid w:val="00F60DEE"/>
    <w:rsid w:val="00F60EC7"/>
    <w:rsid w:val="00F60EEC"/>
    <w:rsid w:val="00F60F0D"/>
    <w:rsid w:val="00F60F59"/>
    <w:rsid w:val="00F60FA7"/>
    <w:rsid w:val="00F6105E"/>
    <w:rsid w:val="00F61067"/>
    <w:rsid w:val="00F61095"/>
    <w:rsid w:val="00F610C9"/>
    <w:rsid w:val="00F611EB"/>
    <w:rsid w:val="00F61420"/>
    <w:rsid w:val="00F614FF"/>
    <w:rsid w:val="00F616F2"/>
    <w:rsid w:val="00F6173B"/>
    <w:rsid w:val="00F6180A"/>
    <w:rsid w:val="00F6191E"/>
    <w:rsid w:val="00F6197C"/>
    <w:rsid w:val="00F61990"/>
    <w:rsid w:val="00F61A3F"/>
    <w:rsid w:val="00F61A48"/>
    <w:rsid w:val="00F61AD1"/>
    <w:rsid w:val="00F61AE2"/>
    <w:rsid w:val="00F61BC6"/>
    <w:rsid w:val="00F61C2F"/>
    <w:rsid w:val="00F61C44"/>
    <w:rsid w:val="00F61CCA"/>
    <w:rsid w:val="00F61D69"/>
    <w:rsid w:val="00F61E59"/>
    <w:rsid w:val="00F61ED1"/>
    <w:rsid w:val="00F61F66"/>
    <w:rsid w:val="00F6208D"/>
    <w:rsid w:val="00F6210E"/>
    <w:rsid w:val="00F62163"/>
    <w:rsid w:val="00F621F7"/>
    <w:rsid w:val="00F6221B"/>
    <w:rsid w:val="00F62238"/>
    <w:rsid w:val="00F62483"/>
    <w:rsid w:val="00F6257D"/>
    <w:rsid w:val="00F625CA"/>
    <w:rsid w:val="00F62625"/>
    <w:rsid w:val="00F62627"/>
    <w:rsid w:val="00F62680"/>
    <w:rsid w:val="00F6287A"/>
    <w:rsid w:val="00F628F6"/>
    <w:rsid w:val="00F629F5"/>
    <w:rsid w:val="00F62A25"/>
    <w:rsid w:val="00F62AB4"/>
    <w:rsid w:val="00F62AF6"/>
    <w:rsid w:val="00F62B1F"/>
    <w:rsid w:val="00F62B98"/>
    <w:rsid w:val="00F62C28"/>
    <w:rsid w:val="00F62C4D"/>
    <w:rsid w:val="00F62D42"/>
    <w:rsid w:val="00F62D68"/>
    <w:rsid w:val="00F62DC4"/>
    <w:rsid w:val="00F62FA0"/>
    <w:rsid w:val="00F62FA8"/>
    <w:rsid w:val="00F63011"/>
    <w:rsid w:val="00F630CA"/>
    <w:rsid w:val="00F63122"/>
    <w:rsid w:val="00F63168"/>
    <w:rsid w:val="00F63228"/>
    <w:rsid w:val="00F632A7"/>
    <w:rsid w:val="00F634A5"/>
    <w:rsid w:val="00F63513"/>
    <w:rsid w:val="00F6352F"/>
    <w:rsid w:val="00F63593"/>
    <w:rsid w:val="00F63712"/>
    <w:rsid w:val="00F63736"/>
    <w:rsid w:val="00F63767"/>
    <w:rsid w:val="00F63787"/>
    <w:rsid w:val="00F6384C"/>
    <w:rsid w:val="00F638FF"/>
    <w:rsid w:val="00F6391E"/>
    <w:rsid w:val="00F6398B"/>
    <w:rsid w:val="00F63AD2"/>
    <w:rsid w:val="00F63B39"/>
    <w:rsid w:val="00F63BA9"/>
    <w:rsid w:val="00F63E28"/>
    <w:rsid w:val="00F63E66"/>
    <w:rsid w:val="00F63EA7"/>
    <w:rsid w:val="00F63F1E"/>
    <w:rsid w:val="00F63FFE"/>
    <w:rsid w:val="00F6404B"/>
    <w:rsid w:val="00F641DE"/>
    <w:rsid w:val="00F642D9"/>
    <w:rsid w:val="00F64320"/>
    <w:rsid w:val="00F6440A"/>
    <w:rsid w:val="00F64597"/>
    <w:rsid w:val="00F646DB"/>
    <w:rsid w:val="00F64713"/>
    <w:rsid w:val="00F647A0"/>
    <w:rsid w:val="00F647CA"/>
    <w:rsid w:val="00F648AE"/>
    <w:rsid w:val="00F64972"/>
    <w:rsid w:val="00F649BE"/>
    <w:rsid w:val="00F64BCA"/>
    <w:rsid w:val="00F64C6F"/>
    <w:rsid w:val="00F64CAB"/>
    <w:rsid w:val="00F64CFE"/>
    <w:rsid w:val="00F64D29"/>
    <w:rsid w:val="00F64E09"/>
    <w:rsid w:val="00F64E37"/>
    <w:rsid w:val="00F64E79"/>
    <w:rsid w:val="00F64E83"/>
    <w:rsid w:val="00F64F9A"/>
    <w:rsid w:val="00F64F9E"/>
    <w:rsid w:val="00F64FEA"/>
    <w:rsid w:val="00F6504B"/>
    <w:rsid w:val="00F650A0"/>
    <w:rsid w:val="00F650EA"/>
    <w:rsid w:val="00F65154"/>
    <w:rsid w:val="00F65179"/>
    <w:rsid w:val="00F65292"/>
    <w:rsid w:val="00F65300"/>
    <w:rsid w:val="00F65301"/>
    <w:rsid w:val="00F653CB"/>
    <w:rsid w:val="00F65417"/>
    <w:rsid w:val="00F6544C"/>
    <w:rsid w:val="00F65461"/>
    <w:rsid w:val="00F654A4"/>
    <w:rsid w:val="00F6552C"/>
    <w:rsid w:val="00F656C0"/>
    <w:rsid w:val="00F6580A"/>
    <w:rsid w:val="00F65848"/>
    <w:rsid w:val="00F65886"/>
    <w:rsid w:val="00F65894"/>
    <w:rsid w:val="00F658AA"/>
    <w:rsid w:val="00F658FB"/>
    <w:rsid w:val="00F659B0"/>
    <w:rsid w:val="00F65A57"/>
    <w:rsid w:val="00F65AE5"/>
    <w:rsid w:val="00F65AED"/>
    <w:rsid w:val="00F65B0D"/>
    <w:rsid w:val="00F65B16"/>
    <w:rsid w:val="00F65B1D"/>
    <w:rsid w:val="00F65D5C"/>
    <w:rsid w:val="00F65E19"/>
    <w:rsid w:val="00F65F1D"/>
    <w:rsid w:val="00F65F4A"/>
    <w:rsid w:val="00F65FB8"/>
    <w:rsid w:val="00F66041"/>
    <w:rsid w:val="00F66201"/>
    <w:rsid w:val="00F6625F"/>
    <w:rsid w:val="00F662D0"/>
    <w:rsid w:val="00F662F7"/>
    <w:rsid w:val="00F6636F"/>
    <w:rsid w:val="00F663AD"/>
    <w:rsid w:val="00F665BE"/>
    <w:rsid w:val="00F66660"/>
    <w:rsid w:val="00F66720"/>
    <w:rsid w:val="00F66767"/>
    <w:rsid w:val="00F667AD"/>
    <w:rsid w:val="00F667C9"/>
    <w:rsid w:val="00F66943"/>
    <w:rsid w:val="00F66944"/>
    <w:rsid w:val="00F6695B"/>
    <w:rsid w:val="00F66994"/>
    <w:rsid w:val="00F66A37"/>
    <w:rsid w:val="00F66A62"/>
    <w:rsid w:val="00F66A6D"/>
    <w:rsid w:val="00F66BEF"/>
    <w:rsid w:val="00F66C5F"/>
    <w:rsid w:val="00F66DEA"/>
    <w:rsid w:val="00F66F7F"/>
    <w:rsid w:val="00F66F8C"/>
    <w:rsid w:val="00F67012"/>
    <w:rsid w:val="00F67051"/>
    <w:rsid w:val="00F670FD"/>
    <w:rsid w:val="00F67138"/>
    <w:rsid w:val="00F67185"/>
    <w:rsid w:val="00F674E8"/>
    <w:rsid w:val="00F674ED"/>
    <w:rsid w:val="00F675FB"/>
    <w:rsid w:val="00F67649"/>
    <w:rsid w:val="00F676CD"/>
    <w:rsid w:val="00F67736"/>
    <w:rsid w:val="00F67747"/>
    <w:rsid w:val="00F67803"/>
    <w:rsid w:val="00F6787A"/>
    <w:rsid w:val="00F678EC"/>
    <w:rsid w:val="00F6796A"/>
    <w:rsid w:val="00F67A44"/>
    <w:rsid w:val="00F67A57"/>
    <w:rsid w:val="00F67A62"/>
    <w:rsid w:val="00F67AFF"/>
    <w:rsid w:val="00F67B8A"/>
    <w:rsid w:val="00F67DB6"/>
    <w:rsid w:val="00F67DD0"/>
    <w:rsid w:val="00F67E0F"/>
    <w:rsid w:val="00F67E7F"/>
    <w:rsid w:val="00F67F0D"/>
    <w:rsid w:val="00F70199"/>
    <w:rsid w:val="00F701B3"/>
    <w:rsid w:val="00F70225"/>
    <w:rsid w:val="00F702D2"/>
    <w:rsid w:val="00F703A1"/>
    <w:rsid w:val="00F704FC"/>
    <w:rsid w:val="00F7052D"/>
    <w:rsid w:val="00F70568"/>
    <w:rsid w:val="00F705F2"/>
    <w:rsid w:val="00F7076D"/>
    <w:rsid w:val="00F70807"/>
    <w:rsid w:val="00F708DE"/>
    <w:rsid w:val="00F70956"/>
    <w:rsid w:val="00F70A4B"/>
    <w:rsid w:val="00F70AC3"/>
    <w:rsid w:val="00F70BAB"/>
    <w:rsid w:val="00F70BBA"/>
    <w:rsid w:val="00F70C39"/>
    <w:rsid w:val="00F70CA5"/>
    <w:rsid w:val="00F70D2D"/>
    <w:rsid w:val="00F70E27"/>
    <w:rsid w:val="00F70E57"/>
    <w:rsid w:val="00F70FC1"/>
    <w:rsid w:val="00F711CE"/>
    <w:rsid w:val="00F71376"/>
    <w:rsid w:val="00F71411"/>
    <w:rsid w:val="00F7141A"/>
    <w:rsid w:val="00F7163F"/>
    <w:rsid w:val="00F71814"/>
    <w:rsid w:val="00F718D0"/>
    <w:rsid w:val="00F718DF"/>
    <w:rsid w:val="00F71924"/>
    <w:rsid w:val="00F719FF"/>
    <w:rsid w:val="00F71A80"/>
    <w:rsid w:val="00F71AC8"/>
    <w:rsid w:val="00F71AF0"/>
    <w:rsid w:val="00F71BBE"/>
    <w:rsid w:val="00F71BC9"/>
    <w:rsid w:val="00F71BCC"/>
    <w:rsid w:val="00F71C4C"/>
    <w:rsid w:val="00F71CDC"/>
    <w:rsid w:val="00F71D0C"/>
    <w:rsid w:val="00F71DF8"/>
    <w:rsid w:val="00F71E2B"/>
    <w:rsid w:val="00F71ED3"/>
    <w:rsid w:val="00F71FFC"/>
    <w:rsid w:val="00F7208A"/>
    <w:rsid w:val="00F720AA"/>
    <w:rsid w:val="00F720B6"/>
    <w:rsid w:val="00F7223A"/>
    <w:rsid w:val="00F72257"/>
    <w:rsid w:val="00F72258"/>
    <w:rsid w:val="00F722B2"/>
    <w:rsid w:val="00F72340"/>
    <w:rsid w:val="00F72408"/>
    <w:rsid w:val="00F7246D"/>
    <w:rsid w:val="00F724C6"/>
    <w:rsid w:val="00F72513"/>
    <w:rsid w:val="00F725AB"/>
    <w:rsid w:val="00F725EF"/>
    <w:rsid w:val="00F726A8"/>
    <w:rsid w:val="00F726FB"/>
    <w:rsid w:val="00F72701"/>
    <w:rsid w:val="00F7272F"/>
    <w:rsid w:val="00F7277B"/>
    <w:rsid w:val="00F72845"/>
    <w:rsid w:val="00F7287B"/>
    <w:rsid w:val="00F72949"/>
    <w:rsid w:val="00F729D4"/>
    <w:rsid w:val="00F729F2"/>
    <w:rsid w:val="00F72ADF"/>
    <w:rsid w:val="00F72AE6"/>
    <w:rsid w:val="00F72B3F"/>
    <w:rsid w:val="00F72B80"/>
    <w:rsid w:val="00F72C6C"/>
    <w:rsid w:val="00F72D1A"/>
    <w:rsid w:val="00F72E2A"/>
    <w:rsid w:val="00F72E9B"/>
    <w:rsid w:val="00F72F0B"/>
    <w:rsid w:val="00F72F11"/>
    <w:rsid w:val="00F72F18"/>
    <w:rsid w:val="00F730A3"/>
    <w:rsid w:val="00F730FF"/>
    <w:rsid w:val="00F7312C"/>
    <w:rsid w:val="00F73159"/>
    <w:rsid w:val="00F73282"/>
    <w:rsid w:val="00F73429"/>
    <w:rsid w:val="00F7344B"/>
    <w:rsid w:val="00F734E5"/>
    <w:rsid w:val="00F73543"/>
    <w:rsid w:val="00F7361B"/>
    <w:rsid w:val="00F73743"/>
    <w:rsid w:val="00F737A2"/>
    <w:rsid w:val="00F737B8"/>
    <w:rsid w:val="00F737C9"/>
    <w:rsid w:val="00F7382D"/>
    <w:rsid w:val="00F73861"/>
    <w:rsid w:val="00F738C8"/>
    <w:rsid w:val="00F73954"/>
    <w:rsid w:val="00F73995"/>
    <w:rsid w:val="00F739D6"/>
    <w:rsid w:val="00F739E1"/>
    <w:rsid w:val="00F73A3D"/>
    <w:rsid w:val="00F73ABF"/>
    <w:rsid w:val="00F73B24"/>
    <w:rsid w:val="00F73BDA"/>
    <w:rsid w:val="00F73CAD"/>
    <w:rsid w:val="00F73CD7"/>
    <w:rsid w:val="00F73D6B"/>
    <w:rsid w:val="00F73E6C"/>
    <w:rsid w:val="00F73E92"/>
    <w:rsid w:val="00F7405B"/>
    <w:rsid w:val="00F74061"/>
    <w:rsid w:val="00F74077"/>
    <w:rsid w:val="00F7409C"/>
    <w:rsid w:val="00F740EE"/>
    <w:rsid w:val="00F741FE"/>
    <w:rsid w:val="00F7422C"/>
    <w:rsid w:val="00F74307"/>
    <w:rsid w:val="00F74343"/>
    <w:rsid w:val="00F743C8"/>
    <w:rsid w:val="00F74598"/>
    <w:rsid w:val="00F745D4"/>
    <w:rsid w:val="00F74644"/>
    <w:rsid w:val="00F746A4"/>
    <w:rsid w:val="00F746EB"/>
    <w:rsid w:val="00F748A9"/>
    <w:rsid w:val="00F74919"/>
    <w:rsid w:val="00F74936"/>
    <w:rsid w:val="00F74969"/>
    <w:rsid w:val="00F74975"/>
    <w:rsid w:val="00F74A32"/>
    <w:rsid w:val="00F74A78"/>
    <w:rsid w:val="00F74A79"/>
    <w:rsid w:val="00F74A7C"/>
    <w:rsid w:val="00F74BBF"/>
    <w:rsid w:val="00F74C66"/>
    <w:rsid w:val="00F74D54"/>
    <w:rsid w:val="00F74D94"/>
    <w:rsid w:val="00F74F6B"/>
    <w:rsid w:val="00F74F76"/>
    <w:rsid w:val="00F74F9D"/>
    <w:rsid w:val="00F74FB7"/>
    <w:rsid w:val="00F74FDA"/>
    <w:rsid w:val="00F75100"/>
    <w:rsid w:val="00F7512A"/>
    <w:rsid w:val="00F75161"/>
    <w:rsid w:val="00F7517E"/>
    <w:rsid w:val="00F7520F"/>
    <w:rsid w:val="00F75271"/>
    <w:rsid w:val="00F75294"/>
    <w:rsid w:val="00F752E5"/>
    <w:rsid w:val="00F7531A"/>
    <w:rsid w:val="00F75362"/>
    <w:rsid w:val="00F753E6"/>
    <w:rsid w:val="00F754AA"/>
    <w:rsid w:val="00F754B2"/>
    <w:rsid w:val="00F754E0"/>
    <w:rsid w:val="00F75631"/>
    <w:rsid w:val="00F756DF"/>
    <w:rsid w:val="00F756E4"/>
    <w:rsid w:val="00F75751"/>
    <w:rsid w:val="00F757D0"/>
    <w:rsid w:val="00F757F0"/>
    <w:rsid w:val="00F757F1"/>
    <w:rsid w:val="00F75871"/>
    <w:rsid w:val="00F75921"/>
    <w:rsid w:val="00F7592F"/>
    <w:rsid w:val="00F759FF"/>
    <w:rsid w:val="00F75A5C"/>
    <w:rsid w:val="00F75B44"/>
    <w:rsid w:val="00F75BFC"/>
    <w:rsid w:val="00F75D7B"/>
    <w:rsid w:val="00F75DC1"/>
    <w:rsid w:val="00F75E47"/>
    <w:rsid w:val="00F75F44"/>
    <w:rsid w:val="00F76030"/>
    <w:rsid w:val="00F7613A"/>
    <w:rsid w:val="00F761A8"/>
    <w:rsid w:val="00F76277"/>
    <w:rsid w:val="00F7628B"/>
    <w:rsid w:val="00F7630B"/>
    <w:rsid w:val="00F7631D"/>
    <w:rsid w:val="00F76324"/>
    <w:rsid w:val="00F76366"/>
    <w:rsid w:val="00F76564"/>
    <w:rsid w:val="00F765A9"/>
    <w:rsid w:val="00F765B2"/>
    <w:rsid w:val="00F765EB"/>
    <w:rsid w:val="00F7667C"/>
    <w:rsid w:val="00F76833"/>
    <w:rsid w:val="00F7687E"/>
    <w:rsid w:val="00F7688C"/>
    <w:rsid w:val="00F76975"/>
    <w:rsid w:val="00F76A64"/>
    <w:rsid w:val="00F76A78"/>
    <w:rsid w:val="00F76AA1"/>
    <w:rsid w:val="00F76B1F"/>
    <w:rsid w:val="00F76BEB"/>
    <w:rsid w:val="00F76C28"/>
    <w:rsid w:val="00F76D66"/>
    <w:rsid w:val="00F76D68"/>
    <w:rsid w:val="00F76DB0"/>
    <w:rsid w:val="00F76EE8"/>
    <w:rsid w:val="00F76F42"/>
    <w:rsid w:val="00F76F5B"/>
    <w:rsid w:val="00F76F78"/>
    <w:rsid w:val="00F76FF4"/>
    <w:rsid w:val="00F77090"/>
    <w:rsid w:val="00F770A8"/>
    <w:rsid w:val="00F7713B"/>
    <w:rsid w:val="00F77143"/>
    <w:rsid w:val="00F77152"/>
    <w:rsid w:val="00F77161"/>
    <w:rsid w:val="00F771C5"/>
    <w:rsid w:val="00F772E9"/>
    <w:rsid w:val="00F77392"/>
    <w:rsid w:val="00F773DB"/>
    <w:rsid w:val="00F77410"/>
    <w:rsid w:val="00F774A0"/>
    <w:rsid w:val="00F774AC"/>
    <w:rsid w:val="00F774D9"/>
    <w:rsid w:val="00F774E0"/>
    <w:rsid w:val="00F77537"/>
    <w:rsid w:val="00F77582"/>
    <w:rsid w:val="00F775A7"/>
    <w:rsid w:val="00F775C6"/>
    <w:rsid w:val="00F77762"/>
    <w:rsid w:val="00F77A8D"/>
    <w:rsid w:val="00F77A8F"/>
    <w:rsid w:val="00F77AC1"/>
    <w:rsid w:val="00F77B12"/>
    <w:rsid w:val="00F77B1E"/>
    <w:rsid w:val="00F77B6A"/>
    <w:rsid w:val="00F77BE3"/>
    <w:rsid w:val="00F77D35"/>
    <w:rsid w:val="00F77D8C"/>
    <w:rsid w:val="00F77E12"/>
    <w:rsid w:val="00F77E7B"/>
    <w:rsid w:val="00F80098"/>
    <w:rsid w:val="00F80130"/>
    <w:rsid w:val="00F8021A"/>
    <w:rsid w:val="00F8036D"/>
    <w:rsid w:val="00F80376"/>
    <w:rsid w:val="00F80572"/>
    <w:rsid w:val="00F80615"/>
    <w:rsid w:val="00F8064A"/>
    <w:rsid w:val="00F80669"/>
    <w:rsid w:val="00F80777"/>
    <w:rsid w:val="00F80829"/>
    <w:rsid w:val="00F808A9"/>
    <w:rsid w:val="00F808D5"/>
    <w:rsid w:val="00F808DF"/>
    <w:rsid w:val="00F808F6"/>
    <w:rsid w:val="00F8097E"/>
    <w:rsid w:val="00F80A4C"/>
    <w:rsid w:val="00F80B87"/>
    <w:rsid w:val="00F80C8E"/>
    <w:rsid w:val="00F80CE2"/>
    <w:rsid w:val="00F80EAB"/>
    <w:rsid w:val="00F80EC2"/>
    <w:rsid w:val="00F80EE6"/>
    <w:rsid w:val="00F80F42"/>
    <w:rsid w:val="00F81076"/>
    <w:rsid w:val="00F810B8"/>
    <w:rsid w:val="00F8121F"/>
    <w:rsid w:val="00F81264"/>
    <w:rsid w:val="00F8128B"/>
    <w:rsid w:val="00F8131E"/>
    <w:rsid w:val="00F8136E"/>
    <w:rsid w:val="00F81392"/>
    <w:rsid w:val="00F813D5"/>
    <w:rsid w:val="00F8161E"/>
    <w:rsid w:val="00F81674"/>
    <w:rsid w:val="00F8169B"/>
    <w:rsid w:val="00F816A4"/>
    <w:rsid w:val="00F8173C"/>
    <w:rsid w:val="00F81834"/>
    <w:rsid w:val="00F81837"/>
    <w:rsid w:val="00F81878"/>
    <w:rsid w:val="00F818D0"/>
    <w:rsid w:val="00F81942"/>
    <w:rsid w:val="00F819CD"/>
    <w:rsid w:val="00F81A0B"/>
    <w:rsid w:val="00F81A8F"/>
    <w:rsid w:val="00F81AAA"/>
    <w:rsid w:val="00F81B44"/>
    <w:rsid w:val="00F81C22"/>
    <w:rsid w:val="00F81C32"/>
    <w:rsid w:val="00F81CBB"/>
    <w:rsid w:val="00F81CD9"/>
    <w:rsid w:val="00F81D1B"/>
    <w:rsid w:val="00F81D90"/>
    <w:rsid w:val="00F81EA3"/>
    <w:rsid w:val="00F81EA5"/>
    <w:rsid w:val="00F81ED9"/>
    <w:rsid w:val="00F81FA2"/>
    <w:rsid w:val="00F81FEB"/>
    <w:rsid w:val="00F81FF4"/>
    <w:rsid w:val="00F82095"/>
    <w:rsid w:val="00F821B2"/>
    <w:rsid w:val="00F821D2"/>
    <w:rsid w:val="00F82221"/>
    <w:rsid w:val="00F822E2"/>
    <w:rsid w:val="00F82353"/>
    <w:rsid w:val="00F823CB"/>
    <w:rsid w:val="00F8240C"/>
    <w:rsid w:val="00F82423"/>
    <w:rsid w:val="00F82543"/>
    <w:rsid w:val="00F82576"/>
    <w:rsid w:val="00F8264B"/>
    <w:rsid w:val="00F82746"/>
    <w:rsid w:val="00F827DF"/>
    <w:rsid w:val="00F828AD"/>
    <w:rsid w:val="00F82944"/>
    <w:rsid w:val="00F8296E"/>
    <w:rsid w:val="00F82991"/>
    <w:rsid w:val="00F829C7"/>
    <w:rsid w:val="00F82A36"/>
    <w:rsid w:val="00F82B42"/>
    <w:rsid w:val="00F82B90"/>
    <w:rsid w:val="00F82BDC"/>
    <w:rsid w:val="00F82C61"/>
    <w:rsid w:val="00F82C6D"/>
    <w:rsid w:val="00F82CFB"/>
    <w:rsid w:val="00F82D03"/>
    <w:rsid w:val="00F82E3F"/>
    <w:rsid w:val="00F82E41"/>
    <w:rsid w:val="00F82ED3"/>
    <w:rsid w:val="00F830C0"/>
    <w:rsid w:val="00F8310B"/>
    <w:rsid w:val="00F83263"/>
    <w:rsid w:val="00F83264"/>
    <w:rsid w:val="00F83356"/>
    <w:rsid w:val="00F83386"/>
    <w:rsid w:val="00F833FB"/>
    <w:rsid w:val="00F834BE"/>
    <w:rsid w:val="00F834DF"/>
    <w:rsid w:val="00F835B7"/>
    <w:rsid w:val="00F835F9"/>
    <w:rsid w:val="00F836F9"/>
    <w:rsid w:val="00F837F2"/>
    <w:rsid w:val="00F83828"/>
    <w:rsid w:val="00F83932"/>
    <w:rsid w:val="00F83976"/>
    <w:rsid w:val="00F83987"/>
    <w:rsid w:val="00F839FC"/>
    <w:rsid w:val="00F83A62"/>
    <w:rsid w:val="00F83CE8"/>
    <w:rsid w:val="00F83D7A"/>
    <w:rsid w:val="00F83EE0"/>
    <w:rsid w:val="00F83F12"/>
    <w:rsid w:val="00F84003"/>
    <w:rsid w:val="00F84165"/>
    <w:rsid w:val="00F84245"/>
    <w:rsid w:val="00F8434E"/>
    <w:rsid w:val="00F84455"/>
    <w:rsid w:val="00F845CD"/>
    <w:rsid w:val="00F845D7"/>
    <w:rsid w:val="00F8462F"/>
    <w:rsid w:val="00F8468B"/>
    <w:rsid w:val="00F846B8"/>
    <w:rsid w:val="00F84757"/>
    <w:rsid w:val="00F84784"/>
    <w:rsid w:val="00F8478D"/>
    <w:rsid w:val="00F8479C"/>
    <w:rsid w:val="00F8499F"/>
    <w:rsid w:val="00F84A25"/>
    <w:rsid w:val="00F84A8A"/>
    <w:rsid w:val="00F84ADE"/>
    <w:rsid w:val="00F84AFE"/>
    <w:rsid w:val="00F84BF5"/>
    <w:rsid w:val="00F84C73"/>
    <w:rsid w:val="00F84C92"/>
    <w:rsid w:val="00F84DA0"/>
    <w:rsid w:val="00F84DBA"/>
    <w:rsid w:val="00F84EBC"/>
    <w:rsid w:val="00F84F4B"/>
    <w:rsid w:val="00F84F8E"/>
    <w:rsid w:val="00F84F8F"/>
    <w:rsid w:val="00F84FDD"/>
    <w:rsid w:val="00F8506B"/>
    <w:rsid w:val="00F851A2"/>
    <w:rsid w:val="00F852F1"/>
    <w:rsid w:val="00F853C6"/>
    <w:rsid w:val="00F853F1"/>
    <w:rsid w:val="00F8543B"/>
    <w:rsid w:val="00F854B8"/>
    <w:rsid w:val="00F85608"/>
    <w:rsid w:val="00F8563E"/>
    <w:rsid w:val="00F856F9"/>
    <w:rsid w:val="00F8580F"/>
    <w:rsid w:val="00F858D0"/>
    <w:rsid w:val="00F858E7"/>
    <w:rsid w:val="00F8590D"/>
    <w:rsid w:val="00F859B8"/>
    <w:rsid w:val="00F85A32"/>
    <w:rsid w:val="00F85A34"/>
    <w:rsid w:val="00F85B88"/>
    <w:rsid w:val="00F85BB2"/>
    <w:rsid w:val="00F85C68"/>
    <w:rsid w:val="00F85CA2"/>
    <w:rsid w:val="00F85CA5"/>
    <w:rsid w:val="00F85CEE"/>
    <w:rsid w:val="00F85CF9"/>
    <w:rsid w:val="00F85EC3"/>
    <w:rsid w:val="00F85EEA"/>
    <w:rsid w:val="00F85F16"/>
    <w:rsid w:val="00F85FA4"/>
    <w:rsid w:val="00F85FF9"/>
    <w:rsid w:val="00F8602B"/>
    <w:rsid w:val="00F86059"/>
    <w:rsid w:val="00F86077"/>
    <w:rsid w:val="00F860BA"/>
    <w:rsid w:val="00F86156"/>
    <w:rsid w:val="00F863FE"/>
    <w:rsid w:val="00F86415"/>
    <w:rsid w:val="00F865D9"/>
    <w:rsid w:val="00F866EF"/>
    <w:rsid w:val="00F86704"/>
    <w:rsid w:val="00F867B6"/>
    <w:rsid w:val="00F868C7"/>
    <w:rsid w:val="00F868D5"/>
    <w:rsid w:val="00F8695E"/>
    <w:rsid w:val="00F869A2"/>
    <w:rsid w:val="00F86A00"/>
    <w:rsid w:val="00F86C33"/>
    <w:rsid w:val="00F86D19"/>
    <w:rsid w:val="00F86E1A"/>
    <w:rsid w:val="00F86E1D"/>
    <w:rsid w:val="00F86E25"/>
    <w:rsid w:val="00F86EDF"/>
    <w:rsid w:val="00F86F47"/>
    <w:rsid w:val="00F86FB6"/>
    <w:rsid w:val="00F86FED"/>
    <w:rsid w:val="00F87004"/>
    <w:rsid w:val="00F870EB"/>
    <w:rsid w:val="00F870EC"/>
    <w:rsid w:val="00F870F5"/>
    <w:rsid w:val="00F87247"/>
    <w:rsid w:val="00F872D7"/>
    <w:rsid w:val="00F87339"/>
    <w:rsid w:val="00F873B7"/>
    <w:rsid w:val="00F873E2"/>
    <w:rsid w:val="00F873EC"/>
    <w:rsid w:val="00F8740C"/>
    <w:rsid w:val="00F87448"/>
    <w:rsid w:val="00F8744D"/>
    <w:rsid w:val="00F874CA"/>
    <w:rsid w:val="00F874FA"/>
    <w:rsid w:val="00F8752F"/>
    <w:rsid w:val="00F87614"/>
    <w:rsid w:val="00F8763D"/>
    <w:rsid w:val="00F87676"/>
    <w:rsid w:val="00F8768C"/>
    <w:rsid w:val="00F876F7"/>
    <w:rsid w:val="00F87702"/>
    <w:rsid w:val="00F87708"/>
    <w:rsid w:val="00F87747"/>
    <w:rsid w:val="00F87769"/>
    <w:rsid w:val="00F878C9"/>
    <w:rsid w:val="00F8791B"/>
    <w:rsid w:val="00F8795A"/>
    <w:rsid w:val="00F879BD"/>
    <w:rsid w:val="00F87A06"/>
    <w:rsid w:val="00F87A7D"/>
    <w:rsid w:val="00F87AD2"/>
    <w:rsid w:val="00F87AD8"/>
    <w:rsid w:val="00F87B65"/>
    <w:rsid w:val="00F87B6F"/>
    <w:rsid w:val="00F87BB6"/>
    <w:rsid w:val="00F87C54"/>
    <w:rsid w:val="00F87C65"/>
    <w:rsid w:val="00F87C85"/>
    <w:rsid w:val="00F87D76"/>
    <w:rsid w:val="00F87F70"/>
    <w:rsid w:val="00F87FD4"/>
    <w:rsid w:val="00F90015"/>
    <w:rsid w:val="00F900B4"/>
    <w:rsid w:val="00F9013A"/>
    <w:rsid w:val="00F90269"/>
    <w:rsid w:val="00F903C5"/>
    <w:rsid w:val="00F903D5"/>
    <w:rsid w:val="00F90467"/>
    <w:rsid w:val="00F904DB"/>
    <w:rsid w:val="00F90505"/>
    <w:rsid w:val="00F90566"/>
    <w:rsid w:val="00F9056E"/>
    <w:rsid w:val="00F905D0"/>
    <w:rsid w:val="00F90607"/>
    <w:rsid w:val="00F90649"/>
    <w:rsid w:val="00F9065E"/>
    <w:rsid w:val="00F9070F"/>
    <w:rsid w:val="00F9072D"/>
    <w:rsid w:val="00F90758"/>
    <w:rsid w:val="00F9084B"/>
    <w:rsid w:val="00F908C5"/>
    <w:rsid w:val="00F908D8"/>
    <w:rsid w:val="00F908EC"/>
    <w:rsid w:val="00F9096F"/>
    <w:rsid w:val="00F909B0"/>
    <w:rsid w:val="00F909BD"/>
    <w:rsid w:val="00F909F0"/>
    <w:rsid w:val="00F90B00"/>
    <w:rsid w:val="00F90C99"/>
    <w:rsid w:val="00F90CAF"/>
    <w:rsid w:val="00F90D37"/>
    <w:rsid w:val="00F90DBC"/>
    <w:rsid w:val="00F90E0A"/>
    <w:rsid w:val="00F90ED7"/>
    <w:rsid w:val="00F90FEC"/>
    <w:rsid w:val="00F90FF0"/>
    <w:rsid w:val="00F9105B"/>
    <w:rsid w:val="00F91090"/>
    <w:rsid w:val="00F9114C"/>
    <w:rsid w:val="00F911CB"/>
    <w:rsid w:val="00F91295"/>
    <w:rsid w:val="00F912A7"/>
    <w:rsid w:val="00F91383"/>
    <w:rsid w:val="00F913E1"/>
    <w:rsid w:val="00F914C7"/>
    <w:rsid w:val="00F91500"/>
    <w:rsid w:val="00F91671"/>
    <w:rsid w:val="00F916A2"/>
    <w:rsid w:val="00F91768"/>
    <w:rsid w:val="00F9179D"/>
    <w:rsid w:val="00F917E8"/>
    <w:rsid w:val="00F9183E"/>
    <w:rsid w:val="00F919FE"/>
    <w:rsid w:val="00F91A3E"/>
    <w:rsid w:val="00F91B12"/>
    <w:rsid w:val="00F91BBE"/>
    <w:rsid w:val="00F91BC5"/>
    <w:rsid w:val="00F91CB9"/>
    <w:rsid w:val="00F91CE5"/>
    <w:rsid w:val="00F91D1A"/>
    <w:rsid w:val="00F91DB8"/>
    <w:rsid w:val="00F91E8C"/>
    <w:rsid w:val="00F91ED0"/>
    <w:rsid w:val="00F91F00"/>
    <w:rsid w:val="00F91F0C"/>
    <w:rsid w:val="00F91F3D"/>
    <w:rsid w:val="00F91F87"/>
    <w:rsid w:val="00F92279"/>
    <w:rsid w:val="00F923E7"/>
    <w:rsid w:val="00F92419"/>
    <w:rsid w:val="00F9246F"/>
    <w:rsid w:val="00F924A9"/>
    <w:rsid w:val="00F924BA"/>
    <w:rsid w:val="00F924F2"/>
    <w:rsid w:val="00F92568"/>
    <w:rsid w:val="00F926A8"/>
    <w:rsid w:val="00F926AA"/>
    <w:rsid w:val="00F926D4"/>
    <w:rsid w:val="00F9288A"/>
    <w:rsid w:val="00F928EF"/>
    <w:rsid w:val="00F92926"/>
    <w:rsid w:val="00F9292F"/>
    <w:rsid w:val="00F92A72"/>
    <w:rsid w:val="00F92B04"/>
    <w:rsid w:val="00F92C44"/>
    <w:rsid w:val="00F92C46"/>
    <w:rsid w:val="00F92F4C"/>
    <w:rsid w:val="00F92F6A"/>
    <w:rsid w:val="00F92FA2"/>
    <w:rsid w:val="00F9318D"/>
    <w:rsid w:val="00F93199"/>
    <w:rsid w:val="00F931F7"/>
    <w:rsid w:val="00F932CA"/>
    <w:rsid w:val="00F93365"/>
    <w:rsid w:val="00F933E8"/>
    <w:rsid w:val="00F933EF"/>
    <w:rsid w:val="00F934A4"/>
    <w:rsid w:val="00F934C7"/>
    <w:rsid w:val="00F93534"/>
    <w:rsid w:val="00F93542"/>
    <w:rsid w:val="00F9367A"/>
    <w:rsid w:val="00F937A8"/>
    <w:rsid w:val="00F937AA"/>
    <w:rsid w:val="00F937AF"/>
    <w:rsid w:val="00F937D3"/>
    <w:rsid w:val="00F937EF"/>
    <w:rsid w:val="00F93809"/>
    <w:rsid w:val="00F93A20"/>
    <w:rsid w:val="00F93B4E"/>
    <w:rsid w:val="00F93B62"/>
    <w:rsid w:val="00F93BA1"/>
    <w:rsid w:val="00F93D3C"/>
    <w:rsid w:val="00F93D7E"/>
    <w:rsid w:val="00F93E61"/>
    <w:rsid w:val="00F93F33"/>
    <w:rsid w:val="00F93F5F"/>
    <w:rsid w:val="00F9402A"/>
    <w:rsid w:val="00F940EB"/>
    <w:rsid w:val="00F941BD"/>
    <w:rsid w:val="00F941EF"/>
    <w:rsid w:val="00F94294"/>
    <w:rsid w:val="00F942BF"/>
    <w:rsid w:val="00F943F2"/>
    <w:rsid w:val="00F94415"/>
    <w:rsid w:val="00F94427"/>
    <w:rsid w:val="00F9451A"/>
    <w:rsid w:val="00F94541"/>
    <w:rsid w:val="00F94567"/>
    <w:rsid w:val="00F94588"/>
    <w:rsid w:val="00F94745"/>
    <w:rsid w:val="00F94754"/>
    <w:rsid w:val="00F94781"/>
    <w:rsid w:val="00F948BB"/>
    <w:rsid w:val="00F94904"/>
    <w:rsid w:val="00F949A1"/>
    <w:rsid w:val="00F94A73"/>
    <w:rsid w:val="00F94A9B"/>
    <w:rsid w:val="00F94B01"/>
    <w:rsid w:val="00F94B55"/>
    <w:rsid w:val="00F94B76"/>
    <w:rsid w:val="00F94C29"/>
    <w:rsid w:val="00F94E6E"/>
    <w:rsid w:val="00F94F07"/>
    <w:rsid w:val="00F94F0B"/>
    <w:rsid w:val="00F9503B"/>
    <w:rsid w:val="00F95041"/>
    <w:rsid w:val="00F9529D"/>
    <w:rsid w:val="00F952AC"/>
    <w:rsid w:val="00F9532E"/>
    <w:rsid w:val="00F95379"/>
    <w:rsid w:val="00F95389"/>
    <w:rsid w:val="00F95439"/>
    <w:rsid w:val="00F9549D"/>
    <w:rsid w:val="00F9549F"/>
    <w:rsid w:val="00F954BA"/>
    <w:rsid w:val="00F954ED"/>
    <w:rsid w:val="00F95522"/>
    <w:rsid w:val="00F95537"/>
    <w:rsid w:val="00F95602"/>
    <w:rsid w:val="00F956E5"/>
    <w:rsid w:val="00F95753"/>
    <w:rsid w:val="00F9579A"/>
    <w:rsid w:val="00F958D5"/>
    <w:rsid w:val="00F9594E"/>
    <w:rsid w:val="00F9599A"/>
    <w:rsid w:val="00F95A16"/>
    <w:rsid w:val="00F95A97"/>
    <w:rsid w:val="00F95AE0"/>
    <w:rsid w:val="00F95B51"/>
    <w:rsid w:val="00F95BB6"/>
    <w:rsid w:val="00F95C45"/>
    <w:rsid w:val="00F95D17"/>
    <w:rsid w:val="00F95D3D"/>
    <w:rsid w:val="00F95D84"/>
    <w:rsid w:val="00F95DB7"/>
    <w:rsid w:val="00F95E3A"/>
    <w:rsid w:val="00F95E3B"/>
    <w:rsid w:val="00F95F2D"/>
    <w:rsid w:val="00F95F30"/>
    <w:rsid w:val="00F9616C"/>
    <w:rsid w:val="00F961F6"/>
    <w:rsid w:val="00F96203"/>
    <w:rsid w:val="00F9624A"/>
    <w:rsid w:val="00F96253"/>
    <w:rsid w:val="00F962ED"/>
    <w:rsid w:val="00F96366"/>
    <w:rsid w:val="00F9636F"/>
    <w:rsid w:val="00F9646B"/>
    <w:rsid w:val="00F96473"/>
    <w:rsid w:val="00F96475"/>
    <w:rsid w:val="00F964FB"/>
    <w:rsid w:val="00F96512"/>
    <w:rsid w:val="00F9659A"/>
    <w:rsid w:val="00F965AE"/>
    <w:rsid w:val="00F966A5"/>
    <w:rsid w:val="00F966F1"/>
    <w:rsid w:val="00F967B8"/>
    <w:rsid w:val="00F96879"/>
    <w:rsid w:val="00F968D2"/>
    <w:rsid w:val="00F9691C"/>
    <w:rsid w:val="00F96923"/>
    <w:rsid w:val="00F96A04"/>
    <w:rsid w:val="00F96A29"/>
    <w:rsid w:val="00F96A9B"/>
    <w:rsid w:val="00F96AF0"/>
    <w:rsid w:val="00F96BDF"/>
    <w:rsid w:val="00F96BEB"/>
    <w:rsid w:val="00F96BFF"/>
    <w:rsid w:val="00F96C48"/>
    <w:rsid w:val="00F96D45"/>
    <w:rsid w:val="00F96D48"/>
    <w:rsid w:val="00F96E34"/>
    <w:rsid w:val="00F9709C"/>
    <w:rsid w:val="00F97157"/>
    <w:rsid w:val="00F9719D"/>
    <w:rsid w:val="00F9719E"/>
    <w:rsid w:val="00F971F6"/>
    <w:rsid w:val="00F971F9"/>
    <w:rsid w:val="00F9727D"/>
    <w:rsid w:val="00F972E6"/>
    <w:rsid w:val="00F97360"/>
    <w:rsid w:val="00F97364"/>
    <w:rsid w:val="00F97365"/>
    <w:rsid w:val="00F9736D"/>
    <w:rsid w:val="00F97459"/>
    <w:rsid w:val="00F974D2"/>
    <w:rsid w:val="00F9750A"/>
    <w:rsid w:val="00F97592"/>
    <w:rsid w:val="00F97641"/>
    <w:rsid w:val="00F9782D"/>
    <w:rsid w:val="00F97853"/>
    <w:rsid w:val="00F97873"/>
    <w:rsid w:val="00F97987"/>
    <w:rsid w:val="00F97A8F"/>
    <w:rsid w:val="00F97AA8"/>
    <w:rsid w:val="00F97ABB"/>
    <w:rsid w:val="00F97B57"/>
    <w:rsid w:val="00F97C1A"/>
    <w:rsid w:val="00F97C1F"/>
    <w:rsid w:val="00F97C48"/>
    <w:rsid w:val="00F97D67"/>
    <w:rsid w:val="00F97DAF"/>
    <w:rsid w:val="00F97DEC"/>
    <w:rsid w:val="00F97E24"/>
    <w:rsid w:val="00F97E2E"/>
    <w:rsid w:val="00F97EB1"/>
    <w:rsid w:val="00F97EEF"/>
    <w:rsid w:val="00F97F2E"/>
    <w:rsid w:val="00F97F75"/>
    <w:rsid w:val="00F97FB4"/>
    <w:rsid w:val="00FA005D"/>
    <w:rsid w:val="00FA0097"/>
    <w:rsid w:val="00FA00AE"/>
    <w:rsid w:val="00FA00B3"/>
    <w:rsid w:val="00FA00C5"/>
    <w:rsid w:val="00FA00DB"/>
    <w:rsid w:val="00FA014F"/>
    <w:rsid w:val="00FA0183"/>
    <w:rsid w:val="00FA029C"/>
    <w:rsid w:val="00FA02DF"/>
    <w:rsid w:val="00FA0395"/>
    <w:rsid w:val="00FA03F4"/>
    <w:rsid w:val="00FA043F"/>
    <w:rsid w:val="00FA0447"/>
    <w:rsid w:val="00FA0477"/>
    <w:rsid w:val="00FA04C8"/>
    <w:rsid w:val="00FA04DC"/>
    <w:rsid w:val="00FA087E"/>
    <w:rsid w:val="00FA08AC"/>
    <w:rsid w:val="00FA0908"/>
    <w:rsid w:val="00FA0920"/>
    <w:rsid w:val="00FA0941"/>
    <w:rsid w:val="00FA0993"/>
    <w:rsid w:val="00FA09F2"/>
    <w:rsid w:val="00FA0A3D"/>
    <w:rsid w:val="00FA0A3E"/>
    <w:rsid w:val="00FA0AD7"/>
    <w:rsid w:val="00FA0ADF"/>
    <w:rsid w:val="00FA0AEC"/>
    <w:rsid w:val="00FA0B3B"/>
    <w:rsid w:val="00FA0B75"/>
    <w:rsid w:val="00FA0BAE"/>
    <w:rsid w:val="00FA0BB5"/>
    <w:rsid w:val="00FA0BD4"/>
    <w:rsid w:val="00FA0C29"/>
    <w:rsid w:val="00FA0C7F"/>
    <w:rsid w:val="00FA0D33"/>
    <w:rsid w:val="00FA0D34"/>
    <w:rsid w:val="00FA0D82"/>
    <w:rsid w:val="00FA0EEE"/>
    <w:rsid w:val="00FA0F6A"/>
    <w:rsid w:val="00FA0FB6"/>
    <w:rsid w:val="00FA112C"/>
    <w:rsid w:val="00FA12E0"/>
    <w:rsid w:val="00FA1359"/>
    <w:rsid w:val="00FA13FB"/>
    <w:rsid w:val="00FA14CF"/>
    <w:rsid w:val="00FA14E0"/>
    <w:rsid w:val="00FA1611"/>
    <w:rsid w:val="00FA16A0"/>
    <w:rsid w:val="00FA1793"/>
    <w:rsid w:val="00FA184A"/>
    <w:rsid w:val="00FA1882"/>
    <w:rsid w:val="00FA1886"/>
    <w:rsid w:val="00FA188F"/>
    <w:rsid w:val="00FA18CA"/>
    <w:rsid w:val="00FA1922"/>
    <w:rsid w:val="00FA1988"/>
    <w:rsid w:val="00FA1AB9"/>
    <w:rsid w:val="00FA1AC8"/>
    <w:rsid w:val="00FA1B09"/>
    <w:rsid w:val="00FA1CCC"/>
    <w:rsid w:val="00FA1D57"/>
    <w:rsid w:val="00FA1D6E"/>
    <w:rsid w:val="00FA1D79"/>
    <w:rsid w:val="00FA1E9D"/>
    <w:rsid w:val="00FA1EE8"/>
    <w:rsid w:val="00FA2001"/>
    <w:rsid w:val="00FA2009"/>
    <w:rsid w:val="00FA224B"/>
    <w:rsid w:val="00FA2283"/>
    <w:rsid w:val="00FA2289"/>
    <w:rsid w:val="00FA22BF"/>
    <w:rsid w:val="00FA24BE"/>
    <w:rsid w:val="00FA25BF"/>
    <w:rsid w:val="00FA2745"/>
    <w:rsid w:val="00FA2763"/>
    <w:rsid w:val="00FA2878"/>
    <w:rsid w:val="00FA293D"/>
    <w:rsid w:val="00FA2AF0"/>
    <w:rsid w:val="00FA2B52"/>
    <w:rsid w:val="00FA2C68"/>
    <w:rsid w:val="00FA2CC2"/>
    <w:rsid w:val="00FA2CE5"/>
    <w:rsid w:val="00FA2D2F"/>
    <w:rsid w:val="00FA2D4C"/>
    <w:rsid w:val="00FA2D9B"/>
    <w:rsid w:val="00FA2DA1"/>
    <w:rsid w:val="00FA2E0E"/>
    <w:rsid w:val="00FA2ECD"/>
    <w:rsid w:val="00FA2EF9"/>
    <w:rsid w:val="00FA2F39"/>
    <w:rsid w:val="00FA2FC4"/>
    <w:rsid w:val="00FA3122"/>
    <w:rsid w:val="00FA3195"/>
    <w:rsid w:val="00FA327B"/>
    <w:rsid w:val="00FA32D6"/>
    <w:rsid w:val="00FA3365"/>
    <w:rsid w:val="00FA33C3"/>
    <w:rsid w:val="00FA33D3"/>
    <w:rsid w:val="00FA33E1"/>
    <w:rsid w:val="00FA3425"/>
    <w:rsid w:val="00FA34AF"/>
    <w:rsid w:val="00FA3501"/>
    <w:rsid w:val="00FA3559"/>
    <w:rsid w:val="00FA36FF"/>
    <w:rsid w:val="00FA3779"/>
    <w:rsid w:val="00FA37C1"/>
    <w:rsid w:val="00FA37E2"/>
    <w:rsid w:val="00FA3846"/>
    <w:rsid w:val="00FA38C0"/>
    <w:rsid w:val="00FA39D8"/>
    <w:rsid w:val="00FA39F8"/>
    <w:rsid w:val="00FA3A20"/>
    <w:rsid w:val="00FA3A80"/>
    <w:rsid w:val="00FA3C67"/>
    <w:rsid w:val="00FA3CB7"/>
    <w:rsid w:val="00FA3CEF"/>
    <w:rsid w:val="00FA3D56"/>
    <w:rsid w:val="00FA3D5C"/>
    <w:rsid w:val="00FA3D81"/>
    <w:rsid w:val="00FA3DB9"/>
    <w:rsid w:val="00FA3DDA"/>
    <w:rsid w:val="00FA3E1C"/>
    <w:rsid w:val="00FA3E31"/>
    <w:rsid w:val="00FA3E6E"/>
    <w:rsid w:val="00FA3FAB"/>
    <w:rsid w:val="00FA3FCD"/>
    <w:rsid w:val="00FA423B"/>
    <w:rsid w:val="00FA423E"/>
    <w:rsid w:val="00FA4377"/>
    <w:rsid w:val="00FA4394"/>
    <w:rsid w:val="00FA4478"/>
    <w:rsid w:val="00FA4554"/>
    <w:rsid w:val="00FA4575"/>
    <w:rsid w:val="00FA45F4"/>
    <w:rsid w:val="00FA4691"/>
    <w:rsid w:val="00FA46B3"/>
    <w:rsid w:val="00FA474B"/>
    <w:rsid w:val="00FA47C2"/>
    <w:rsid w:val="00FA48FA"/>
    <w:rsid w:val="00FA4904"/>
    <w:rsid w:val="00FA4A1D"/>
    <w:rsid w:val="00FA4AF9"/>
    <w:rsid w:val="00FA4B58"/>
    <w:rsid w:val="00FA4BA4"/>
    <w:rsid w:val="00FA4BDD"/>
    <w:rsid w:val="00FA4C33"/>
    <w:rsid w:val="00FA4D4A"/>
    <w:rsid w:val="00FA4E04"/>
    <w:rsid w:val="00FA4E10"/>
    <w:rsid w:val="00FA4E7F"/>
    <w:rsid w:val="00FA4FCE"/>
    <w:rsid w:val="00FA5060"/>
    <w:rsid w:val="00FA513B"/>
    <w:rsid w:val="00FA513D"/>
    <w:rsid w:val="00FA51E3"/>
    <w:rsid w:val="00FA521D"/>
    <w:rsid w:val="00FA526B"/>
    <w:rsid w:val="00FA528F"/>
    <w:rsid w:val="00FA52EF"/>
    <w:rsid w:val="00FA5455"/>
    <w:rsid w:val="00FA5472"/>
    <w:rsid w:val="00FA5539"/>
    <w:rsid w:val="00FA555D"/>
    <w:rsid w:val="00FA5584"/>
    <w:rsid w:val="00FA5642"/>
    <w:rsid w:val="00FA56A9"/>
    <w:rsid w:val="00FA5701"/>
    <w:rsid w:val="00FA575F"/>
    <w:rsid w:val="00FA5907"/>
    <w:rsid w:val="00FA5916"/>
    <w:rsid w:val="00FA5918"/>
    <w:rsid w:val="00FA5A58"/>
    <w:rsid w:val="00FA5A97"/>
    <w:rsid w:val="00FA5AE9"/>
    <w:rsid w:val="00FA5B28"/>
    <w:rsid w:val="00FA5B3B"/>
    <w:rsid w:val="00FA5BC3"/>
    <w:rsid w:val="00FA5BD2"/>
    <w:rsid w:val="00FA5C12"/>
    <w:rsid w:val="00FA5C5F"/>
    <w:rsid w:val="00FA5C80"/>
    <w:rsid w:val="00FA5CF4"/>
    <w:rsid w:val="00FA5EB1"/>
    <w:rsid w:val="00FA5F06"/>
    <w:rsid w:val="00FA5F36"/>
    <w:rsid w:val="00FA5FA4"/>
    <w:rsid w:val="00FA5FB5"/>
    <w:rsid w:val="00FA608E"/>
    <w:rsid w:val="00FA6179"/>
    <w:rsid w:val="00FA623E"/>
    <w:rsid w:val="00FA636B"/>
    <w:rsid w:val="00FA6378"/>
    <w:rsid w:val="00FA637E"/>
    <w:rsid w:val="00FA63A9"/>
    <w:rsid w:val="00FA6441"/>
    <w:rsid w:val="00FA644C"/>
    <w:rsid w:val="00FA64CD"/>
    <w:rsid w:val="00FA6590"/>
    <w:rsid w:val="00FA65AE"/>
    <w:rsid w:val="00FA65FE"/>
    <w:rsid w:val="00FA663E"/>
    <w:rsid w:val="00FA66B5"/>
    <w:rsid w:val="00FA6707"/>
    <w:rsid w:val="00FA6721"/>
    <w:rsid w:val="00FA680C"/>
    <w:rsid w:val="00FA6825"/>
    <w:rsid w:val="00FA6894"/>
    <w:rsid w:val="00FA6905"/>
    <w:rsid w:val="00FA6981"/>
    <w:rsid w:val="00FA6A1D"/>
    <w:rsid w:val="00FA6A41"/>
    <w:rsid w:val="00FA6BD3"/>
    <w:rsid w:val="00FA6DE5"/>
    <w:rsid w:val="00FA6E64"/>
    <w:rsid w:val="00FA6F40"/>
    <w:rsid w:val="00FA7323"/>
    <w:rsid w:val="00FA73CE"/>
    <w:rsid w:val="00FA73E2"/>
    <w:rsid w:val="00FA754A"/>
    <w:rsid w:val="00FA7566"/>
    <w:rsid w:val="00FA75D0"/>
    <w:rsid w:val="00FA76C5"/>
    <w:rsid w:val="00FA7779"/>
    <w:rsid w:val="00FA77FD"/>
    <w:rsid w:val="00FA780F"/>
    <w:rsid w:val="00FA7850"/>
    <w:rsid w:val="00FA78BB"/>
    <w:rsid w:val="00FA791D"/>
    <w:rsid w:val="00FA7940"/>
    <w:rsid w:val="00FA796E"/>
    <w:rsid w:val="00FA7996"/>
    <w:rsid w:val="00FA7A16"/>
    <w:rsid w:val="00FA7A25"/>
    <w:rsid w:val="00FA7AFE"/>
    <w:rsid w:val="00FA7B14"/>
    <w:rsid w:val="00FA7B5D"/>
    <w:rsid w:val="00FA7BBA"/>
    <w:rsid w:val="00FA7C73"/>
    <w:rsid w:val="00FA7D56"/>
    <w:rsid w:val="00FA7D86"/>
    <w:rsid w:val="00FA7DA6"/>
    <w:rsid w:val="00FA7DEF"/>
    <w:rsid w:val="00FA7E0B"/>
    <w:rsid w:val="00FA7E2B"/>
    <w:rsid w:val="00FA7E81"/>
    <w:rsid w:val="00FA7FEF"/>
    <w:rsid w:val="00FB004A"/>
    <w:rsid w:val="00FB0077"/>
    <w:rsid w:val="00FB01A5"/>
    <w:rsid w:val="00FB01B6"/>
    <w:rsid w:val="00FB02A9"/>
    <w:rsid w:val="00FB02D3"/>
    <w:rsid w:val="00FB03FC"/>
    <w:rsid w:val="00FB04B9"/>
    <w:rsid w:val="00FB05ED"/>
    <w:rsid w:val="00FB064D"/>
    <w:rsid w:val="00FB0674"/>
    <w:rsid w:val="00FB06E4"/>
    <w:rsid w:val="00FB0738"/>
    <w:rsid w:val="00FB0991"/>
    <w:rsid w:val="00FB09E5"/>
    <w:rsid w:val="00FB0A15"/>
    <w:rsid w:val="00FB0A7D"/>
    <w:rsid w:val="00FB0AE6"/>
    <w:rsid w:val="00FB0B38"/>
    <w:rsid w:val="00FB0BAA"/>
    <w:rsid w:val="00FB0BF9"/>
    <w:rsid w:val="00FB0C5A"/>
    <w:rsid w:val="00FB0D41"/>
    <w:rsid w:val="00FB0DBC"/>
    <w:rsid w:val="00FB0EC8"/>
    <w:rsid w:val="00FB0F38"/>
    <w:rsid w:val="00FB0F98"/>
    <w:rsid w:val="00FB1031"/>
    <w:rsid w:val="00FB1073"/>
    <w:rsid w:val="00FB10B3"/>
    <w:rsid w:val="00FB11CB"/>
    <w:rsid w:val="00FB1251"/>
    <w:rsid w:val="00FB12DF"/>
    <w:rsid w:val="00FB137B"/>
    <w:rsid w:val="00FB13C9"/>
    <w:rsid w:val="00FB1688"/>
    <w:rsid w:val="00FB170D"/>
    <w:rsid w:val="00FB178B"/>
    <w:rsid w:val="00FB1826"/>
    <w:rsid w:val="00FB1829"/>
    <w:rsid w:val="00FB1A7E"/>
    <w:rsid w:val="00FB1C57"/>
    <w:rsid w:val="00FB1D9F"/>
    <w:rsid w:val="00FB1EC4"/>
    <w:rsid w:val="00FB1F17"/>
    <w:rsid w:val="00FB1F32"/>
    <w:rsid w:val="00FB1FFE"/>
    <w:rsid w:val="00FB2108"/>
    <w:rsid w:val="00FB2214"/>
    <w:rsid w:val="00FB240B"/>
    <w:rsid w:val="00FB2473"/>
    <w:rsid w:val="00FB24DC"/>
    <w:rsid w:val="00FB2538"/>
    <w:rsid w:val="00FB2561"/>
    <w:rsid w:val="00FB25EA"/>
    <w:rsid w:val="00FB2616"/>
    <w:rsid w:val="00FB26BF"/>
    <w:rsid w:val="00FB270E"/>
    <w:rsid w:val="00FB291D"/>
    <w:rsid w:val="00FB2A92"/>
    <w:rsid w:val="00FB2CBB"/>
    <w:rsid w:val="00FB2D7E"/>
    <w:rsid w:val="00FB2EA5"/>
    <w:rsid w:val="00FB2EBB"/>
    <w:rsid w:val="00FB2F0D"/>
    <w:rsid w:val="00FB2F47"/>
    <w:rsid w:val="00FB2FA1"/>
    <w:rsid w:val="00FB30BE"/>
    <w:rsid w:val="00FB311F"/>
    <w:rsid w:val="00FB31EB"/>
    <w:rsid w:val="00FB3243"/>
    <w:rsid w:val="00FB3246"/>
    <w:rsid w:val="00FB32AA"/>
    <w:rsid w:val="00FB3322"/>
    <w:rsid w:val="00FB3364"/>
    <w:rsid w:val="00FB3368"/>
    <w:rsid w:val="00FB338E"/>
    <w:rsid w:val="00FB33CC"/>
    <w:rsid w:val="00FB33FE"/>
    <w:rsid w:val="00FB3417"/>
    <w:rsid w:val="00FB3426"/>
    <w:rsid w:val="00FB3427"/>
    <w:rsid w:val="00FB346D"/>
    <w:rsid w:val="00FB3470"/>
    <w:rsid w:val="00FB3494"/>
    <w:rsid w:val="00FB349C"/>
    <w:rsid w:val="00FB357A"/>
    <w:rsid w:val="00FB35A2"/>
    <w:rsid w:val="00FB35E9"/>
    <w:rsid w:val="00FB3671"/>
    <w:rsid w:val="00FB36CE"/>
    <w:rsid w:val="00FB3722"/>
    <w:rsid w:val="00FB377C"/>
    <w:rsid w:val="00FB37F1"/>
    <w:rsid w:val="00FB380E"/>
    <w:rsid w:val="00FB3A44"/>
    <w:rsid w:val="00FB3AF6"/>
    <w:rsid w:val="00FB3B98"/>
    <w:rsid w:val="00FB3BC9"/>
    <w:rsid w:val="00FB3C39"/>
    <w:rsid w:val="00FB3CCF"/>
    <w:rsid w:val="00FB3D04"/>
    <w:rsid w:val="00FB3F14"/>
    <w:rsid w:val="00FB3F78"/>
    <w:rsid w:val="00FB4009"/>
    <w:rsid w:val="00FB400E"/>
    <w:rsid w:val="00FB4193"/>
    <w:rsid w:val="00FB4225"/>
    <w:rsid w:val="00FB4259"/>
    <w:rsid w:val="00FB428F"/>
    <w:rsid w:val="00FB42AE"/>
    <w:rsid w:val="00FB42F0"/>
    <w:rsid w:val="00FB43B0"/>
    <w:rsid w:val="00FB4410"/>
    <w:rsid w:val="00FB458D"/>
    <w:rsid w:val="00FB461E"/>
    <w:rsid w:val="00FB462E"/>
    <w:rsid w:val="00FB466C"/>
    <w:rsid w:val="00FB46E3"/>
    <w:rsid w:val="00FB4734"/>
    <w:rsid w:val="00FB47A8"/>
    <w:rsid w:val="00FB47D6"/>
    <w:rsid w:val="00FB4906"/>
    <w:rsid w:val="00FB4A5B"/>
    <w:rsid w:val="00FB4BB4"/>
    <w:rsid w:val="00FB4BE5"/>
    <w:rsid w:val="00FB4C16"/>
    <w:rsid w:val="00FB4D21"/>
    <w:rsid w:val="00FB509C"/>
    <w:rsid w:val="00FB5159"/>
    <w:rsid w:val="00FB51E7"/>
    <w:rsid w:val="00FB51E8"/>
    <w:rsid w:val="00FB51E9"/>
    <w:rsid w:val="00FB5300"/>
    <w:rsid w:val="00FB545C"/>
    <w:rsid w:val="00FB54C5"/>
    <w:rsid w:val="00FB5535"/>
    <w:rsid w:val="00FB5670"/>
    <w:rsid w:val="00FB56A2"/>
    <w:rsid w:val="00FB575D"/>
    <w:rsid w:val="00FB576E"/>
    <w:rsid w:val="00FB57B6"/>
    <w:rsid w:val="00FB5876"/>
    <w:rsid w:val="00FB5A0C"/>
    <w:rsid w:val="00FB5A57"/>
    <w:rsid w:val="00FB5A87"/>
    <w:rsid w:val="00FB5ABD"/>
    <w:rsid w:val="00FB5B6D"/>
    <w:rsid w:val="00FB5C38"/>
    <w:rsid w:val="00FB5C3B"/>
    <w:rsid w:val="00FB5C54"/>
    <w:rsid w:val="00FB5E96"/>
    <w:rsid w:val="00FB5E9F"/>
    <w:rsid w:val="00FB5EBE"/>
    <w:rsid w:val="00FB5F4A"/>
    <w:rsid w:val="00FB5FD6"/>
    <w:rsid w:val="00FB60A1"/>
    <w:rsid w:val="00FB60D4"/>
    <w:rsid w:val="00FB6163"/>
    <w:rsid w:val="00FB6223"/>
    <w:rsid w:val="00FB62E1"/>
    <w:rsid w:val="00FB632D"/>
    <w:rsid w:val="00FB6422"/>
    <w:rsid w:val="00FB6501"/>
    <w:rsid w:val="00FB6544"/>
    <w:rsid w:val="00FB65D3"/>
    <w:rsid w:val="00FB674A"/>
    <w:rsid w:val="00FB67F3"/>
    <w:rsid w:val="00FB684D"/>
    <w:rsid w:val="00FB685A"/>
    <w:rsid w:val="00FB685E"/>
    <w:rsid w:val="00FB68BF"/>
    <w:rsid w:val="00FB68EF"/>
    <w:rsid w:val="00FB697C"/>
    <w:rsid w:val="00FB69AB"/>
    <w:rsid w:val="00FB69E7"/>
    <w:rsid w:val="00FB6B22"/>
    <w:rsid w:val="00FB6BD5"/>
    <w:rsid w:val="00FB6C16"/>
    <w:rsid w:val="00FB6CDD"/>
    <w:rsid w:val="00FB6DCD"/>
    <w:rsid w:val="00FB6DE0"/>
    <w:rsid w:val="00FB6EB5"/>
    <w:rsid w:val="00FB6F7F"/>
    <w:rsid w:val="00FB7033"/>
    <w:rsid w:val="00FB7144"/>
    <w:rsid w:val="00FB7181"/>
    <w:rsid w:val="00FB7184"/>
    <w:rsid w:val="00FB71D0"/>
    <w:rsid w:val="00FB7294"/>
    <w:rsid w:val="00FB7316"/>
    <w:rsid w:val="00FB7327"/>
    <w:rsid w:val="00FB7358"/>
    <w:rsid w:val="00FB7374"/>
    <w:rsid w:val="00FB73E5"/>
    <w:rsid w:val="00FB7404"/>
    <w:rsid w:val="00FB7445"/>
    <w:rsid w:val="00FB7452"/>
    <w:rsid w:val="00FB745A"/>
    <w:rsid w:val="00FB7591"/>
    <w:rsid w:val="00FB762B"/>
    <w:rsid w:val="00FB7665"/>
    <w:rsid w:val="00FB7713"/>
    <w:rsid w:val="00FB773C"/>
    <w:rsid w:val="00FB77E6"/>
    <w:rsid w:val="00FB790A"/>
    <w:rsid w:val="00FB7A5C"/>
    <w:rsid w:val="00FB7AF7"/>
    <w:rsid w:val="00FB7B4F"/>
    <w:rsid w:val="00FB7B77"/>
    <w:rsid w:val="00FB7B8B"/>
    <w:rsid w:val="00FB7BE7"/>
    <w:rsid w:val="00FB7C2F"/>
    <w:rsid w:val="00FB7CC8"/>
    <w:rsid w:val="00FB7CFE"/>
    <w:rsid w:val="00FB7D7A"/>
    <w:rsid w:val="00FB7DB1"/>
    <w:rsid w:val="00FB7E1C"/>
    <w:rsid w:val="00FB7E4A"/>
    <w:rsid w:val="00FB7F81"/>
    <w:rsid w:val="00FC00AD"/>
    <w:rsid w:val="00FC0128"/>
    <w:rsid w:val="00FC0147"/>
    <w:rsid w:val="00FC0283"/>
    <w:rsid w:val="00FC03AB"/>
    <w:rsid w:val="00FC046A"/>
    <w:rsid w:val="00FC0492"/>
    <w:rsid w:val="00FC05A7"/>
    <w:rsid w:val="00FC0797"/>
    <w:rsid w:val="00FC07D3"/>
    <w:rsid w:val="00FC07D6"/>
    <w:rsid w:val="00FC07F0"/>
    <w:rsid w:val="00FC0810"/>
    <w:rsid w:val="00FC08C0"/>
    <w:rsid w:val="00FC099A"/>
    <w:rsid w:val="00FC09F9"/>
    <w:rsid w:val="00FC0AF1"/>
    <w:rsid w:val="00FC0AFC"/>
    <w:rsid w:val="00FC0B7F"/>
    <w:rsid w:val="00FC0C12"/>
    <w:rsid w:val="00FC0D2C"/>
    <w:rsid w:val="00FC0E7B"/>
    <w:rsid w:val="00FC0E86"/>
    <w:rsid w:val="00FC0E97"/>
    <w:rsid w:val="00FC0E9E"/>
    <w:rsid w:val="00FC107C"/>
    <w:rsid w:val="00FC1132"/>
    <w:rsid w:val="00FC1157"/>
    <w:rsid w:val="00FC11B1"/>
    <w:rsid w:val="00FC1390"/>
    <w:rsid w:val="00FC145C"/>
    <w:rsid w:val="00FC1484"/>
    <w:rsid w:val="00FC1509"/>
    <w:rsid w:val="00FC15C4"/>
    <w:rsid w:val="00FC18AF"/>
    <w:rsid w:val="00FC18B1"/>
    <w:rsid w:val="00FC18D8"/>
    <w:rsid w:val="00FC1A37"/>
    <w:rsid w:val="00FC1A3A"/>
    <w:rsid w:val="00FC1BB7"/>
    <w:rsid w:val="00FC1BD2"/>
    <w:rsid w:val="00FC1C06"/>
    <w:rsid w:val="00FC1D29"/>
    <w:rsid w:val="00FC1DEC"/>
    <w:rsid w:val="00FC1EF0"/>
    <w:rsid w:val="00FC20DF"/>
    <w:rsid w:val="00FC2109"/>
    <w:rsid w:val="00FC224B"/>
    <w:rsid w:val="00FC2259"/>
    <w:rsid w:val="00FC24D7"/>
    <w:rsid w:val="00FC2514"/>
    <w:rsid w:val="00FC255E"/>
    <w:rsid w:val="00FC258E"/>
    <w:rsid w:val="00FC26AF"/>
    <w:rsid w:val="00FC26E5"/>
    <w:rsid w:val="00FC274B"/>
    <w:rsid w:val="00FC2763"/>
    <w:rsid w:val="00FC2772"/>
    <w:rsid w:val="00FC2852"/>
    <w:rsid w:val="00FC28A8"/>
    <w:rsid w:val="00FC2928"/>
    <w:rsid w:val="00FC29C0"/>
    <w:rsid w:val="00FC29C1"/>
    <w:rsid w:val="00FC29EA"/>
    <w:rsid w:val="00FC2BD0"/>
    <w:rsid w:val="00FC2C96"/>
    <w:rsid w:val="00FC2D2C"/>
    <w:rsid w:val="00FC2D6A"/>
    <w:rsid w:val="00FC2F18"/>
    <w:rsid w:val="00FC2F36"/>
    <w:rsid w:val="00FC2F4B"/>
    <w:rsid w:val="00FC301F"/>
    <w:rsid w:val="00FC30B5"/>
    <w:rsid w:val="00FC30DA"/>
    <w:rsid w:val="00FC30FC"/>
    <w:rsid w:val="00FC3100"/>
    <w:rsid w:val="00FC3192"/>
    <w:rsid w:val="00FC32F0"/>
    <w:rsid w:val="00FC3348"/>
    <w:rsid w:val="00FC33B8"/>
    <w:rsid w:val="00FC35D9"/>
    <w:rsid w:val="00FC365B"/>
    <w:rsid w:val="00FC36B3"/>
    <w:rsid w:val="00FC36F4"/>
    <w:rsid w:val="00FC37AD"/>
    <w:rsid w:val="00FC38BB"/>
    <w:rsid w:val="00FC3914"/>
    <w:rsid w:val="00FC3A39"/>
    <w:rsid w:val="00FC3B2D"/>
    <w:rsid w:val="00FC3B5A"/>
    <w:rsid w:val="00FC3BDD"/>
    <w:rsid w:val="00FC3C17"/>
    <w:rsid w:val="00FC3C32"/>
    <w:rsid w:val="00FC3C94"/>
    <w:rsid w:val="00FC3CA8"/>
    <w:rsid w:val="00FC3DCC"/>
    <w:rsid w:val="00FC3E65"/>
    <w:rsid w:val="00FC3E6F"/>
    <w:rsid w:val="00FC3FBD"/>
    <w:rsid w:val="00FC3FC9"/>
    <w:rsid w:val="00FC3FE0"/>
    <w:rsid w:val="00FC40F0"/>
    <w:rsid w:val="00FC4123"/>
    <w:rsid w:val="00FC4151"/>
    <w:rsid w:val="00FC41D8"/>
    <w:rsid w:val="00FC4252"/>
    <w:rsid w:val="00FC43EE"/>
    <w:rsid w:val="00FC444A"/>
    <w:rsid w:val="00FC4461"/>
    <w:rsid w:val="00FC4469"/>
    <w:rsid w:val="00FC4509"/>
    <w:rsid w:val="00FC4514"/>
    <w:rsid w:val="00FC4559"/>
    <w:rsid w:val="00FC46B0"/>
    <w:rsid w:val="00FC4710"/>
    <w:rsid w:val="00FC472C"/>
    <w:rsid w:val="00FC477B"/>
    <w:rsid w:val="00FC4809"/>
    <w:rsid w:val="00FC486A"/>
    <w:rsid w:val="00FC492B"/>
    <w:rsid w:val="00FC4AE3"/>
    <w:rsid w:val="00FC4D1D"/>
    <w:rsid w:val="00FC4D53"/>
    <w:rsid w:val="00FC4EF1"/>
    <w:rsid w:val="00FC5062"/>
    <w:rsid w:val="00FC50B7"/>
    <w:rsid w:val="00FC50D5"/>
    <w:rsid w:val="00FC50E2"/>
    <w:rsid w:val="00FC50EF"/>
    <w:rsid w:val="00FC50F1"/>
    <w:rsid w:val="00FC5159"/>
    <w:rsid w:val="00FC51D4"/>
    <w:rsid w:val="00FC521B"/>
    <w:rsid w:val="00FC52AF"/>
    <w:rsid w:val="00FC5306"/>
    <w:rsid w:val="00FC54A4"/>
    <w:rsid w:val="00FC54D6"/>
    <w:rsid w:val="00FC5572"/>
    <w:rsid w:val="00FC558A"/>
    <w:rsid w:val="00FC55CC"/>
    <w:rsid w:val="00FC5627"/>
    <w:rsid w:val="00FC56AE"/>
    <w:rsid w:val="00FC56C6"/>
    <w:rsid w:val="00FC56DF"/>
    <w:rsid w:val="00FC5738"/>
    <w:rsid w:val="00FC5770"/>
    <w:rsid w:val="00FC5887"/>
    <w:rsid w:val="00FC58BC"/>
    <w:rsid w:val="00FC5B15"/>
    <w:rsid w:val="00FC5B73"/>
    <w:rsid w:val="00FC5CC5"/>
    <w:rsid w:val="00FC5CDF"/>
    <w:rsid w:val="00FC5D1E"/>
    <w:rsid w:val="00FC5DB0"/>
    <w:rsid w:val="00FC5DDA"/>
    <w:rsid w:val="00FC5E6C"/>
    <w:rsid w:val="00FC5F86"/>
    <w:rsid w:val="00FC5FAB"/>
    <w:rsid w:val="00FC60BD"/>
    <w:rsid w:val="00FC6194"/>
    <w:rsid w:val="00FC61CE"/>
    <w:rsid w:val="00FC61D4"/>
    <w:rsid w:val="00FC61DD"/>
    <w:rsid w:val="00FC625B"/>
    <w:rsid w:val="00FC6377"/>
    <w:rsid w:val="00FC638E"/>
    <w:rsid w:val="00FC63D7"/>
    <w:rsid w:val="00FC64C9"/>
    <w:rsid w:val="00FC6550"/>
    <w:rsid w:val="00FC6655"/>
    <w:rsid w:val="00FC6656"/>
    <w:rsid w:val="00FC6691"/>
    <w:rsid w:val="00FC66BC"/>
    <w:rsid w:val="00FC6713"/>
    <w:rsid w:val="00FC6792"/>
    <w:rsid w:val="00FC6799"/>
    <w:rsid w:val="00FC683F"/>
    <w:rsid w:val="00FC68CE"/>
    <w:rsid w:val="00FC697E"/>
    <w:rsid w:val="00FC6AA3"/>
    <w:rsid w:val="00FC6ACB"/>
    <w:rsid w:val="00FC6ADA"/>
    <w:rsid w:val="00FC6B45"/>
    <w:rsid w:val="00FC6C85"/>
    <w:rsid w:val="00FC6CE1"/>
    <w:rsid w:val="00FC6D54"/>
    <w:rsid w:val="00FC6DC5"/>
    <w:rsid w:val="00FC6E9C"/>
    <w:rsid w:val="00FC6EE1"/>
    <w:rsid w:val="00FC6F7E"/>
    <w:rsid w:val="00FC6FFB"/>
    <w:rsid w:val="00FC7012"/>
    <w:rsid w:val="00FC7186"/>
    <w:rsid w:val="00FC71D6"/>
    <w:rsid w:val="00FC7226"/>
    <w:rsid w:val="00FC7255"/>
    <w:rsid w:val="00FC725C"/>
    <w:rsid w:val="00FC72FD"/>
    <w:rsid w:val="00FC7332"/>
    <w:rsid w:val="00FC7384"/>
    <w:rsid w:val="00FC73AC"/>
    <w:rsid w:val="00FC73B7"/>
    <w:rsid w:val="00FC73E9"/>
    <w:rsid w:val="00FC74A3"/>
    <w:rsid w:val="00FC75B8"/>
    <w:rsid w:val="00FC75C1"/>
    <w:rsid w:val="00FC7629"/>
    <w:rsid w:val="00FC766A"/>
    <w:rsid w:val="00FC76A0"/>
    <w:rsid w:val="00FC76DE"/>
    <w:rsid w:val="00FC76F3"/>
    <w:rsid w:val="00FC78F1"/>
    <w:rsid w:val="00FC7A3F"/>
    <w:rsid w:val="00FC7A49"/>
    <w:rsid w:val="00FC7A4F"/>
    <w:rsid w:val="00FC7BF3"/>
    <w:rsid w:val="00FC7CA1"/>
    <w:rsid w:val="00FC7CB8"/>
    <w:rsid w:val="00FC7F20"/>
    <w:rsid w:val="00FD0127"/>
    <w:rsid w:val="00FD0228"/>
    <w:rsid w:val="00FD029F"/>
    <w:rsid w:val="00FD02E6"/>
    <w:rsid w:val="00FD0478"/>
    <w:rsid w:val="00FD0495"/>
    <w:rsid w:val="00FD04D8"/>
    <w:rsid w:val="00FD0605"/>
    <w:rsid w:val="00FD06A3"/>
    <w:rsid w:val="00FD06DC"/>
    <w:rsid w:val="00FD0740"/>
    <w:rsid w:val="00FD07EB"/>
    <w:rsid w:val="00FD09EB"/>
    <w:rsid w:val="00FD09FE"/>
    <w:rsid w:val="00FD0A35"/>
    <w:rsid w:val="00FD0A6B"/>
    <w:rsid w:val="00FD0AAE"/>
    <w:rsid w:val="00FD0BEB"/>
    <w:rsid w:val="00FD0C3B"/>
    <w:rsid w:val="00FD0C9E"/>
    <w:rsid w:val="00FD0D93"/>
    <w:rsid w:val="00FD0E71"/>
    <w:rsid w:val="00FD0EAA"/>
    <w:rsid w:val="00FD0F3E"/>
    <w:rsid w:val="00FD1135"/>
    <w:rsid w:val="00FD117A"/>
    <w:rsid w:val="00FD11A9"/>
    <w:rsid w:val="00FD12BE"/>
    <w:rsid w:val="00FD12FC"/>
    <w:rsid w:val="00FD130F"/>
    <w:rsid w:val="00FD13D6"/>
    <w:rsid w:val="00FD141B"/>
    <w:rsid w:val="00FD15D6"/>
    <w:rsid w:val="00FD15DF"/>
    <w:rsid w:val="00FD15F6"/>
    <w:rsid w:val="00FD175B"/>
    <w:rsid w:val="00FD1860"/>
    <w:rsid w:val="00FD1861"/>
    <w:rsid w:val="00FD18F9"/>
    <w:rsid w:val="00FD1915"/>
    <w:rsid w:val="00FD19F7"/>
    <w:rsid w:val="00FD1A38"/>
    <w:rsid w:val="00FD1AEE"/>
    <w:rsid w:val="00FD1BE9"/>
    <w:rsid w:val="00FD1BF2"/>
    <w:rsid w:val="00FD1CCC"/>
    <w:rsid w:val="00FD1D4A"/>
    <w:rsid w:val="00FD1E36"/>
    <w:rsid w:val="00FD1E66"/>
    <w:rsid w:val="00FD1E86"/>
    <w:rsid w:val="00FD1F27"/>
    <w:rsid w:val="00FD1F63"/>
    <w:rsid w:val="00FD2050"/>
    <w:rsid w:val="00FD20BC"/>
    <w:rsid w:val="00FD20D9"/>
    <w:rsid w:val="00FD217C"/>
    <w:rsid w:val="00FD2246"/>
    <w:rsid w:val="00FD2296"/>
    <w:rsid w:val="00FD256C"/>
    <w:rsid w:val="00FD263A"/>
    <w:rsid w:val="00FD2677"/>
    <w:rsid w:val="00FD26E4"/>
    <w:rsid w:val="00FD2777"/>
    <w:rsid w:val="00FD2861"/>
    <w:rsid w:val="00FD29F5"/>
    <w:rsid w:val="00FD2AA4"/>
    <w:rsid w:val="00FD2BC2"/>
    <w:rsid w:val="00FD2CB6"/>
    <w:rsid w:val="00FD2CDC"/>
    <w:rsid w:val="00FD2D37"/>
    <w:rsid w:val="00FD2E42"/>
    <w:rsid w:val="00FD2E4E"/>
    <w:rsid w:val="00FD2E98"/>
    <w:rsid w:val="00FD2EB7"/>
    <w:rsid w:val="00FD2F2C"/>
    <w:rsid w:val="00FD3037"/>
    <w:rsid w:val="00FD303F"/>
    <w:rsid w:val="00FD3366"/>
    <w:rsid w:val="00FD34C6"/>
    <w:rsid w:val="00FD353E"/>
    <w:rsid w:val="00FD3567"/>
    <w:rsid w:val="00FD3597"/>
    <w:rsid w:val="00FD35A8"/>
    <w:rsid w:val="00FD3650"/>
    <w:rsid w:val="00FD367D"/>
    <w:rsid w:val="00FD3734"/>
    <w:rsid w:val="00FD37AE"/>
    <w:rsid w:val="00FD37DC"/>
    <w:rsid w:val="00FD3846"/>
    <w:rsid w:val="00FD39DE"/>
    <w:rsid w:val="00FD39F7"/>
    <w:rsid w:val="00FD3A3F"/>
    <w:rsid w:val="00FD3AD7"/>
    <w:rsid w:val="00FD3B97"/>
    <w:rsid w:val="00FD3C6E"/>
    <w:rsid w:val="00FD3E33"/>
    <w:rsid w:val="00FD3E8C"/>
    <w:rsid w:val="00FD3F00"/>
    <w:rsid w:val="00FD3F64"/>
    <w:rsid w:val="00FD4003"/>
    <w:rsid w:val="00FD40E0"/>
    <w:rsid w:val="00FD4190"/>
    <w:rsid w:val="00FD4201"/>
    <w:rsid w:val="00FD420C"/>
    <w:rsid w:val="00FD425F"/>
    <w:rsid w:val="00FD4390"/>
    <w:rsid w:val="00FD43AF"/>
    <w:rsid w:val="00FD44E0"/>
    <w:rsid w:val="00FD451B"/>
    <w:rsid w:val="00FD4574"/>
    <w:rsid w:val="00FD4693"/>
    <w:rsid w:val="00FD46EA"/>
    <w:rsid w:val="00FD483F"/>
    <w:rsid w:val="00FD48C2"/>
    <w:rsid w:val="00FD48CE"/>
    <w:rsid w:val="00FD4A1A"/>
    <w:rsid w:val="00FD4ABA"/>
    <w:rsid w:val="00FD4B5F"/>
    <w:rsid w:val="00FD4B6F"/>
    <w:rsid w:val="00FD4C0B"/>
    <w:rsid w:val="00FD4CD3"/>
    <w:rsid w:val="00FD4D3A"/>
    <w:rsid w:val="00FD4DD0"/>
    <w:rsid w:val="00FD4DD8"/>
    <w:rsid w:val="00FD4E67"/>
    <w:rsid w:val="00FD4E73"/>
    <w:rsid w:val="00FD4EB2"/>
    <w:rsid w:val="00FD4F72"/>
    <w:rsid w:val="00FD4FE0"/>
    <w:rsid w:val="00FD5047"/>
    <w:rsid w:val="00FD513D"/>
    <w:rsid w:val="00FD51E0"/>
    <w:rsid w:val="00FD51F2"/>
    <w:rsid w:val="00FD51F5"/>
    <w:rsid w:val="00FD5211"/>
    <w:rsid w:val="00FD52E7"/>
    <w:rsid w:val="00FD5308"/>
    <w:rsid w:val="00FD5341"/>
    <w:rsid w:val="00FD539D"/>
    <w:rsid w:val="00FD5409"/>
    <w:rsid w:val="00FD571D"/>
    <w:rsid w:val="00FD5864"/>
    <w:rsid w:val="00FD5A46"/>
    <w:rsid w:val="00FD5A7C"/>
    <w:rsid w:val="00FD5AD6"/>
    <w:rsid w:val="00FD5AD9"/>
    <w:rsid w:val="00FD5B04"/>
    <w:rsid w:val="00FD5B90"/>
    <w:rsid w:val="00FD5C25"/>
    <w:rsid w:val="00FD5DA0"/>
    <w:rsid w:val="00FD5ED8"/>
    <w:rsid w:val="00FD5EFB"/>
    <w:rsid w:val="00FD5F64"/>
    <w:rsid w:val="00FD5FC7"/>
    <w:rsid w:val="00FD5FD4"/>
    <w:rsid w:val="00FD6011"/>
    <w:rsid w:val="00FD6172"/>
    <w:rsid w:val="00FD61C9"/>
    <w:rsid w:val="00FD63D7"/>
    <w:rsid w:val="00FD6493"/>
    <w:rsid w:val="00FD655F"/>
    <w:rsid w:val="00FD65BD"/>
    <w:rsid w:val="00FD65FD"/>
    <w:rsid w:val="00FD663A"/>
    <w:rsid w:val="00FD66F9"/>
    <w:rsid w:val="00FD6704"/>
    <w:rsid w:val="00FD67BD"/>
    <w:rsid w:val="00FD67EF"/>
    <w:rsid w:val="00FD68B9"/>
    <w:rsid w:val="00FD68BE"/>
    <w:rsid w:val="00FD694C"/>
    <w:rsid w:val="00FD6972"/>
    <w:rsid w:val="00FD699C"/>
    <w:rsid w:val="00FD69A7"/>
    <w:rsid w:val="00FD6A15"/>
    <w:rsid w:val="00FD6A54"/>
    <w:rsid w:val="00FD6AD5"/>
    <w:rsid w:val="00FD6B1C"/>
    <w:rsid w:val="00FD6B90"/>
    <w:rsid w:val="00FD6C0A"/>
    <w:rsid w:val="00FD6C20"/>
    <w:rsid w:val="00FD6C4E"/>
    <w:rsid w:val="00FD6C62"/>
    <w:rsid w:val="00FD6C85"/>
    <w:rsid w:val="00FD6D17"/>
    <w:rsid w:val="00FD6D1B"/>
    <w:rsid w:val="00FD6D1C"/>
    <w:rsid w:val="00FD6D58"/>
    <w:rsid w:val="00FD6D93"/>
    <w:rsid w:val="00FD6DB8"/>
    <w:rsid w:val="00FD6E64"/>
    <w:rsid w:val="00FD6E95"/>
    <w:rsid w:val="00FD6EAD"/>
    <w:rsid w:val="00FD6F59"/>
    <w:rsid w:val="00FD6F5E"/>
    <w:rsid w:val="00FD6F5F"/>
    <w:rsid w:val="00FD6FC4"/>
    <w:rsid w:val="00FD6FD3"/>
    <w:rsid w:val="00FD7105"/>
    <w:rsid w:val="00FD723B"/>
    <w:rsid w:val="00FD7264"/>
    <w:rsid w:val="00FD7307"/>
    <w:rsid w:val="00FD7336"/>
    <w:rsid w:val="00FD73EF"/>
    <w:rsid w:val="00FD74DC"/>
    <w:rsid w:val="00FD750F"/>
    <w:rsid w:val="00FD7520"/>
    <w:rsid w:val="00FD756E"/>
    <w:rsid w:val="00FD7598"/>
    <w:rsid w:val="00FD75E2"/>
    <w:rsid w:val="00FD763C"/>
    <w:rsid w:val="00FD7698"/>
    <w:rsid w:val="00FD7736"/>
    <w:rsid w:val="00FD778C"/>
    <w:rsid w:val="00FD7847"/>
    <w:rsid w:val="00FD7912"/>
    <w:rsid w:val="00FD796B"/>
    <w:rsid w:val="00FD79AC"/>
    <w:rsid w:val="00FD79D1"/>
    <w:rsid w:val="00FD7A07"/>
    <w:rsid w:val="00FD7A62"/>
    <w:rsid w:val="00FD7ACA"/>
    <w:rsid w:val="00FD7B48"/>
    <w:rsid w:val="00FD7B97"/>
    <w:rsid w:val="00FD7C65"/>
    <w:rsid w:val="00FD7C87"/>
    <w:rsid w:val="00FD7E8A"/>
    <w:rsid w:val="00FD7F6A"/>
    <w:rsid w:val="00FE006D"/>
    <w:rsid w:val="00FE007B"/>
    <w:rsid w:val="00FE010D"/>
    <w:rsid w:val="00FE0194"/>
    <w:rsid w:val="00FE01A8"/>
    <w:rsid w:val="00FE0203"/>
    <w:rsid w:val="00FE0251"/>
    <w:rsid w:val="00FE0295"/>
    <w:rsid w:val="00FE0299"/>
    <w:rsid w:val="00FE0306"/>
    <w:rsid w:val="00FE036A"/>
    <w:rsid w:val="00FE040B"/>
    <w:rsid w:val="00FE069A"/>
    <w:rsid w:val="00FE06DC"/>
    <w:rsid w:val="00FE0705"/>
    <w:rsid w:val="00FE0763"/>
    <w:rsid w:val="00FE0768"/>
    <w:rsid w:val="00FE0779"/>
    <w:rsid w:val="00FE087A"/>
    <w:rsid w:val="00FE08F6"/>
    <w:rsid w:val="00FE08FA"/>
    <w:rsid w:val="00FE0913"/>
    <w:rsid w:val="00FE09E7"/>
    <w:rsid w:val="00FE0A12"/>
    <w:rsid w:val="00FE0A3A"/>
    <w:rsid w:val="00FE0A46"/>
    <w:rsid w:val="00FE0BBA"/>
    <w:rsid w:val="00FE0C7F"/>
    <w:rsid w:val="00FE0E06"/>
    <w:rsid w:val="00FE0E6E"/>
    <w:rsid w:val="00FE0EA7"/>
    <w:rsid w:val="00FE0EB5"/>
    <w:rsid w:val="00FE0ED4"/>
    <w:rsid w:val="00FE0F20"/>
    <w:rsid w:val="00FE0F84"/>
    <w:rsid w:val="00FE0FE6"/>
    <w:rsid w:val="00FE108E"/>
    <w:rsid w:val="00FE1162"/>
    <w:rsid w:val="00FE126D"/>
    <w:rsid w:val="00FE1397"/>
    <w:rsid w:val="00FE14AA"/>
    <w:rsid w:val="00FE14B3"/>
    <w:rsid w:val="00FE15AF"/>
    <w:rsid w:val="00FE1641"/>
    <w:rsid w:val="00FE1659"/>
    <w:rsid w:val="00FE167D"/>
    <w:rsid w:val="00FE170E"/>
    <w:rsid w:val="00FE180C"/>
    <w:rsid w:val="00FE189E"/>
    <w:rsid w:val="00FE18C0"/>
    <w:rsid w:val="00FE1925"/>
    <w:rsid w:val="00FE1970"/>
    <w:rsid w:val="00FE19A4"/>
    <w:rsid w:val="00FE1BB2"/>
    <w:rsid w:val="00FE1C17"/>
    <w:rsid w:val="00FE1CA9"/>
    <w:rsid w:val="00FE1D0A"/>
    <w:rsid w:val="00FE1D15"/>
    <w:rsid w:val="00FE1D24"/>
    <w:rsid w:val="00FE1D7F"/>
    <w:rsid w:val="00FE1ECE"/>
    <w:rsid w:val="00FE1F0B"/>
    <w:rsid w:val="00FE1F22"/>
    <w:rsid w:val="00FE1F2F"/>
    <w:rsid w:val="00FE1F32"/>
    <w:rsid w:val="00FE2061"/>
    <w:rsid w:val="00FE2169"/>
    <w:rsid w:val="00FE21DB"/>
    <w:rsid w:val="00FE2201"/>
    <w:rsid w:val="00FE2219"/>
    <w:rsid w:val="00FE22AC"/>
    <w:rsid w:val="00FE2303"/>
    <w:rsid w:val="00FE2397"/>
    <w:rsid w:val="00FE23F7"/>
    <w:rsid w:val="00FE2409"/>
    <w:rsid w:val="00FE24BB"/>
    <w:rsid w:val="00FE254E"/>
    <w:rsid w:val="00FE26B5"/>
    <w:rsid w:val="00FE26BA"/>
    <w:rsid w:val="00FE2702"/>
    <w:rsid w:val="00FE2772"/>
    <w:rsid w:val="00FE27B4"/>
    <w:rsid w:val="00FE282A"/>
    <w:rsid w:val="00FE28C0"/>
    <w:rsid w:val="00FE28CC"/>
    <w:rsid w:val="00FE2923"/>
    <w:rsid w:val="00FE29BD"/>
    <w:rsid w:val="00FE29E1"/>
    <w:rsid w:val="00FE2A3C"/>
    <w:rsid w:val="00FE2B6E"/>
    <w:rsid w:val="00FE2B86"/>
    <w:rsid w:val="00FE2B92"/>
    <w:rsid w:val="00FE2D5F"/>
    <w:rsid w:val="00FE2EDB"/>
    <w:rsid w:val="00FE2EE7"/>
    <w:rsid w:val="00FE2F2E"/>
    <w:rsid w:val="00FE2F76"/>
    <w:rsid w:val="00FE3068"/>
    <w:rsid w:val="00FE30AA"/>
    <w:rsid w:val="00FE319F"/>
    <w:rsid w:val="00FE31C0"/>
    <w:rsid w:val="00FE32FF"/>
    <w:rsid w:val="00FE3452"/>
    <w:rsid w:val="00FE3542"/>
    <w:rsid w:val="00FE35C1"/>
    <w:rsid w:val="00FE35FB"/>
    <w:rsid w:val="00FE3719"/>
    <w:rsid w:val="00FE3792"/>
    <w:rsid w:val="00FE38D0"/>
    <w:rsid w:val="00FE39E1"/>
    <w:rsid w:val="00FE3A18"/>
    <w:rsid w:val="00FE3A69"/>
    <w:rsid w:val="00FE3A8E"/>
    <w:rsid w:val="00FE3B5E"/>
    <w:rsid w:val="00FE3BA5"/>
    <w:rsid w:val="00FE3C24"/>
    <w:rsid w:val="00FE3EAA"/>
    <w:rsid w:val="00FE3EAE"/>
    <w:rsid w:val="00FE3ECA"/>
    <w:rsid w:val="00FE3F01"/>
    <w:rsid w:val="00FE4021"/>
    <w:rsid w:val="00FE414C"/>
    <w:rsid w:val="00FE41B3"/>
    <w:rsid w:val="00FE41FB"/>
    <w:rsid w:val="00FE41FD"/>
    <w:rsid w:val="00FE4259"/>
    <w:rsid w:val="00FE42DC"/>
    <w:rsid w:val="00FE4350"/>
    <w:rsid w:val="00FE4436"/>
    <w:rsid w:val="00FE4457"/>
    <w:rsid w:val="00FE46C9"/>
    <w:rsid w:val="00FE46F2"/>
    <w:rsid w:val="00FE4724"/>
    <w:rsid w:val="00FE4837"/>
    <w:rsid w:val="00FE48DF"/>
    <w:rsid w:val="00FE4A27"/>
    <w:rsid w:val="00FE4A70"/>
    <w:rsid w:val="00FE4B94"/>
    <w:rsid w:val="00FE4BF7"/>
    <w:rsid w:val="00FE4C60"/>
    <w:rsid w:val="00FE4D69"/>
    <w:rsid w:val="00FE4DD7"/>
    <w:rsid w:val="00FE4DE3"/>
    <w:rsid w:val="00FE4E6B"/>
    <w:rsid w:val="00FE4EA1"/>
    <w:rsid w:val="00FE4ED8"/>
    <w:rsid w:val="00FE4EF7"/>
    <w:rsid w:val="00FE4F3D"/>
    <w:rsid w:val="00FE4F8E"/>
    <w:rsid w:val="00FE5024"/>
    <w:rsid w:val="00FE509F"/>
    <w:rsid w:val="00FE50DC"/>
    <w:rsid w:val="00FE5161"/>
    <w:rsid w:val="00FE51D6"/>
    <w:rsid w:val="00FE52D5"/>
    <w:rsid w:val="00FE5374"/>
    <w:rsid w:val="00FE5400"/>
    <w:rsid w:val="00FE5472"/>
    <w:rsid w:val="00FE547C"/>
    <w:rsid w:val="00FE551D"/>
    <w:rsid w:val="00FE557A"/>
    <w:rsid w:val="00FE5719"/>
    <w:rsid w:val="00FE571C"/>
    <w:rsid w:val="00FE577F"/>
    <w:rsid w:val="00FE579A"/>
    <w:rsid w:val="00FE57A4"/>
    <w:rsid w:val="00FE59FF"/>
    <w:rsid w:val="00FE5B19"/>
    <w:rsid w:val="00FE5C27"/>
    <w:rsid w:val="00FE5D2A"/>
    <w:rsid w:val="00FE5D96"/>
    <w:rsid w:val="00FE5DB0"/>
    <w:rsid w:val="00FE5DCE"/>
    <w:rsid w:val="00FE5E10"/>
    <w:rsid w:val="00FE5E4B"/>
    <w:rsid w:val="00FE5EA6"/>
    <w:rsid w:val="00FE5EA7"/>
    <w:rsid w:val="00FE5EB4"/>
    <w:rsid w:val="00FE5F1F"/>
    <w:rsid w:val="00FE5F24"/>
    <w:rsid w:val="00FE5FFE"/>
    <w:rsid w:val="00FE6036"/>
    <w:rsid w:val="00FE60D3"/>
    <w:rsid w:val="00FE618A"/>
    <w:rsid w:val="00FE6205"/>
    <w:rsid w:val="00FE636B"/>
    <w:rsid w:val="00FE648B"/>
    <w:rsid w:val="00FE65B6"/>
    <w:rsid w:val="00FE65F6"/>
    <w:rsid w:val="00FE66AA"/>
    <w:rsid w:val="00FE66E6"/>
    <w:rsid w:val="00FE679E"/>
    <w:rsid w:val="00FE6810"/>
    <w:rsid w:val="00FE68AD"/>
    <w:rsid w:val="00FE68F2"/>
    <w:rsid w:val="00FE6AEE"/>
    <w:rsid w:val="00FE6B3E"/>
    <w:rsid w:val="00FE6B79"/>
    <w:rsid w:val="00FE6B89"/>
    <w:rsid w:val="00FE6BEB"/>
    <w:rsid w:val="00FE6BFC"/>
    <w:rsid w:val="00FE6C65"/>
    <w:rsid w:val="00FE6C6A"/>
    <w:rsid w:val="00FE6CA7"/>
    <w:rsid w:val="00FE6F0A"/>
    <w:rsid w:val="00FE6F19"/>
    <w:rsid w:val="00FE7183"/>
    <w:rsid w:val="00FE7566"/>
    <w:rsid w:val="00FE75A2"/>
    <w:rsid w:val="00FE75E2"/>
    <w:rsid w:val="00FE75E8"/>
    <w:rsid w:val="00FE7627"/>
    <w:rsid w:val="00FE7696"/>
    <w:rsid w:val="00FE7849"/>
    <w:rsid w:val="00FE7851"/>
    <w:rsid w:val="00FE786F"/>
    <w:rsid w:val="00FE79C4"/>
    <w:rsid w:val="00FE79EF"/>
    <w:rsid w:val="00FE7A85"/>
    <w:rsid w:val="00FE7B11"/>
    <w:rsid w:val="00FE7B9F"/>
    <w:rsid w:val="00FE7C25"/>
    <w:rsid w:val="00FE7C53"/>
    <w:rsid w:val="00FE7C77"/>
    <w:rsid w:val="00FE7CF2"/>
    <w:rsid w:val="00FE7D72"/>
    <w:rsid w:val="00FE7E5A"/>
    <w:rsid w:val="00FE7EE5"/>
    <w:rsid w:val="00FE7F72"/>
    <w:rsid w:val="00FE7FB1"/>
    <w:rsid w:val="00FF0056"/>
    <w:rsid w:val="00FF014E"/>
    <w:rsid w:val="00FF016B"/>
    <w:rsid w:val="00FF01B8"/>
    <w:rsid w:val="00FF021C"/>
    <w:rsid w:val="00FF023A"/>
    <w:rsid w:val="00FF027B"/>
    <w:rsid w:val="00FF039A"/>
    <w:rsid w:val="00FF06D6"/>
    <w:rsid w:val="00FF071D"/>
    <w:rsid w:val="00FF07F2"/>
    <w:rsid w:val="00FF080B"/>
    <w:rsid w:val="00FF083B"/>
    <w:rsid w:val="00FF086E"/>
    <w:rsid w:val="00FF08E6"/>
    <w:rsid w:val="00FF092E"/>
    <w:rsid w:val="00FF0963"/>
    <w:rsid w:val="00FF09EF"/>
    <w:rsid w:val="00FF0AB1"/>
    <w:rsid w:val="00FF0AE5"/>
    <w:rsid w:val="00FF0B71"/>
    <w:rsid w:val="00FF0C65"/>
    <w:rsid w:val="00FF0C69"/>
    <w:rsid w:val="00FF0C85"/>
    <w:rsid w:val="00FF0D5C"/>
    <w:rsid w:val="00FF0D65"/>
    <w:rsid w:val="00FF0DBE"/>
    <w:rsid w:val="00FF0DF0"/>
    <w:rsid w:val="00FF1010"/>
    <w:rsid w:val="00FF1011"/>
    <w:rsid w:val="00FF111E"/>
    <w:rsid w:val="00FF1178"/>
    <w:rsid w:val="00FF132B"/>
    <w:rsid w:val="00FF1377"/>
    <w:rsid w:val="00FF13F2"/>
    <w:rsid w:val="00FF140E"/>
    <w:rsid w:val="00FF1418"/>
    <w:rsid w:val="00FF1498"/>
    <w:rsid w:val="00FF14F3"/>
    <w:rsid w:val="00FF163E"/>
    <w:rsid w:val="00FF175F"/>
    <w:rsid w:val="00FF1774"/>
    <w:rsid w:val="00FF1794"/>
    <w:rsid w:val="00FF17BD"/>
    <w:rsid w:val="00FF1895"/>
    <w:rsid w:val="00FF18FF"/>
    <w:rsid w:val="00FF1903"/>
    <w:rsid w:val="00FF1A1E"/>
    <w:rsid w:val="00FF1BE3"/>
    <w:rsid w:val="00FF1C60"/>
    <w:rsid w:val="00FF1C7A"/>
    <w:rsid w:val="00FF1CAB"/>
    <w:rsid w:val="00FF1D1B"/>
    <w:rsid w:val="00FF1D27"/>
    <w:rsid w:val="00FF1D52"/>
    <w:rsid w:val="00FF1E71"/>
    <w:rsid w:val="00FF1E8E"/>
    <w:rsid w:val="00FF1E9F"/>
    <w:rsid w:val="00FF1FAB"/>
    <w:rsid w:val="00FF2053"/>
    <w:rsid w:val="00FF2066"/>
    <w:rsid w:val="00FF2096"/>
    <w:rsid w:val="00FF20CA"/>
    <w:rsid w:val="00FF2112"/>
    <w:rsid w:val="00FF21ED"/>
    <w:rsid w:val="00FF2246"/>
    <w:rsid w:val="00FF2354"/>
    <w:rsid w:val="00FF2425"/>
    <w:rsid w:val="00FF2439"/>
    <w:rsid w:val="00FF2457"/>
    <w:rsid w:val="00FF24AD"/>
    <w:rsid w:val="00FF24D2"/>
    <w:rsid w:val="00FF24D7"/>
    <w:rsid w:val="00FF250C"/>
    <w:rsid w:val="00FF2524"/>
    <w:rsid w:val="00FF256B"/>
    <w:rsid w:val="00FF258D"/>
    <w:rsid w:val="00FF25CB"/>
    <w:rsid w:val="00FF2614"/>
    <w:rsid w:val="00FF2707"/>
    <w:rsid w:val="00FF2793"/>
    <w:rsid w:val="00FF27D8"/>
    <w:rsid w:val="00FF293E"/>
    <w:rsid w:val="00FF297C"/>
    <w:rsid w:val="00FF2BDF"/>
    <w:rsid w:val="00FF2C5F"/>
    <w:rsid w:val="00FF2E65"/>
    <w:rsid w:val="00FF2EE9"/>
    <w:rsid w:val="00FF2EFF"/>
    <w:rsid w:val="00FF306A"/>
    <w:rsid w:val="00FF3101"/>
    <w:rsid w:val="00FF313C"/>
    <w:rsid w:val="00FF316A"/>
    <w:rsid w:val="00FF321D"/>
    <w:rsid w:val="00FF32D1"/>
    <w:rsid w:val="00FF3358"/>
    <w:rsid w:val="00FF337F"/>
    <w:rsid w:val="00FF33F8"/>
    <w:rsid w:val="00FF3413"/>
    <w:rsid w:val="00FF3506"/>
    <w:rsid w:val="00FF3536"/>
    <w:rsid w:val="00FF37F1"/>
    <w:rsid w:val="00FF386D"/>
    <w:rsid w:val="00FF38E1"/>
    <w:rsid w:val="00FF38EB"/>
    <w:rsid w:val="00FF39DF"/>
    <w:rsid w:val="00FF3B1F"/>
    <w:rsid w:val="00FF3C23"/>
    <w:rsid w:val="00FF3DD2"/>
    <w:rsid w:val="00FF3E1B"/>
    <w:rsid w:val="00FF3F97"/>
    <w:rsid w:val="00FF4007"/>
    <w:rsid w:val="00FF401C"/>
    <w:rsid w:val="00FF4062"/>
    <w:rsid w:val="00FF4080"/>
    <w:rsid w:val="00FF408B"/>
    <w:rsid w:val="00FF41BF"/>
    <w:rsid w:val="00FF4200"/>
    <w:rsid w:val="00FF423E"/>
    <w:rsid w:val="00FF4349"/>
    <w:rsid w:val="00FF434E"/>
    <w:rsid w:val="00FF4379"/>
    <w:rsid w:val="00FF4397"/>
    <w:rsid w:val="00FF43C3"/>
    <w:rsid w:val="00FF43DE"/>
    <w:rsid w:val="00FF4436"/>
    <w:rsid w:val="00FF443F"/>
    <w:rsid w:val="00FF464E"/>
    <w:rsid w:val="00FF46C4"/>
    <w:rsid w:val="00FF471F"/>
    <w:rsid w:val="00FF47F0"/>
    <w:rsid w:val="00FF4872"/>
    <w:rsid w:val="00FF488B"/>
    <w:rsid w:val="00FF48BB"/>
    <w:rsid w:val="00FF48DA"/>
    <w:rsid w:val="00FF4963"/>
    <w:rsid w:val="00FF4995"/>
    <w:rsid w:val="00FF4A39"/>
    <w:rsid w:val="00FF4B5F"/>
    <w:rsid w:val="00FF4C98"/>
    <w:rsid w:val="00FF4D32"/>
    <w:rsid w:val="00FF4DE9"/>
    <w:rsid w:val="00FF4EB2"/>
    <w:rsid w:val="00FF4F34"/>
    <w:rsid w:val="00FF4F78"/>
    <w:rsid w:val="00FF4FAD"/>
    <w:rsid w:val="00FF5070"/>
    <w:rsid w:val="00FF51C2"/>
    <w:rsid w:val="00FF5256"/>
    <w:rsid w:val="00FF5533"/>
    <w:rsid w:val="00FF55E0"/>
    <w:rsid w:val="00FF5615"/>
    <w:rsid w:val="00FF5632"/>
    <w:rsid w:val="00FF5714"/>
    <w:rsid w:val="00FF5811"/>
    <w:rsid w:val="00FF5851"/>
    <w:rsid w:val="00FF5929"/>
    <w:rsid w:val="00FF5950"/>
    <w:rsid w:val="00FF59A9"/>
    <w:rsid w:val="00FF5A6D"/>
    <w:rsid w:val="00FF5B99"/>
    <w:rsid w:val="00FF5C1C"/>
    <w:rsid w:val="00FF5D55"/>
    <w:rsid w:val="00FF5E46"/>
    <w:rsid w:val="00FF5E4D"/>
    <w:rsid w:val="00FF5E86"/>
    <w:rsid w:val="00FF5E8D"/>
    <w:rsid w:val="00FF5F25"/>
    <w:rsid w:val="00FF5F4D"/>
    <w:rsid w:val="00FF5F56"/>
    <w:rsid w:val="00FF5F94"/>
    <w:rsid w:val="00FF60FD"/>
    <w:rsid w:val="00FF6107"/>
    <w:rsid w:val="00FF6119"/>
    <w:rsid w:val="00FF616C"/>
    <w:rsid w:val="00FF6286"/>
    <w:rsid w:val="00FF6297"/>
    <w:rsid w:val="00FF6341"/>
    <w:rsid w:val="00FF6368"/>
    <w:rsid w:val="00FF63D2"/>
    <w:rsid w:val="00FF6407"/>
    <w:rsid w:val="00FF640D"/>
    <w:rsid w:val="00FF650C"/>
    <w:rsid w:val="00FF67C1"/>
    <w:rsid w:val="00FF67F1"/>
    <w:rsid w:val="00FF689A"/>
    <w:rsid w:val="00FF68AD"/>
    <w:rsid w:val="00FF68D5"/>
    <w:rsid w:val="00FF6952"/>
    <w:rsid w:val="00FF69F3"/>
    <w:rsid w:val="00FF6A04"/>
    <w:rsid w:val="00FF6B28"/>
    <w:rsid w:val="00FF6BC3"/>
    <w:rsid w:val="00FF6BEE"/>
    <w:rsid w:val="00FF6CAA"/>
    <w:rsid w:val="00FF6CDA"/>
    <w:rsid w:val="00FF6D4A"/>
    <w:rsid w:val="00FF6DBE"/>
    <w:rsid w:val="00FF6DE6"/>
    <w:rsid w:val="00FF6E1A"/>
    <w:rsid w:val="00FF6F84"/>
    <w:rsid w:val="00FF6FCB"/>
    <w:rsid w:val="00FF7005"/>
    <w:rsid w:val="00FF7418"/>
    <w:rsid w:val="00FF7567"/>
    <w:rsid w:val="00FF7580"/>
    <w:rsid w:val="00FF7585"/>
    <w:rsid w:val="00FF7592"/>
    <w:rsid w:val="00FF75C2"/>
    <w:rsid w:val="00FF76C9"/>
    <w:rsid w:val="00FF777C"/>
    <w:rsid w:val="00FF778D"/>
    <w:rsid w:val="00FF7798"/>
    <w:rsid w:val="00FF77EA"/>
    <w:rsid w:val="00FF77F4"/>
    <w:rsid w:val="00FF7914"/>
    <w:rsid w:val="00FF7936"/>
    <w:rsid w:val="00FF796E"/>
    <w:rsid w:val="00FF7979"/>
    <w:rsid w:val="00FF799C"/>
    <w:rsid w:val="00FF7A68"/>
    <w:rsid w:val="00FF7B02"/>
    <w:rsid w:val="00FF7B1B"/>
    <w:rsid w:val="00FF7B79"/>
    <w:rsid w:val="00FF7C6F"/>
    <w:rsid w:val="00FF7D61"/>
    <w:rsid w:val="00FF7E63"/>
    <w:rsid w:val="00FF7F53"/>
    <w:rsid w:val="00FF7F7B"/>
    <w:rsid w:val="00FF7FAB"/>
    <w:rsid w:val="00FF7FD2"/>
    <w:rsid w:val="069B6B0C"/>
    <w:rsid w:val="06B0340B"/>
    <w:rsid w:val="06F03AAE"/>
    <w:rsid w:val="0C22CDF7"/>
    <w:rsid w:val="13DC5947"/>
    <w:rsid w:val="14766F00"/>
    <w:rsid w:val="159F53A0"/>
    <w:rsid w:val="15C3F3BA"/>
    <w:rsid w:val="16A5138D"/>
    <w:rsid w:val="16AFA897"/>
    <w:rsid w:val="19508A33"/>
    <w:rsid w:val="1C72A8BD"/>
    <w:rsid w:val="1E92D9C5"/>
    <w:rsid w:val="20575163"/>
    <w:rsid w:val="20FCC9C2"/>
    <w:rsid w:val="254AF283"/>
    <w:rsid w:val="272115B5"/>
    <w:rsid w:val="27D16961"/>
    <w:rsid w:val="2DA799CE"/>
    <w:rsid w:val="313596B2"/>
    <w:rsid w:val="35AB1D19"/>
    <w:rsid w:val="3644D84D"/>
    <w:rsid w:val="36F2E194"/>
    <w:rsid w:val="38B2DDBA"/>
    <w:rsid w:val="38EA793B"/>
    <w:rsid w:val="39D22414"/>
    <w:rsid w:val="39E5B154"/>
    <w:rsid w:val="3A9BEB34"/>
    <w:rsid w:val="3C35CE5F"/>
    <w:rsid w:val="3CAB5DC4"/>
    <w:rsid w:val="3CE24B83"/>
    <w:rsid w:val="3EA37251"/>
    <w:rsid w:val="40F3BCEB"/>
    <w:rsid w:val="42CC36A0"/>
    <w:rsid w:val="440C5DAE"/>
    <w:rsid w:val="4527D1EF"/>
    <w:rsid w:val="471BEA49"/>
    <w:rsid w:val="4A177DC1"/>
    <w:rsid w:val="4D7AA6E9"/>
    <w:rsid w:val="4F56BF61"/>
    <w:rsid w:val="4F75F2E9"/>
    <w:rsid w:val="521BBE9A"/>
    <w:rsid w:val="53414658"/>
    <w:rsid w:val="5429BB61"/>
    <w:rsid w:val="56BF3B93"/>
    <w:rsid w:val="5A2BC878"/>
    <w:rsid w:val="5A440761"/>
    <w:rsid w:val="5AAF6193"/>
    <w:rsid w:val="5F928870"/>
    <w:rsid w:val="60B5D3C3"/>
    <w:rsid w:val="60D665FE"/>
    <w:rsid w:val="61FDC6E5"/>
    <w:rsid w:val="66C32AED"/>
    <w:rsid w:val="68257C84"/>
    <w:rsid w:val="68CA8CE4"/>
    <w:rsid w:val="69F483FB"/>
    <w:rsid w:val="6A598384"/>
    <w:rsid w:val="6B0D49B1"/>
    <w:rsid w:val="6B56F500"/>
    <w:rsid w:val="70E04005"/>
    <w:rsid w:val="720F879B"/>
    <w:rsid w:val="76592607"/>
    <w:rsid w:val="77BD0956"/>
    <w:rsid w:val="7936017C"/>
    <w:rsid w:val="7A2C98CC"/>
    <w:rsid w:val="7EDDCBEB"/>
    <w:rsid w:val="7F1387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3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DDA"/>
    <w:pPr>
      <w:spacing w:before="100" w:after="200" w:line="276" w:lineRule="auto"/>
    </w:pPr>
    <w:rPr>
      <w:rFonts w:eastAsiaTheme="minorEastAsia"/>
      <w:sz w:val="20"/>
      <w:szCs w:val="20"/>
    </w:rPr>
  </w:style>
  <w:style w:type="paragraph" w:styleId="Heading1">
    <w:name w:val="heading 1"/>
    <w:basedOn w:val="Normal"/>
    <w:next w:val="Normal"/>
    <w:link w:val="Heading1Char"/>
    <w:qFormat/>
    <w:rsid w:val="00966DDA"/>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2"/>
      <w:szCs w:val="22"/>
    </w:rPr>
  </w:style>
  <w:style w:type="paragraph" w:styleId="Heading2">
    <w:name w:val="heading 2"/>
    <w:basedOn w:val="Normal"/>
    <w:next w:val="Normal"/>
    <w:link w:val="Heading2Char"/>
    <w:unhideWhenUsed/>
    <w:qFormat/>
    <w:rsid w:val="00966DDA"/>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after="0"/>
      <w:outlineLvl w:val="1"/>
    </w:pPr>
    <w:rPr>
      <w:b/>
      <w:i/>
      <w:smallCaps/>
      <w:color w:val="FFFFFF" w:themeColor="background1"/>
      <w:spacing w:val="15"/>
    </w:rPr>
  </w:style>
  <w:style w:type="paragraph" w:styleId="Heading3">
    <w:name w:val="heading 3"/>
    <w:basedOn w:val="Normal"/>
    <w:next w:val="Normal"/>
    <w:link w:val="Heading3Char"/>
    <w:unhideWhenUsed/>
    <w:qFormat/>
    <w:rsid w:val="00966DDA"/>
    <w:pPr>
      <w:keepNext/>
      <w:pBdr>
        <w:top w:val="single" w:sz="6" w:space="1" w:color="002C47" w:themeColor="accent1"/>
      </w:pBdr>
      <w:spacing w:before="300" w:after="0"/>
      <w:outlineLvl w:val="2"/>
    </w:pPr>
    <w:rPr>
      <w:b/>
      <w:smallCaps/>
      <w:color w:val="002C47" w:themeColor="accent1"/>
      <w:spacing w:val="15"/>
    </w:rPr>
  </w:style>
  <w:style w:type="paragraph" w:styleId="Heading4">
    <w:name w:val="heading 4"/>
    <w:basedOn w:val="Normal"/>
    <w:next w:val="Normal"/>
    <w:link w:val="Heading4Char"/>
    <w:unhideWhenUsed/>
    <w:qFormat/>
    <w:rsid w:val="00966DDA"/>
    <w:pPr>
      <w:pBdr>
        <w:top w:val="dotted" w:sz="6" w:space="1" w:color="002C47" w:themeColor="accent1"/>
      </w:pBdr>
      <w:spacing w:before="200" w:after="0"/>
      <w:outlineLvl w:val="3"/>
    </w:pPr>
    <w:rPr>
      <w:b/>
      <w:smallCaps/>
      <w:color w:val="002C47" w:themeColor="accent1"/>
      <w:spacing w:val="10"/>
    </w:rPr>
  </w:style>
  <w:style w:type="paragraph" w:styleId="Heading5">
    <w:name w:val="heading 5"/>
    <w:basedOn w:val="Normal"/>
    <w:next w:val="Normal"/>
    <w:link w:val="Heading5Char"/>
    <w:unhideWhenUsed/>
    <w:qFormat/>
    <w:rsid w:val="00966DDA"/>
    <w:pPr>
      <w:keepNext/>
      <w:pBdr>
        <w:bottom w:val="single" w:sz="6" w:space="1" w:color="002C47" w:themeColor="accent1"/>
      </w:pBdr>
      <w:spacing w:before="200" w:after="0"/>
      <w:outlineLvl w:val="4"/>
    </w:pPr>
    <w:rPr>
      <w:i/>
      <w:smallCaps/>
      <w:color w:val="002C47" w:themeColor="accent1"/>
      <w:spacing w:val="10"/>
    </w:rPr>
  </w:style>
  <w:style w:type="paragraph" w:styleId="Heading6">
    <w:name w:val="heading 6"/>
    <w:basedOn w:val="Normal"/>
    <w:next w:val="Normal"/>
    <w:link w:val="Heading6Char"/>
    <w:unhideWhenUsed/>
    <w:qFormat/>
    <w:rsid w:val="00966DDA"/>
    <w:pPr>
      <w:pBdr>
        <w:bottom w:val="dotted" w:sz="6" w:space="1" w:color="002C47" w:themeColor="accent1"/>
      </w:pBdr>
      <w:spacing w:before="200" w:after="0"/>
      <w:outlineLvl w:val="5"/>
    </w:pPr>
    <w:rPr>
      <w:i/>
      <w:smallCaps/>
      <w:color w:val="002C47" w:themeColor="accent1"/>
      <w:spacing w:val="10"/>
    </w:rPr>
  </w:style>
  <w:style w:type="paragraph" w:styleId="Heading7">
    <w:name w:val="heading 7"/>
    <w:basedOn w:val="Normal"/>
    <w:next w:val="Normal"/>
    <w:link w:val="Heading7Char"/>
    <w:uiPriority w:val="9"/>
    <w:unhideWhenUsed/>
    <w:qFormat/>
    <w:rsid w:val="00966DDA"/>
    <w:pPr>
      <w:spacing w:after="0"/>
      <w:outlineLvl w:val="6"/>
    </w:pPr>
    <w:rPr>
      <w:b/>
      <w:i/>
      <w:color w:val="002C47" w:themeColor="accent1"/>
    </w:rPr>
  </w:style>
  <w:style w:type="paragraph" w:styleId="Heading8">
    <w:name w:val="heading 8"/>
    <w:basedOn w:val="TableMainHeading"/>
    <w:next w:val="Normal"/>
    <w:link w:val="Heading8Char"/>
    <w:uiPriority w:val="9"/>
    <w:unhideWhenUsed/>
    <w:qFormat/>
    <w:rsid w:val="00966DDA"/>
    <w:pPr>
      <w:numPr>
        <w:numId w:val="13"/>
      </w:numPr>
      <w:ind w:left="993" w:hanging="993"/>
    </w:pPr>
    <w:rPr>
      <w:bCs/>
    </w:rPr>
  </w:style>
  <w:style w:type="paragraph" w:styleId="Heading9">
    <w:name w:val="heading 9"/>
    <w:basedOn w:val="ChartMainHeading"/>
    <w:next w:val="Normal"/>
    <w:link w:val="Heading9Char"/>
    <w:uiPriority w:val="9"/>
    <w:unhideWhenUsed/>
    <w:qFormat/>
    <w:rsid w:val="00966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6DDA"/>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966DDA"/>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966DDA"/>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966DDA"/>
    <w:rPr>
      <w:rFonts w:eastAsiaTheme="minorEastAsia"/>
      <w:b/>
      <w:smallCaps/>
      <w:color w:val="002C47" w:themeColor="accent1"/>
      <w:spacing w:val="10"/>
      <w:sz w:val="20"/>
      <w:szCs w:val="20"/>
    </w:rPr>
  </w:style>
  <w:style w:type="character" w:customStyle="1" w:styleId="Heading5Char">
    <w:name w:val="Heading 5 Char"/>
    <w:basedOn w:val="DefaultParagraphFont"/>
    <w:link w:val="Heading5"/>
    <w:rsid w:val="00966DDA"/>
    <w:rPr>
      <w:rFonts w:eastAsiaTheme="minorEastAsia"/>
      <w:i/>
      <w:smallCaps/>
      <w:color w:val="002C47" w:themeColor="accent1"/>
      <w:spacing w:val="10"/>
      <w:sz w:val="20"/>
      <w:szCs w:val="20"/>
    </w:rPr>
  </w:style>
  <w:style w:type="character" w:customStyle="1" w:styleId="Heading6Char">
    <w:name w:val="Heading 6 Char"/>
    <w:basedOn w:val="DefaultParagraphFont"/>
    <w:link w:val="Heading6"/>
    <w:rsid w:val="00966DDA"/>
    <w:rPr>
      <w:rFonts w:eastAsiaTheme="minorEastAsia"/>
      <w:i/>
      <w:smallCaps/>
      <w:color w:val="002C47" w:themeColor="accent1"/>
      <w:spacing w:val="10"/>
      <w:sz w:val="20"/>
      <w:szCs w:val="20"/>
    </w:rPr>
  </w:style>
  <w:style w:type="paragraph" w:customStyle="1" w:styleId="ChartGraphic">
    <w:name w:val="Chart Graphic"/>
    <w:basedOn w:val="Normal"/>
    <w:next w:val="Normal"/>
    <w:rsid w:val="00966DDA"/>
    <w:pPr>
      <w:keepNext/>
      <w:spacing w:before="0" w:after="0"/>
      <w:jc w:val="center"/>
    </w:pPr>
    <w:rPr>
      <w:color w:val="004A7F"/>
    </w:rPr>
  </w:style>
  <w:style w:type="paragraph" w:customStyle="1" w:styleId="AlphaParagraph">
    <w:name w:val="Alpha Paragraph"/>
    <w:basedOn w:val="Normal"/>
    <w:rsid w:val="00966DDA"/>
    <w:pPr>
      <w:numPr>
        <w:ilvl w:val="1"/>
        <w:numId w:val="8"/>
      </w:numPr>
      <w:spacing w:before="0"/>
    </w:pPr>
  </w:style>
  <w:style w:type="paragraph" w:customStyle="1" w:styleId="BoxBullet">
    <w:name w:val="Box Bullet"/>
    <w:basedOn w:val="Normal"/>
    <w:link w:val="BoxBulletChar"/>
    <w:rsid w:val="00966DDA"/>
    <w:pPr>
      <w:numPr>
        <w:numId w:val="1"/>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966DDA"/>
    <w:pPr>
      <w:numPr>
        <w:ilvl w:val="1"/>
        <w:numId w:val="1"/>
      </w:numPr>
      <w:spacing w:before="40" w:after="40"/>
      <w:jc w:val="both"/>
    </w:pPr>
    <w:rPr>
      <w:rFonts w:cs="Times New Roman"/>
      <w:bdr w:val="none" w:sz="0" w:space="0" w:color="auto" w:frame="1"/>
      <w:lang w:eastAsia="en-AU"/>
    </w:rPr>
  </w:style>
  <w:style w:type="paragraph" w:customStyle="1" w:styleId="BoxDoubleDot">
    <w:name w:val="Box Double Dot"/>
    <w:basedOn w:val="Normal"/>
    <w:rsid w:val="00966DDA"/>
    <w:pPr>
      <w:numPr>
        <w:ilvl w:val="2"/>
        <w:numId w:val="1"/>
      </w:numPr>
      <w:spacing w:before="0"/>
    </w:pPr>
  </w:style>
  <w:style w:type="paragraph" w:customStyle="1" w:styleId="BoxHeading">
    <w:name w:val="Box Heading"/>
    <w:basedOn w:val="Heading3"/>
    <w:next w:val="BoxText"/>
    <w:qFormat/>
    <w:rsid w:val="00966DDA"/>
    <w:pPr>
      <w:numPr>
        <w:numId w:val="12"/>
      </w:numPr>
      <w:tabs>
        <w:tab w:val="left" w:pos="1134"/>
      </w:tabs>
      <w:spacing w:before="240"/>
      <w:ind w:left="0" w:firstLine="0"/>
      <w:jc w:val="both"/>
    </w:pPr>
    <w:rPr>
      <w:rFonts w:asciiTheme="majorHAnsi" w:hAnsiTheme="majorHAnsi" w:cstheme="majorHAnsi"/>
      <w:sz w:val="26"/>
      <w:szCs w:val="26"/>
      <w:lang w:eastAsia="en-AU"/>
    </w:rPr>
  </w:style>
  <w:style w:type="paragraph" w:customStyle="1" w:styleId="BoxText">
    <w:name w:val="Box Text"/>
    <w:basedOn w:val="Normal"/>
    <w:link w:val="BoxTextChar"/>
    <w:rsid w:val="00966DDA"/>
    <w:pPr>
      <w:jc w:val="both"/>
    </w:pPr>
    <w:rPr>
      <w:rFonts w:cstheme="minorHAnsi"/>
      <w:lang w:eastAsia="en-AU"/>
    </w:rPr>
  </w:style>
  <w:style w:type="paragraph" w:customStyle="1" w:styleId="Normalbullet">
    <w:name w:val="Normal bullet"/>
    <w:basedOn w:val="Normal"/>
    <w:link w:val="NormalbulletChar"/>
    <w:qFormat/>
    <w:rsid w:val="00966DDA"/>
    <w:pPr>
      <w:numPr>
        <w:numId w:val="2"/>
      </w:numPr>
      <w:spacing w:before="0"/>
    </w:pPr>
  </w:style>
  <w:style w:type="paragraph" w:customStyle="1" w:styleId="ChartandTableFootnoteAlpha">
    <w:name w:val="Chart and Table Footnote Alpha"/>
    <w:rsid w:val="00966DDA"/>
    <w:pPr>
      <w:numPr>
        <w:numId w:val="3"/>
      </w:numPr>
      <w:spacing w:before="100"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Normal"/>
    <w:next w:val="ChartGraphic"/>
    <w:rsid w:val="00872A2E"/>
    <w:pPr>
      <w:keepNext/>
      <w:numPr>
        <w:numId w:val="11"/>
      </w:numPr>
      <w:pBdr>
        <w:top w:val="dashed" w:sz="4" w:space="1" w:color="002C47" w:themeColor="accent1"/>
      </w:pBdr>
      <w:tabs>
        <w:tab w:val="left" w:pos="993"/>
      </w:tabs>
      <w:spacing w:before="120" w:after="120" w:line="240" w:lineRule="auto"/>
      <w:ind w:left="357" w:hanging="357"/>
      <w:outlineLvl w:val="8"/>
    </w:pPr>
    <w:rPr>
      <w:b/>
      <w:smallCaps/>
      <w:color w:val="002C47" w:themeColor="accent1"/>
      <w:spacing w:val="15"/>
    </w:rPr>
  </w:style>
  <w:style w:type="paragraph" w:customStyle="1" w:styleId="ChartorTableNote">
    <w:name w:val="Chart or Table Note"/>
    <w:next w:val="Normal"/>
    <w:rsid w:val="00966DDA"/>
    <w:pPr>
      <w:spacing w:before="100"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66DDA"/>
    <w:rPr>
      <w:color w:val="277F98" w:themeColor="accent6"/>
    </w:rPr>
  </w:style>
  <w:style w:type="paragraph" w:customStyle="1" w:styleId="ReportDate">
    <w:name w:val="Report Date"/>
    <w:basedOn w:val="Normal"/>
    <w:link w:val="ReportDateChar"/>
    <w:rsid w:val="00966DDA"/>
    <w:pPr>
      <w:keepNext/>
      <w:spacing w:before="0" w:after="360"/>
    </w:pPr>
    <w:rPr>
      <w:color w:val="FFFFFF" w:themeColor="background1"/>
      <w:sz w:val="44"/>
    </w:rPr>
  </w:style>
  <w:style w:type="paragraph" w:customStyle="1" w:styleId="Normaldash">
    <w:name w:val="Normal dash"/>
    <w:basedOn w:val="Normal"/>
    <w:link w:val="NormaldashChar"/>
    <w:qFormat/>
    <w:rsid w:val="00966DDA"/>
    <w:pPr>
      <w:numPr>
        <w:ilvl w:val="1"/>
        <w:numId w:val="2"/>
      </w:numPr>
      <w:spacing w:before="0"/>
    </w:pPr>
  </w:style>
  <w:style w:type="paragraph" w:customStyle="1" w:styleId="Normaldoubledot">
    <w:name w:val="Normal double dot"/>
    <w:basedOn w:val="Normal"/>
    <w:qFormat/>
    <w:rsid w:val="00966DDA"/>
    <w:pPr>
      <w:numPr>
        <w:ilvl w:val="2"/>
        <w:numId w:val="2"/>
      </w:numPr>
      <w:spacing w:before="0"/>
    </w:pPr>
  </w:style>
  <w:style w:type="paragraph" w:customStyle="1" w:styleId="TableMainHeading">
    <w:name w:val="Table Main Heading"/>
    <w:basedOn w:val="Normal"/>
    <w:next w:val="Normal"/>
    <w:rsid w:val="00966DDA"/>
    <w:pPr>
      <w:keepNext/>
      <w:numPr>
        <w:numId w:val="10"/>
      </w:numPr>
      <w:pBdr>
        <w:top w:val="dashed" w:sz="4" w:space="1" w:color="002C47" w:themeColor="accent1"/>
      </w:pBdr>
      <w:tabs>
        <w:tab w:val="left" w:pos="993"/>
      </w:tabs>
      <w:spacing w:before="120" w:after="120" w:line="240" w:lineRule="auto"/>
      <w:ind w:left="992" w:hanging="992"/>
      <w:outlineLvl w:val="7"/>
    </w:pPr>
    <w:rPr>
      <w:b/>
      <w:smallCaps/>
      <w:color w:val="002C47" w:themeColor="accent1"/>
      <w:spacing w:val="15"/>
    </w:rPr>
  </w:style>
  <w:style w:type="paragraph" w:customStyle="1" w:styleId="FooterEven">
    <w:name w:val="Footer Even"/>
    <w:basedOn w:val="Footer"/>
    <w:rsid w:val="00966DDA"/>
    <w:pPr>
      <w:keepNext/>
      <w:tabs>
        <w:tab w:val="clear" w:pos="4513"/>
        <w:tab w:val="clear" w:pos="9026"/>
      </w:tabs>
      <w:jc w:val="left"/>
    </w:pPr>
    <w:rPr>
      <w:noProof/>
      <w:color w:val="002C47" w:themeColor="accent1"/>
    </w:rPr>
  </w:style>
  <w:style w:type="paragraph" w:customStyle="1" w:styleId="FooterOdd">
    <w:name w:val="Footer Odd"/>
    <w:basedOn w:val="Footer"/>
    <w:rsid w:val="00966DDA"/>
    <w:pPr>
      <w:keepNext/>
      <w:tabs>
        <w:tab w:val="clear" w:pos="4513"/>
        <w:tab w:val="clear" w:pos="9026"/>
      </w:tabs>
      <w:jc w:val="right"/>
    </w:pPr>
    <w:rPr>
      <w:color w:val="002C47" w:themeColor="accent1"/>
    </w:rPr>
  </w:style>
  <w:style w:type="character" w:styleId="Hyperlink">
    <w:name w:val="Hyperlink"/>
    <w:basedOn w:val="DefaultParagraphFont"/>
    <w:uiPriority w:val="99"/>
    <w:rsid w:val="00966DDA"/>
    <w:rPr>
      <w:color w:val="0563C1"/>
      <w:u w:val="none"/>
    </w:rPr>
  </w:style>
  <w:style w:type="paragraph" w:customStyle="1" w:styleId="OutlineNumbered1">
    <w:name w:val="Outline Numbered 1"/>
    <w:basedOn w:val="Normal"/>
    <w:rsid w:val="00966DDA"/>
    <w:pPr>
      <w:numPr>
        <w:numId w:val="5"/>
      </w:numPr>
      <w:spacing w:before="0"/>
    </w:pPr>
  </w:style>
  <w:style w:type="paragraph" w:customStyle="1" w:styleId="OneLevelNumberedParagraph">
    <w:name w:val="One Level Numbered Paragraph"/>
    <w:basedOn w:val="Normal"/>
    <w:rsid w:val="00966DDA"/>
    <w:pPr>
      <w:numPr>
        <w:numId w:val="4"/>
      </w:numPr>
      <w:spacing w:before="0"/>
    </w:pPr>
  </w:style>
  <w:style w:type="paragraph" w:customStyle="1" w:styleId="OutlineNumbered2">
    <w:name w:val="Outline Numbered 2"/>
    <w:basedOn w:val="Normal"/>
    <w:rsid w:val="00966DDA"/>
    <w:pPr>
      <w:numPr>
        <w:ilvl w:val="1"/>
        <w:numId w:val="5"/>
      </w:numPr>
      <w:spacing w:before="0"/>
    </w:pPr>
  </w:style>
  <w:style w:type="paragraph" w:customStyle="1" w:styleId="OutlineNumbered3">
    <w:name w:val="Outline Numbered 3"/>
    <w:basedOn w:val="Normal"/>
    <w:rsid w:val="00966DDA"/>
    <w:pPr>
      <w:numPr>
        <w:ilvl w:val="2"/>
        <w:numId w:val="5"/>
      </w:numPr>
      <w:spacing w:before="0"/>
    </w:pPr>
  </w:style>
  <w:style w:type="paragraph" w:customStyle="1" w:styleId="Romannumeral">
    <w:name w:val="Roman numeral"/>
    <w:basedOn w:val="Normal"/>
    <w:rsid w:val="00966DDA"/>
    <w:pPr>
      <w:numPr>
        <w:numId w:val="8"/>
      </w:numPr>
      <w:tabs>
        <w:tab w:val="clear" w:pos="720"/>
        <w:tab w:val="num" w:pos="851"/>
      </w:tabs>
      <w:spacing w:before="0"/>
    </w:pPr>
  </w:style>
  <w:style w:type="paragraph" w:customStyle="1" w:styleId="SingleParagraph">
    <w:name w:val="Single Paragraph"/>
    <w:basedOn w:val="Normal"/>
    <w:link w:val="SingleParagraphChar"/>
    <w:rsid w:val="00966DDA"/>
    <w:pPr>
      <w:spacing w:before="0" w:after="0"/>
    </w:pPr>
  </w:style>
  <w:style w:type="paragraph" w:customStyle="1" w:styleId="TableSecondHeading">
    <w:name w:val="Table Second Heading"/>
    <w:basedOn w:val="Normal"/>
    <w:next w:val="Normal"/>
    <w:qFormat/>
    <w:rsid w:val="00966DDA"/>
    <w:pPr>
      <w:keepNext/>
      <w:spacing w:before="40" w:after="40"/>
      <w:jc w:val="right"/>
    </w:pPr>
    <w:rPr>
      <w:rFonts w:cs="Times New Roman"/>
      <w:b/>
      <w:smallCaps/>
      <w:color w:val="002C47" w:themeColor="accent1"/>
      <w:bdr w:val="none" w:sz="0" w:space="0" w:color="auto" w:frame="1"/>
      <w:lang w:eastAsia="en-AU"/>
    </w:rPr>
  </w:style>
  <w:style w:type="paragraph" w:customStyle="1" w:styleId="TableColumnHeadingCentred">
    <w:name w:val="Table Column Heading Centred"/>
    <w:basedOn w:val="TableTextLeft"/>
    <w:rsid w:val="00966DDA"/>
    <w:pPr>
      <w:jc w:val="center"/>
    </w:pPr>
    <w:rPr>
      <w:b/>
      <w:color w:val="004A7F"/>
    </w:rPr>
  </w:style>
  <w:style w:type="paragraph" w:customStyle="1" w:styleId="TableColumnHeadingLeft">
    <w:name w:val="Table Column Heading Left"/>
    <w:basedOn w:val="TableTextLeft"/>
    <w:rsid w:val="00966DDA"/>
    <w:rPr>
      <w:b/>
      <w:color w:val="004A7F"/>
    </w:rPr>
  </w:style>
  <w:style w:type="paragraph" w:customStyle="1" w:styleId="TableColumnHeadingRight">
    <w:name w:val="Table Column Heading Right"/>
    <w:basedOn w:val="TableTextLeft"/>
    <w:rsid w:val="00966DDA"/>
    <w:pPr>
      <w:jc w:val="right"/>
    </w:pPr>
    <w:rPr>
      <w:b/>
      <w:color w:val="004A7F"/>
    </w:rPr>
  </w:style>
  <w:style w:type="table" w:styleId="TableGrid">
    <w:name w:val="Table Grid"/>
    <w:basedOn w:val="TableNormal"/>
    <w:uiPriority w:val="39"/>
    <w:rsid w:val="00966DDA"/>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966DDA"/>
    <w:pPr>
      <w:jc w:val="center"/>
    </w:pPr>
  </w:style>
  <w:style w:type="paragraph" w:customStyle="1" w:styleId="TableTextLeft">
    <w:name w:val="Table Text Left"/>
    <w:basedOn w:val="TableTextRight"/>
    <w:rsid w:val="00966DDA"/>
    <w:pPr>
      <w:jc w:val="left"/>
    </w:pPr>
    <w:rPr>
      <w:rFonts w:cs="Times New Roman"/>
      <w:bdr w:val="none" w:sz="0" w:space="0" w:color="auto" w:frame="1"/>
      <w:lang w:eastAsia="en-AU"/>
    </w:rPr>
  </w:style>
  <w:style w:type="paragraph" w:customStyle="1" w:styleId="TableTextRight">
    <w:name w:val="Table Text Right"/>
    <w:basedOn w:val="Normal"/>
    <w:rsid w:val="00966DDA"/>
    <w:pPr>
      <w:spacing w:before="40" w:after="40"/>
      <w:jc w:val="right"/>
    </w:pPr>
    <w:rPr>
      <w:color w:val="000000"/>
    </w:rPr>
  </w:style>
  <w:style w:type="paragraph" w:styleId="TOC1">
    <w:name w:val="toc 1"/>
    <w:basedOn w:val="Normal"/>
    <w:next w:val="Normal"/>
    <w:uiPriority w:val="39"/>
    <w:rsid w:val="00966DDA"/>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966DDA"/>
    <w:pPr>
      <w:keepNext/>
      <w:tabs>
        <w:tab w:val="right" w:leader="dot" w:pos="9072"/>
      </w:tabs>
      <w:spacing w:before="40" w:after="20"/>
      <w:ind w:left="142" w:right="-2"/>
    </w:pPr>
    <w:rPr>
      <w:noProof/>
      <w:color w:val="000000" w:themeColor="text1"/>
    </w:rPr>
  </w:style>
  <w:style w:type="paragraph" w:styleId="TOC3">
    <w:name w:val="toc 3"/>
    <w:basedOn w:val="Normal"/>
    <w:next w:val="Normal"/>
    <w:uiPriority w:val="39"/>
    <w:rsid w:val="00966DDA"/>
    <w:pPr>
      <w:tabs>
        <w:tab w:val="right" w:leader="dot" w:pos="9072"/>
      </w:tabs>
      <w:spacing w:before="20" w:after="0"/>
      <w:ind w:left="284" w:right="-2"/>
    </w:pPr>
    <w:rPr>
      <w:rFonts w:cs="Calibri"/>
      <w:noProof/>
      <w:color w:val="000000" w:themeColor="text1"/>
    </w:rPr>
  </w:style>
  <w:style w:type="numbering" w:customStyle="1" w:styleId="OutlineList">
    <w:name w:val="OutlineList"/>
    <w:uiPriority w:val="99"/>
    <w:rsid w:val="00966DDA"/>
    <w:pPr>
      <w:numPr>
        <w:numId w:val="5"/>
      </w:numPr>
    </w:pPr>
  </w:style>
  <w:style w:type="numbering" w:customStyle="1" w:styleId="BulletedList">
    <w:name w:val="Bulleted List"/>
    <w:uiPriority w:val="99"/>
    <w:rsid w:val="00966DDA"/>
    <w:pPr>
      <w:numPr>
        <w:numId w:val="2"/>
      </w:numPr>
    </w:pPr>
  </w:style>
  <w:style w:type="numbering" w:customStyle="1" w:styleId="BoxBulletedList">
    <w:name w:val="Box Bulleted List"/>
    <w:uiPriority w:val="99"/>
    <w:rsid w:val="00966DDA"/>
    <w:pPr>
      <w:numPr>
        <w:numId w:val="1"/>
      </w:numPr>
    </w:pPr>
  </w:style>
  <w:style w:type="numbering" w:customStyle="1" w:styleId="OneLevelList">
    <w:name w:val="OneLevelList"/>
    <w:uiPriority w:val="99"/>
    <w:rsid w:val="00966DDA"/>
    <w:pPr>
      <w:numPr>
        <w:numId w:val="4"/>
      </w:numPr>
    </w:pPr>
  </w:style>
  <w:style w:type="numbering" w:customStyle="1" w:styleId="ChartandTableFootnoteAlphaList">
    <w:name w:val="ChartandTableFootnoteAlphaList"/>
    <w:uiPriority w:val="99"/>
    <w:rsid w:val="00966DDA"/>
    <w:pPr>
      <w:numPr>
        <w:numId w:val="3"/>
      </w:numPr>
    </w:pPr>
  </w:style>
  <w:style w:type="paragraph" w:customStyle="1" w:styleId="Crest">
    <w:name w:val="Crest"/>
    <w:basedOn w:val="Header"/>
    <w:rsid w:val="00966DDA"/>
    <w:pPr>
      <w:spacing w:after="480"/>
      <w:jc w:val="center"/>
    </w:pPr>
    <w:rPr>
      <w:color w:val="000000" w:themeColor="text1"/>
    </w:rPr>
  </w:style>
  <w:style w:type="paragraph" w:customStyle="1" w:styleId="Heading1Numbered">
    <w:name w:val="Heading 1 Numbered"/>
    <w:basedOn w:val="Heading1"/>
    <w:next w:val="Normal"/>
    <w:rsid w:val="00966DDA"/>
    <w:pPr>
      <w:numPr>
        <w:numId w:val="17"/>
      </w:numPr>
    </w:pPr>
  </w:style>
  <w:style w:type="character" w:customStyle="1" w:styleId="SingleParagraphChar">
    <w:name w:val="Single Paragraph Char"/>
    <w:basedOn w:val="DefaultParagraphFont"/>
    <w:link w:val="SingleParagraph"/>
    <w:rsid w:val="00966DDA"/>
    <w:rPr>
      <w:rFonts w:eastAsiaTheme="minorEastAsia"/>
      <w:sz w:val="20"/>
      <w:szCs w:val="20"/>
    </w:rPr>
  </w:style>
  <w:style w:type="paragraph" w:customStyle="1" w:styleId="Heading2Numbered">
    <w:name w:val="Heading 2 Numbered"/>
    <w:basedOn w:val="Heading2"/>
    <w:next w:val="Normal"/>
    <w:rsid w:val="00966DDA"/>
    <w:pPr>
      <w:numPr>
        <w:ilvl w:val="1"/>
        <w:numId w:val="17"/>
      </w:numPr>
      <w:ind w:left="357" w:hanging="357"/>
    </w:pPr>
  </w:style>
  <w:style w:type="paragraph" w:customStyle="1" w:styleId="Heading3Numbered">
    <w:name w:val="Heading 3 Numbered"/>
    <w:basedOn w:val="Heading3"/>
    <w:qFormat/>
    <w:rsid w:val="00966DDA"/>
    <w:pPr>
      <w:numPr>
        <w:ilvl w:val="2"/>
        <w:numId w:val="17"/>
      </w:numPr>
      <w:ind w:left="0" w:firstLine="0"/>
    </w:pPr>
  </w:style>
  <w:style w:type="paragraph" w:styleId="Title">
    <w:name w:val="Title"/>
    <w:basedOn w:val="Normal"/>
    <w:next w:val="Normal"/>
    <w:link w:val="TitleChar"/>
    <w:uiPriority w:val="10"/>
    <w:qFormat/>
    <w:rsid w:val="00966DDA"/>
    <w:pPr>
      <w:spacing w:before="0" w:after="0"/>
    </w:pPr>
    <w:rPr>
      <w:rFonts w:asciiTheme="majorHAnsi" w:eastAsiaTheme="majorEastAsia" w:hAnsiTheme="majorHAnsi" w:cstheme="majorBidi"/>
      <w:b/>
      <w:caps/>
      <w:color w:val="FFFFFF" w:themeColor="background1"/>
      <w:spacing w:val="10"/>
      <w:sz w:val="44"/>
      <w:szCs w:val="52"/>
    </w:rPr>
  </w:style>
  <w:style w:type="character" w:customStyle="1" w:styleId="TitleChar">
    <w:name w:val="Title Char"/>
    <w:basedOn w:val="DefaultParagraphFont"/>
    <w:link w:val="Title"/>
    <w:uiPriority w:val="10"/>
    <w:rsid w:val="00966DDA"/>
    <w:rPr>
      <w:rFonts w:asciiTheme="majorHAnsi" w:eastAsiaTheme="majorEastAsia" w:hAnsiTheme="majorHAnsi" w:cstheme="majorBidi"/>
      <w:b/>
      <w:caps/>
      <w:color w:val="FFFFFF" w:themeColor="background1"/>
      <w:spacing w:val="10"/>
      <w:sz w:val="44"/>
      <w:szCs w:val="52"/>
    </w:rPr>
  </w:style>
  <w:style w:type="paragraph" w:styleId="Subtitle">
    <w:name w:val="Subtitle"/>
    <w:basedOn w:val="Normal"/>
    <w:next w:val="Normal"/>
    <w:link w:val="SubtitleChar"/>
    <w:uiPriority w:val="11"/>
    <w:rsid w:val="00966DDA"/>
    <w:pPr>
      <w:spacing w:before="0" w:after="500" w:line="240" w:lineRule="auto"/>
    </w:pPr>
    <w:rPr>
      <w:caps/>
      <w:color w:val="FFFFFF" w:themeColor="background1"/>
      <w:spacing w:val="10"/>
      <w:sz w:val="21"/>
      <w:szCs w:val="21"/>
    </w:rPr>
  </w:style>
  <w:style w:type="character" w:customStyle="1" w:styleId="SubtitleChar">
    <w:name w:val="Subtitle Char"/>
    <w:basedOn w:val="DefaultParagraphFont"/>
    <w:link w:val="Subtitle"/>
    <w:uiPriority w:val="11"/>
    <w:rsid w:val="00966DDA"/>
    <w:rPr>
      <w:rFonts w:eastAsiaTheme="minorEastAsia"/>
      <w:caps/>
      <w:color w:val="FFFFFF" w:themeColor="background1"/>
      <w:spacing w:val="10"/>
      <w:sz w:val="21"/>
      <w:szCs w:val="21"/>
    </w:rPr>
  </w:style>
  <w:style w:type="character" w:styleId="SubtleEmphasis">
    <w:name w:val="Subtle Emphasis"/>
    <w:uiPriority w:val="19"/>
    <w:rsid w:val="00966DDA"/>
    <w:rPr>
      <w:i/>
      <w:iCs/>
      <w:color w:val="001523" w:themeColor="accent1" w:themeShade="7F"/>
    </w:rPr>
  </w:style>
  <w:style w:type="paragraph" w:styleId="Footer">
    <w:name w:val="footer"/>
    <w:basedOn w:val="Normal"/>
    <w:link w:val="FooterChar"/>
    <w:unhideWhenUsed/>
    <w:rsid w:val="00966DDA"/>
    <w:pPr>
      <w:tabs>
        <w:tab w:val="center" w:pos="4513"/>
        <w:tab w:val="right" w:pos="9026"/>
      </w:tabs>
      <w:spacing w:before="0" w:after="0"/>
      <w:jc w:val="center"/>
    </w:pPr>
    <w:rPr>
      <w:color w:val="002C47"/>
    </w:rPr>
  </w:style>
  <w:style w:type="character" w:customStyle="1" w:styleId="FooterChar">
    <w:name w:val="Footer Char"/>
    <w:basedOn w:val="DefaultParagraphFont"/>
    <w:link w:val="Footer"/>
    <w:rsid w:val="00966DDA"/>
    <w:rPr>
      <w:rFonts w:eastAsiaTheme="minorEastAsia"/>
      <w:color w:val="002C47"/>
      <w:sz w:val="20"/>
      <w:szCs w:val="20"/>
    </w:rPr>
  </w:style>
  <w:style w:type="paragraph" w:styleId="Header">
    <w:name w:val="header"/>
    <w:basedOn w:val="Normal"/>
    <w:link w:val="HeaderChar"/>
    <w:uiPriority w:val="99"/>
    <w:unhideWhenUsed/>
    <w:rsid w:val="00966DDA"/>
    <w:pPr>
      <w:keepNext/>
      <w:spacing w:before="0" w:after="0"/>
      <w:jc w:val="right"/>
    </w:pPr>
    <w:rPr>
      <w:color w:val="004A7F"/>
    </w:rPr>
  </w:style>
  <w:style w:type="character" w:customStyle="1" w:styleId="HeaderChar">
    <w:name w:val="Header Char"/>
    <w:basedOn w:val="DefaultParagraphFont"/>
    <w:link w:val="Header"/>
    <w:uiPriority w:val="99"/>
    <w:rsid w:val="00966DDA"/>
    <w:rPr>
      <w:rFonts w:eastAsiaTheme="minorEastAsia"/>
      <w:color w:val="004A7F"/>
      <w:sz w:val="20"/>
      <w:szCs w:val="20"/>
    </w:rPr>
  </w:style>
  <w:style w:type="character" w:styleId="PlaceholderText">
    <w:name w:val="Placeholder Text"/>
    <w:basedOn w:val="DefaultParagraphFont"/>
    <w:uiPriority w:val="99"/>
    <w:semiHidden/>
    <w:rsid w:val="00966DDA"/>
    <w:rPr>
      <w:color w:val="808080"/>
    </w:rPr>
  </w:style>
  <w:style w:type="paragraph" w:customStyle="1" w:styleId="AppendixHeading">
    <w:name w:val="Appendix Heading"/>
    <w:basedOn w:val="Normal"/>
    <w:next w:val="Normal"/>
    <w:rsid w:val="00966DDA"/>
    <w:pPr>
      <w:keepNext/>
      <w:spacing w:before="720" w:after="360"/>
    </w:pPr>
    <w:rPr>
      <w:rFonts w:ascii="Arial Bold" w:hAnsi="Arial Bold"/>
      <w:b/>
      <w:smallCaps/>
      <w:color w:val="004A7F"/>
      <w:sz w:val="36"/>
      <w:szCs w:val="36"/>
    </w:rPr>
  </w:style>
  <w:style w:type="paragraph" w:customStyle="1" w:styleId="HeadingBase">
    <w:name w:val="Heading Base"/>
    <w:rsid w:val="00966DDA"/>
    <w:pPr>
      <w:keepNext/>
      <w:spacing w:before="100"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966DDA"/>
    <w:rPr>
      <w:rFonts w:eastAsiaTheme="minorEastAsia"/>
      <w:color w:val="FFFFFF" w:themeColor="background1"/>
      <w:sz w:val="44"/>
      <w:szCs w:val="20"/>
    </w:rPr>
  </w:style>
  <w:style w:type="paragraph" w:customStyle="1" w:styleId="Disclaimer">
    <w:name w:val="Disclaimer"/>
    <w:basedOn w:val="ReportDate"/>
    <w:rsid w:val="00966DDA"/>
    <w:pPr>
      <w:spacing w:after="1800"/>
      <w:ind w:right="142"/>
    </w:pPr>
    <w:rPr>
      <w:rFonts w:ascii="Century Gothic" w:hAnsi="Century Gothic"/>
      <w:b/>
      <w:bCs/>
      <w:color w:val="38AFCF" w:themeColor="text2"/>
      <w:sz w:val="22"/>
    </w:rPr>
  </w:style>
  <w:style w:type="paragraph" w:customStyle="1" w:styleId="NotesHeading">
    <w:name w:val="Notes Heading"/>
    <w:basedOn w:val="Normal"/>
    <w:rsid w:val="00966DDA"/>
    <w:pPr>
      <w:keepNext/>
      <w:spacing w:before="240" w:after="360"/>
      <w:jc w:val="center"/>
    </w:pPr>
    <w:rPr>
      <w:rFonts w:ascii="Century Gothic" w:hAnsi="Century Gothic"/>
      <w:smallCaps/>
      <w:color w:val="38AFCF" w:themeColor="text2"/>
      <w:sz w:val="36"/>
      <w:szCs w:val="36"/>
    </w:rPr>
  </w:style>
  <w:style w:type="paragraph" w:customStyle="1" w:styleId="Divider">
    <w:name w:val="Divider"/>
    <w:basedOn w:val="ReportDate"/>
    <w:rsid w:val="00966DDA"/>
    <w:pPr>
      <w:spacing w:after="1800"/>
    </w:pPr>
    <w:rPr>
      <w:rFonts w:ascii="Rockwell" w:hAnsi="Rockwell"/>
      <w:sz w:val="24"/>
    </w:rPr>
  </w:style>
  <w:style w:type="character" w:customStyle="1" w:styleId="FramedFooter">
    <w:name w:val="Framed Footer"/>
    <w:rsid w:val="00966DDA"/>
    <w:rPr>
      <w:rFonts w:ascii="Arial" w:hAnsi="Arial"/>
      <w:color w:val="002C47"/>
      <w:sz w:val="18"/>
    </w:rPr>
  </w:style>
  <w:style w:type="character" w:customStyle="1" w:styleId="FramedHeader">
    <w:name w:val="Framed Header"/>
    <w:basedOn w:val="DefaultParagraphFont"/>
    <w:rsid w:val="00966DDA"/>
    <w:rPr>
      <w:rFonts w:ascii="Arial" w:hAnsi="Arial"/>
      <w:dstrike w:val="0"/>
      <w:color w:val="auto"/>
      <w:sz w:val="18"/>
      <w:vertAlign w:val="baseline"/>
    </w:rPr>
  </w:style>
  <w:style w:type="paragraph" w:customStyle="1" w:styleId="TableTextIndented">
    <w:name w:val="Table Text Indented"/>
    <w:basedOn w:val="TableTextLeft"/>
    <w:rsid w:val="00966DDA"/>
    <w:pPr>
      <w:ind w:left="284"/>
    </w:pPr>
  </w:style>
  <w:style w:type="paragraph" w:customStyle="1" w:styleId="TableHeadingContinued">
    <w:name w:val="Table Heading Continued"/>
    <w:basedOn w:val="TableMainHeading"/>
    <w:next w:val="TableGraphic"/>
    <w:qFormat/>
    <w:rsid w:val="00966DDA"/>
    <w:pPr>
      <w:numPr>
        <w:numId w:val="9"/>
      </w:numPr>
    </w:pPr>
  </w:style>
  <w:style w:type="paragraph" w:customStyle="1" w:styleId="TableGraphic">
    <w:name w:val="Table Graphic"/>
    <w:basedOn w:val="HeadingBase"/>
    <w:next w:val="Normal"/>
    <w:rsid w:val="00966DDA"/>
    <w:pPr>
      <w:spacing w:after="0"/>
    </w:pPr>
    <w:rPr>
      <w:color w:val="auto"/>
      <w:sz w:val="22"/>
    </w:rPr>
  </w:style>
  <w:style w:type="paragraph" w:customStyle="1" w:styleId="HeaderEven">
    <w:name w:val="Header Even"/>
    <w:basedOn w:val="Header"/>
    <w:rsid w:val="00966DDA"/>
    <w:pPr>
      <w:jc w:val="left"/>
    </w:pPr>
    <w:rPr>
      <w:color w:val="002C47" w:themeColor="accent1"/>
    </w:rPr>
  </w:style>
  <w:style w:type="paragraph" w:customStyle="1" w:styleId="HeaderOdd">
    <w:name w:val="Header Odd"/>
    <w:basedOn w:val="Header"/>
    <w:rsid w:val="00966DDA"/>
    <w:rPr>
      <w:color w:val="002C47" w:themeColor="accent1"/>
    </w:rPr>
  </w:style>
  <w:style w:type="paragraph" w:styleId="FootnoteText">
    <w:name w:val="footnote text"/>
    <w:basedOn w:val="CommentText"/>
    <w:link w:val="FootnoteTextChar"/>
    <w:uiPriority w:val="99"/>
    <w:rsid w:val="00966DDA"/>
    <w:pPr>
      <w:tabs>
        <w:tab w:val="left" w:pos="284"/>
      </w:tabs>
      <w:spacing w:after="0"/>
      <w:ind w:left="284" w:hanging="284"/>
    </w:pPr>
  </w:style>
  <w:style w:type="character" w:customStyle="1" w:styleId="FootnoteTextChar">
    <w:name w:val="Footnote Text Char"/>
    <w:basedOn w:val="DefaultParagraphFont"/>
    <w:link w:val="FootnoteText"/>
    <w:uiPriority w:val="99"/>
    <w:rsid w:val="00966DDA"/>
    <w:rPr>
      <w:rFonts w:eastAsiaTheme="minorEastAsia"/>
      <w:sz w:val="20"/>
      <w:szCs w:val="20"/>
    </w:rPr>
  </w:style>
  <w:style w:type="character" w:styleId="FootnoteReference">
    <w:name w:val="footnote reference"/>
    <w:basedOn w:val="DefaultParagraphFont"/>
    <w:uiPriority w:val="99"/>
    <w:rsid w:val="00966DDA"/>
    <w:rPr>
      <w:rFonts w:ascii="Calibri" w:hAnsi="Calibri"/>
      <w:sz w:val="20"/>
      <w:vertAlign w:val="superscript"/>
    </w:rPr>
  </w:style>
  <w:style w:type="paragraph" w:styleId="BalloonText">
    <w:name w:val="Balloon Text"/>
    <w:basedOn w:val="Normal"/>
    <w:link w:val="BalloonTextChar"/>
    <w:uiPriority w:val="99"/>
    <w:semiHidden/>
    <w:unhideWhenUsed/>
    <w:rsid w:val="00966DD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DDA"/>
    <w:rPr>
      <w:rFonts w:ascii="Tahoma" w:eastAsiaTheme="minorEastAsia" w:hAnsi="Tahoma" w:cs="Tahoma"/>
      <w:sz w:val="16"/>
      <w:szCs w:val="16"/>
    </w:rPr>
  </w:style>
  <w:style w:type="paragraph" w:styleId="NoSpacing">
    <w:name w:val="No Spacing"/>
    <w:link w:val="NoSpacingChar"/>
    <w:uiPriority w:val="1"/>
    <w:rsid w:val="00966DDA"/>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966DDA"/>
    <w:rPr>
      <w:rFonts w:eastAsiaTheme="minorEastAsia"/>
      <w:sz w:val="20"/>
      <w:szCs w:val="20"/>
    </w:rPr>
  </w:style>
  <w:style w:type="character" w:styleId="CommentReference">
    <w:name w:val="annotation reference"/>
    <w:basedOn w:val="DefaultParagraphFont"/>
    <w:uiPriority w:val="99"/>
    <w:semiHidden/>
    <w:unhideWhenUsed/>
    <w:rsid w:val="00966DDA"/>
    <w:rPr>
      <w:sz w:val="16"/>
      <w:szCs w:val="16"/>
    </w:rPr>
  </w:style>
  <w:style w:type="paragraph" w:styleId="CommentText">
    <w:name w:val="annotation text"/>
    <w:basedOn w:val="Normal"/>
    <w:link w:val="CommentTextChar"/>
    <w:uiPriority w:val="99"/>
    <w:unhideWhenUsed/>
    <w:rsid w:val="00966DDA"/>
  </w:style>
  <w:style w:type="character" w:customStyle="1" w:styleId="CommentTextChar">
    <w:name w:val="Comment Text Char"/>
    <w:basedOn w:val="DefaultParagraphFont"/>
    <w:link w:val="CommentText"/>
    <w:uiPriority w:val="99"/>
    <w:rsid w:val="00966DDA"/>
    <w:rPr>
      <w:rFonts w:eastAsiaTheme="minorEastAsia"/>
      <w:sz w:val="20"/>
      <w:szCs w:val="20"/>
    </w:rPr>
  </w:style>
  <w:style w:type="paragraph" w:customStyle="1" w:styleId="PreparedBy">
    <w:name w:val="PreparedBy"/>
    <w:basedOn w:val="Subtitle"/>
    <w:qFormat/>
    <w:rsid w:val="00966DDA"/>
  </w:style>
  <w:style w:type="character" w:styleId="BookTitle">
    <w:name w:val="Book Title"/>
    <w:uiPriority w:val="33"/>
    <w:rsid w:val="00966DDA"/>
    <w:rPr>
      <w:b/>
      <w:bCs/>
      <w:i/>
      <w:iCs/>
      <w:spacing w:val="0"/>
    </w:rPr>
  </w:style>
  <w:style w:type="character" w:customStyle="1" w:styleId="NormalbulletChar">
    <w:name w:val="Normal bullet Char"/>
    <w:basedOn w:val="DefaultParagraphFont"/>
    <w:link w:val="Normalbullet"/>
    <w:locked/>
    <w:rsid w:val="00966DDA"/>
    <w:rPr>
      <w:rFonts w:eastAsiaTheme="minorEastAsia"/>
      <w:sz w:val="20"/>
      <w:szCs w:val="20"/>
    </w:rPr>
  </w:style>
  <w:style w:type="paragraph" w:styleId="Caption">
    <w:name w:val="caption"/>
    <w:basedOn w:val="Normal"/>
    <w:next w:val="Normal"/>
    <w:uiPriority w:val="35"/>
    <w:unhideWhenUsed/>
    <w:qFormat/>
    <w:rsid w:val="00966DDA"/>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966DDA"/>
    <w:rPr>
      <w:b/>
      <w:bCs/>
    </w:rPr>
  </w:style>
  <w:style w:type="character" w:customStyle="1" w:styleId="CommentSubjectChar">
    <w:name w:val="Comment Subject Char"/>
    <w:basedOn w:val="CommentTextChar"/>
    <w:link w:val="CommentSubject"/>
    <w:uiPriority w:val="99"/>
    <w:semiHidden/>
    <w:rsid w:val="00966DDA"/>
    <w:rPr>
      <w:rFonts w:eastAsiaTheme="minorEastAsia"/>
      <w:b/>
      <w:bCs/>
      <w:sz w:val="20"/>
      <w:szCs w:val="20"/>
    </w:rPr>
  </w:style>
  <w:style w:type="character" w:customStyle="1" w:styleId="NormaldashChar">
    <w:name w:val="Normal dash Char"/>
    <w:basedOn w:val="DefaultParagraphFont"/>
    <w:link w:val="Normaldash"/>
    <w:locked/>
    <w:rsid w:val="00966DDA"/>
    <w:rPr>
      <w:rFonts w:eastAsiaTheme="minorEastAsia"/>
      <w:sz w:val="20"/>
      <w:szCs w:val="20"/>
    </w:rPr>
  </w:style>
  <w:style w:type="paragraph" w:customStyle="1" w:styleId="Default">
    <w:name w:val="Default"/>
    <w:rsid w:val="00966DDA"/>
    <w:pPr>
      <w:autoSpaceDE w:val="0"/>
      <w:autoSpaceDN w:val="0"/>
      <w:adjustRightInd w:val="0"/>
      <w:spacing w:before="100" w:after="0" w:line="240" w:lineRule="auto"/>
    </w:pPr>
    <w:rPr>
      <w:rFonts w:ascii="Palatino" w:eastAsia="Times New Roman" w:hAnsi="Palatino" w:cs="Palatino"/>
      <w:color w:val="000000"/>
      <w:sz w:val="24"/>
      <w:szCs w:val="24"/>
      <w:lang w:val="en-US"/>
    </w:rPr>
  </w:style>
  <w:style w:type="character" w:styleId="Emphasis">
    <w:name w:val="Emphasis"/>
    <w:uiPriority w:val="20"/>
    <w:rsid w:val="00966DDA"/>
    <w:rPr>
      <w:caps/>
      <w:color w:val="001523" w:themeColor="accent1" w:themeShade="7F"/>
      <w:spacing w:val="5"/>
    </w:rPr>
  </w:style>
  <w:style w:type="character" w:customStyle="1" w:styleId="Heading7Char">
    <w:name w:val="Heading 7 Char"/>
    <w:basedOn w:val="DefaultParagraphFont"/>
    <w:link w:val="Heading7"/>
    <w:uiPriority w:val="9"/>
    <w:rsid w:val="00966DDA"/>
    <w:rPr>
      <w:rFonts w:eastAsiaTheme="minorEastAsia"/>
      <w:b/>
      <w:i/>
      <w:color w:val="002C47" w:themeColor="accent1"/>
      <w:sz w:val="20"/>
      <w:szCs w:val="20"/>
    </w:rPr>
  </w:style>
  <w:style w:type="character" w:customStyle="1" w:styleId="Heading8Char">
    <w:name w:val="Heading 8 Char"/>
    <w:basedOn w:val="DefaultParagraphFont"/>
    <w:link w:val="Heading8"/>
    <w:uiPriority w:val="9"/>
    <w:rsid w:val="00966DDA"/>
    <w:rPr>
      <w:rFonts w:eastAsiaTheme="minorEastAsia"/>
      <w:b/>
      <w:bCs/>
      <w:smallCaps/>
      <w:color w:val="002C47" w:themeColor="accent1"/>
      <w:spacing w:val="15"/>
      <w:sz w:val="20"/>
      <w:szCs w:val="20"/>
    </w:rPr>
  </w:style>
  <w:style w:type="character" w:customStyle="1" w:styleId="Heading9Char">
    <w:name w:val="Heading 9 Char"/>
    <w:basedOn w:val="DefaultParagraphFont"/>
    <w:link w:val="Heading9"/>
    <w:uiPriority w:val="9"/>
    <w:rsid w:val="00966DDA"/>
    <w:rPr>
      <w:rFonts w:eastAsiaTheme="minorEastAsia"/>
      <w:b/>
      <w:smallCaps/>
      <w:color w:val="002C47" w:themeColor="accent1"/>
      <w:spacing w:val="15"/>
      <w:sz w:val="20"/>
      <w:szCs w:val="20"/>
    </w:rPr>
  </w:style>
  <w:style w:type="character" w:styleId="IntenseEmphasis">
    <w:name w:val="Intense Emphasis"/>
    <w:uiPriority w:val="21"/>
    <w:rsid w:val="00966DDA"/>
    <w:rPr>
      <w:b/>
      <w:bCs/>
      <w:caps/>
      <w:color w:val="001523" w:themeColor="accent1" w:themeShade="7F"/>
      <w:spacing w:val="10"/>
    </w:rPr>
  </w:style>
  <w:style w:type="paragraph" w:styleId="IntenseQuote">
    <w:name w:val="Intense Quote"/>
    <w:basedOn w:val="Normal"/>
    <w:next w:val="Normal"/>
    <w:link w:val="IntenseQuoteChar"/>
    <w:uiPriority w:val="30"/>
    <w:rsid w:val="00966DDA"/>
    <w:pPr>
      <w:spacing w:before="240" w:after="240" w:line="240" w:lineRule="auto"/>
      <w:ind w:left="1080" w:right="1080"/>
      <w:jc w:val="center"/>
    </w:pPr>
    <w:rPr>
      <w:color w:val="002C47" w:themeColor="accent1"/>
      <w:sz w:val="24"/>
      <w:szCs w:val="24"/>
    </w:rPr>
  </w:style>
  <w:style w:type="character" w:customStyle="1" w:styleId="IntenseQuoteChar">
    <w:name w:val="Intense Quote Char"/>
    <w:basedOn w:val="DefaultParagraphFont"/>
    <w:link w:val="IntenseQuote"/>
    <w:uiPriority w:val="30"/>
    <w:rsid w:val="00966DDA"/>
    <w:rPr>
      <w:rFonts w:eastAsiaTheme="minorEastAsia"/>
      <w:color w:val="002C47" w:themeColor="accent1"/>
      <w:sz w:val="24"/>
      <w:szCs w:val="24"/>
    </w:rPr>
  </w:style>
  <w:style w:type="character" w:styleId="IntenseReference">
    <w:name w:val="Intense Reference"/>
    <w:uiPriority w:val="32"/>
    <w:rsid w:val="00966DDA"/>
    <w:rPr>
      <w:b/>
      <w:bCs/>
      <w:i/>
      <w:iCs/>
      <w:caps/>
      <w:color w:val="002C47" w:themeColor="accent1"/>
    </w:rPr>
  </w:style>
  <w:style w:type="paragraph" w:styleId="ListParagraph">
    <w:name w:val="List Paragraph"/>
    <w:basedOn w:val="Normal"/>
    <w:uiPriority w:val="34"/>
    <w:rsid w:val="00966DDA"/>
    <w:pPr>
      <w:ind w:left="720"/>
      <w:contextualSpacing/>
    </w:pPr>
  </w:style>
  <w:style w:type="paragraph" w:styleId="NormalWeb">
    <w:name w:val="Normal (Web)"/>
    <w:basedOn w:val="Normal"/>
    <w:uiPriority w:val="99"/>
    <w:unhideWhenUsed/>
    <w:rsid w:val="00966DDA"/>
    <w:pPr>
      <w:spacing w:beforeAutospacing="1" w:after="100" w:afterAutospacing="1"/>
    </w:pPr>
    <w:rPr>
      <w:rFonts w:ascii="Times New Roman" w:hAnsi="Times New Roman"/>
      <w:sz w:val="24"/>
      <w:szCs w:val="24"/>
    </w:rPr>
  </w:style>
  <w:style w:type="paragraph" w:styleId="Quote">
    <w:name w:val="Quote"/>
    <w:basedOn w:val="Normal"/>
    <w:next w:val="Normal"/>
    <w:link w:val="QuoteChar"/>
    <w:uiPriority w:val="29"/>
    <w:rsid w:val="00966DDA"/>
    <w:rPr>
      <w:i/>
      <w:iCs/>
      <w:sz w:val="24"/>
      <w:szCs w:val="24"/>
    </w:rPr>
  </w:style>
  <w:style w:type="character" w:customStyle="1" w:styleId="QuoteChar">
    <w:name w:val="Quote Char"/>
    <w:basedOn w:val="DefaultParagraphFont"/>
    <w:link w:val="Quote"/>
    <w:uiPriority w:val="29"/>
    <w:rsid w:val="00966DDA"/>
    <w:rPr>
      <w:rFonts w:eastAsiaTheme="minorEastAsia"/>
      <w:i/>
      <w:iCs/>
      <w:sz w:val="24"/>
      <w:szCs w:val="24"/>
    </w:rPr>
  </w:style>
  <w:style w:type="character" w:styleId="Strong">
    <w:name w:val="Strong"/>
    <w:uiPriority w:val="22"/>
    <w:rsid w:val="00966DDA"/>
    <w:rPr>
      <w:b/>
      <w:bCs/>
    </w:rPr>
  </w:style>
  <w:style w:type="character" w:styleId="SubtleReference">
    <w:name w:val="Subtle Reference"/>
    <w:uiPriority w:val="31"/>
    <w:rsid w:val="00966DDA"/>
    <w:rPr>
      <w:b/>
      <w:bCs/>
      <w:color w:val="002C47" w:themeColor="accent1"/>
    </w:rPr>
  </w:style>
  <w:style w:type="paragraph" w:styleId="TOCHeading">
    <w:name w:val="TOC Heading"/>
    <w:basedOn w:val="Heading1"/>
    <w:next w:val="Normal"/>
    <w:uiPriority w:val="39"/>
    <w:unhideWhenUsed/>
    <w:qFormat/>
    <w:rsid w:val="00966DDA"/>
    <w:pPr>
      <w:outlineLvl w:val="9"/>
    </w:pPr>
  </w:style>
  <w:style w:type="character" w:customStyle="1" w:styleId="value">
    <w:name w:val="value"/>
    <w:basedOn w:val="DefaultParagraphFont"/>
    <w:rsid w:val="00966DDA"/>
  </w:style>
  <w:style w:type="paragraph" w:styleId="BodyText">
    <w:name w:val="Body Text"/>
    <w:basedOn w:val="Normal"/>
    <w:link w:val="BodyTextChar"/>
    <w:uiPriority w:val="99"/>
    <w:semiHidden/>
    <w:unhideWhenUsed/>
    <w:rsid w:val="00966DDA"/>
    <w:pPr>
      <w:spacing w:after="120"/>
    </w:pPr>
  </w:style>
  <w:style w:type="character" w:customStyle="1" w:styleId="BodyTextChar">
    <w:name w:val="Body Text Char"/>
    <w:basedOn w:val="DefaultParagraphFont"/>
    <w:link w:val="BodyText"/>
    <w:uiPriority w:val="99"/>
    <w:semiHidden/>
    <w:rsid w:val="00966DDA"/>
    <w:rPr>
      <w:rFonts w:eastAsiaTheme="minorEastAsia"/>
      <w:sz w:val="20"/>
      <w:szCs w:val="20"/>
    </w:rPr>
  </w:style>
  <w:style w:type="character" w:customStyle="1" w:styleId="BoxBulletChar">
    <w:name w:val="Box Bullet Char"/>
    <w:basedOn w:val="DefaultParagraphFont"/>
    <w:link w:val="BoxBullet"/>
    <w:rsid w:val="00966DDA"/>
    <w:rPr>
      <w:rFonts w:eastAsiaTheme="minorEastAsia" w:cs="Times New Roman"/>
      <w:sz w:val="20"/>
      <w:szCs w:val="20"/>
      <w:bdr w:val="none" w:sz="0" w:space="0" w:color="auto" w:frame="1"/>
      <w:lang w:eastAsia="en-AU"/>
    </w:rPr>
  </w:style>
  <w:style w:type="character" w:customStyle="1" w:styleId="BoxDashChar">
    <w:name w:val="Box Dash Char"/>
    <w:basedOn w:val="DefaultParagraphFont"/>
    <w:link w:val="BoxDash"/>
    <w:rsid w:val="00966DDA"/>
    <w:rPr>
      <w:rFonts w:eastAsiaTheme="minorEastAsia" w:cs="Times New Roman"/>
      <w:sz w:val="20"/>
      <w:szCs w:val="20"/>
      <w:bdr w:val="none" w:sz="0" w:space="0" w:color="auto" w:frame="1"/>
      <w:lang w:eastAsia="en-AU"/>
    </w:rPr>
  </w:style>
  <w:style w:type="paragraph" w:customStyle="1" w:styleId="Source">
    <w:name w:val="Source"/>
    <w:basedOn w:val="Normaldash"/>
    <w:link w:val="SourceChar"/>
    <w:qFormat/>
    <w:rsid w:val="00966DDA"/>
    <w:pPr>
      <w:numPr>
        <w:ilvl w:val="0"/>
        <w:numId w:val="0"/>
      </w:numPr>
      <w:pBdr>
        <w:bottom w:val="dashed" w:sz="4" w:space="1" w:color="002C47" w:themeColor="accent1"/>
      </w:pBdr>
      <w:tabs>
        <w:tab w:val="left" w:pos="0"/>
      </w:tabs>
      <w:spacing w:before="40"/>
    </w:pPr>
    <w:rPr>
      <w:sz w:val="18"/>
      <w:bdr w:val="none" w:sz="0" w:space="0" w:color="auto" w:frame="1"/>
    </w:rPr>
  </w:style>
  <w:style w:type="character" w:customStyle="1" w:styleId="SourceChar">
    <w:name w:val="Source Char"/>
    <w:basedOn w:val="NormaldashChar"/>
    <w:link w:val="Source"/>
    <w:rsid w:val="00966DDA"/>
    <w:rPr>
      <w:rFonts w:eastAsiaTheme="minorEastAsia"/>
      <w:sz w:val="18"/>
      <w:szCs w:val="20"/>
      <w:bdr w:val="none" w:sz="0" w:space="0" w:color="auto" w:frame="1"/>
    </w:rPr>
  </w:style>
  <w:style w:type="paragraph" w:customStyle="1" w:styleId="Tabledash">
    <w:name w:val="Table dash"/>
    <w:basedOn w:val="BoxDash"/>
    <w:link w:val="TabledashChar"/>
    <w:qFormat/>
    <w:rsid w:val="00966DDA"/>
    <w:pPr>
      <w:tabs>
        <w:tab w:val="clear" w:pos="567"/>
        <w:tab w:val="num" w:pos="283"/>
      </w:tabs>
      <w:ind w:left="568" w:hanging="283"/>
    </w:pPr>
  </w:style>
  <w:style w:type="character" w:customStyle="1" w:styleId="TabledashChar">
    <w:name w:val="Table dash Char"/>
    <w:basedOn w:val="BoxDashChar"/>
    <w:link w:val="Tabledash"/>
    <w:rsid w:val="00966DDA"/>
    <w:rPr>
      <w:rFonts w:eastAsiaTheme="minorEastAsia" w:cs="Times New Roman"/>
      <w:sz w:val="20"/>
      <w:szCs w:val="20"/>
      <w:bdr w:val="none" w:sz="0" w:space="0" w:color="auto" w:frame="1"/>
      <w:lang w:eastAsia="en-AU"/>
    </w:rPr>
  </w:style>
  <w:style w:type="paragraph" w:customStyle="1" w:styleId="Tabledot">
    <w:name w:val="Table dot"/>
    <w:basedOn w:val="BoxBullet"/>
    <w:link w:val="TabledotChar"/>
    <w:qFormat/>
    <w:rsid w:val="00966DDA"/>
    <w:pPr>
      <w:numPr>
        <w:numId w:val="0"/>
      </w:numPr>
    </w:pPr>
  </w:style>
  <w:style w:type="character" w:customStyle="1" w:styleId="TabledotChar">
    <w:name w:val="Table dot Char"/>
    <w:basedOn w:val="BoxBulletChar"/>
    <w:link w:val="Tabledot"/>
    <w:rsid w:val="00966DDA"/>
    <w:rPr>
      <w:rFonts w:eastAsiaTheme="minorEastAsia" w:cs="Times New Roman"/>
      <w:sz w:val="20"/>
      <w:szCs w:val="20"/>
      <w:bdr w:val="none" w:sz="0" w:space="0" w:color="auto" w:frame="1"/>
      <w:lang w:eastAsia="en-AU"/>
    </w:rPr>
  </w:style>
  <w:style w:type="table" w:customStyle="1" w:styleId="CPOPTable">
    <w:name w:val="CPOP Table"/>
    <w:basedOn w:val="TableNormal"/>
    <w:uiPriority w:val="99"/>
    <w:rsid w:val="00966DDA"/>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character" w:styleId="UnresolvedMention">
    <w:name w:val="Unresolved Mention"/>
    <w:basedOn w:val="DefaultParagraphFont"/>
    <w:uiPriority w:val="99"/>
    <w:semiHidden/>
    <w:unhideWhenUsed/>
    <w:rsid w:val="00476121"/>
    <w:rPr>
      <w:color w:val="605E5C"/>
      <w:shd w:val="clear" w:color="auto" w:fill="E1DFDD"/>
    </w:rPr>
  </w:style>
  <w:style w:type="character" w:styleId="FollowedHyperlink">
    <w:name w:val="FollowedHyperlink"/>
    <w:basedOn w:val="DefaultParagraphFont"/>
    <w:uiPriority w:val="99"/>
    <w:semiHidden/>
    <w:unhideWhenUsed/>
    <w:rsid w:val="00476121"/>
    <w:rPr>
      <w:color w:val="954F72" w:themeColor="followedHyperlink"/>
      <w:u w:val="single"/>
    </w:rPr>
  </w:style>
  <w:style w:type="paragraph" w:customStyle="1" w:styleId="Bullet">
    <w:name w:val="Bullet"/>
    <w:aliases w:val="b,b + line,b1,Body,Bullet + line,level 1,BodyNum"/>
    <w:basedOn w:val="Normal"/>
    <w:link w:val="BulletChar"/>
    <w:qFormat/>
    <w:rsid w:val="00247581"/>
    <w:pPr>
      <w:numPr>
        <w:numId w:val="14"/>
      </w:numPr>
    </w:pPr>
  </w:style>
  <w:style w:type="character" w:customStyle="1" w:styleId="BulletChar">
    <w:name w:val="Bullet Char"/>
    <w:aliases w:val="b + line Char Char,b Char,b Char Char,Body Char,Bullet + line Char,b + line Char,b1 Char,level 1 Char,Number Char,Bullets Char,L Char,List Paragraph Char,List Paragraph1 Char,List Paragraph11 Char,Recommendation Char,List Paragraph2 Char"/>
    <w:basedOn w:val="DefaultParagraphFont"/>
    <w:link w:val="Bullet"/>
    <w:qFormat/>
    <w:rsid w:val="00247581"/>
    <w:rPr>
      <w:rFonts w:eastAsiaTheme="minorEastAsia"/>
      <w:sz w:val="20"/>
      <w:szCs w:val="20"/>
    </w:rPr>
  </w:style>
  <w:style w:type="paragraph" w:customStyle="1" w:styleId="Dash">
    <w:name w:val="Dash"/>
    <w:basedOn w:val="Normal"/>
    <w:link w:val="DashChar"/>
    <w:qFormat/>
    <w:rsid w:val="00247581"/>
    <w:pPr>
      <w:numPr>
        <w:ilvl w:val="1"/>
        <w:numId w:val="14"/>
      </w:numPr>
    </w:pPr>
  </w:style>
  <w:style w:type="paragraph" w:customStyle="1" w:styleId="DoubleDot">
    <w:name w:val="Double Dot"/>
    <w:basedOn w:val="Normal"/>
    <w:link w:val="DoubleDotChar"/>
    <w:qFormat/>
    <w:rsid w:val="00247581"/>
    <w:pPr>
      <w:numPr>
        <w:ilvl w:val="2"/>
        <w:numId w:val="14"/>
      </w:numPr>
    </w:pPr>
  </w:style>
  <w:style w:type="character" w:customStyle="1" w:styleId="DashChar">
    <w:name w:val="Dash Char"/>
    <w:basedOn w:val="DefaultParagraphFont"/>
    <w:link w:val="Dash"/>
    <w:rsid w:val="00DF5365"/>
    <w:rPr>
      <w:rFonts w:eastAsiaTheme="minorEastAsia"/>
      <w:sz w:val="20"/>
      <w:szCs w:val="20"/>
    </w:rPr>
  </w:style>
  <w:style w:type="character" w:customStyle="1" w:styleId="BoxTextChar">
    <w:name w:val="Box Text Char"/>
    <w:basedOn w:val="DefaultParagraphFont"/>
    <w:link w:val="BoxText"/>
    <w:rsid w:val="00CF3346"/>
    <w:rPr>
      <w:rFonts w:eastAsiaTheme="minorEastAsia" w:cstheme="minorHAnsi"/>
      <w:sz w:val="20"/>
      <w:szCs w:val="20"/>
      <w:lang w:eastAsia="en-AU"/>
    </w:rPr>
  </w:style>
  <w:style w:type="character" w:customStyle="1" w:styleId="DoubleDotChar">
    <w:name w:val="Double Dot Char"/>
    <w:basedOn w:val="DefaultParagraphFont"/>
    <w:link w:val="DoubleDot"/>
    <w:rsid w:val="00CF3346"/>
    <w:rPr>
      <w:rFonts w:eastAsiaTheme="minorEastAsia"/>
      <w:sz w:val="20"/>
      <w:szCs w:val="20"/>
    </w:rPr>
  </w:style>
  <w:style w:type="paragraph" w:styleId="Revision">
    <w:name w:val="Revision"/>
    <w:hidden/>
    <w:uiPriority w:val="99"/>
    <w:semiHidden/>
    <w:rsid w:val="00F03185"/>
    <w:pPr>
      <w:spacing w:after="0" w:line="240" w:lineRule="auto"/>
    </w:pPr>
    <w:rPr>
      <w:rFonts w:eastAsiaTheme="minorEastAsia"/>
      <w:sz w:val="20"/>
      <w:szCs w:val="20"/>
    </w:rPr>
  </w:style>
  <w:style w:type="paragraph" w:customStyle="1" w:styleId="Tabletextleftindent">
    <w:name w:val="Table text left indent"/>
    <w:basedOn w:val="TableTextLeft"/>
    <w:qFormat/>
    <w:rsid w:val="00965F00"/>
    <w:pPr>
      <w:ind w:left="283"/>
    </w:pPr>
    <w:rPr>
      <w:i/>
      <w:iCs/>
      <w:bdr w:val="none" w:sz="0" w:space="0" w:color="auto"/>
    </w:rPr>
  </w:style>
  <w:style w:type="paragraph" w:customStyle="1" w:styleId="paragraph">
    <w:name w:val="paragraph"/>
    <w:basedOn w:val="Normal"/>
    <w:rsid w:val="00F87C54"/>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87C54"/>
  </w:style>
  <w:style w:type="character" w:customStyle="1" w:styleId="eop">
    <w:name w:val="eop"/>
    <w:basedOn w:val="DefaultParagraphFont"/>
    <w:rsid w:val="00F87C54"/>
  </w:style>
  <w:style w:type="character" w:customStyle="1" w:styleId="cf01">
    <w:name w:val="cf01"/>
    <w:basedOn w:val="DefaultParagraphFont"/>
    <w:rsid w:val="00C769B2"/>
    <w:rPr>
      <w:rFonts w:ascii="Segoe UI" w:hAnsi="Segoe UI" w:cs="Segoe UI" w:hint="default"/>
      <w:sz w:val="18"/>
      <w:szCs w:val="18"/>
    </w:rPr>
  </w:style>
  <w:style w:type="character" w:styleId="Mention">
    <w:name w:val="Mention"/>
    <w:basedOn w:val="DefaultParagraphFont"/>
    <w:uiPriority w:val="99"/>
    <w:unhideWhenUsed/>
    <w:rsid w:val="000E7230"/>
    <w:rPr>
      <w:color w:val="2B579A"/>
      <w:shd w:val="clear" w:color="auto" w:fill="E1DFDD"/>
    </w:rPr>
  </w:style>
  <w:style w:type="paragraph" w:customStyle="1" w:styleId="Footnotev2">
    <w:name w:val="Footnote_v2"/>
    <w:basedOn w:val="FootnoteText"/>
    <w:qFormat/>
    <w:rsid w:val="00F67DB6"/>
    <w:pPr>
      <w:spacing w:after="100"/>
      <w:ind w:left="0" w:firstLine="0"/>
    </w:pPr>
    <w:rPr>
      <w:szCs w:val="18"/>
    </w:rPr>
  </w:style>
  <w:style w:type="paragraph" w:customStyle="1" w:styleId="bulletv2">
    <w:name w:val="bullet_v2"/>
    <w:basedOn w:val="Bullet"/>
    <w:qFormat/>
    <w:rsid w:val="002E7CD7"/>
    <w:pPr>
      <w:ind w:left="284" w:hanging="284"/>
    </w:pPr>
    <w:rPr>
      <w:rFonts w:cs="Times New Roman"/>
      <w:lang w:eastAsia="en-AU"/>
    </w:rPr>
  </w:style>
  <w:style w:type="character" w:customStyle="1" w:styleId="findhit">
    <w:name w:val="findhit"/>
    <w:basedOn w:val="DefaultParagraphFont"/>
    <w:rsid w:val="0049451E"/>
  </w:style>
  <w:style w:type="table" w:customStyle="1" w:styleId="TableGrid1">
    <w:name w:val="Table Grid1"/>
    <w:basedOn w:val="TableNormal"/>
    <w:next w:val="TableGrid"/>
    <w:uiPriority w:val="39"/>
    <w:rsid w:val="00923913"/>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Glossaryheading">
    <w:name w:val="Glossary heading"/>
    <w:basedOn w:val="Heading1"/>
    <w:qFormat/>
    <w:rsid w:val="001A002F"/>
  </w:style>
  <w:style w:type="paragraph" w:customStyle="1" w:styleId="nospace">
    <w:name w:val="no space"/>
    <w:basedOn w:val="Normal"/>
    <w:qFormat/>
    <w:rsid w:val="001A002F"/>
    <w:pPr>
      <w:spacing w:before="0" w:after="0"/>
    </w:pPr>
    <w:rPr>
      <w:sz w:val="16"/>
      <w:szCs w:val="16"/>
    </w:rPr>
  </w:style>
  <w:style w:type="character" w:customStyle="1" w:styleId="ui-provider">
    <w:name w:val="ui-provider"/>
    <w:basedOn w:val="DefaultParagraphFont"/>
    <w:rsid w:val="00F80376"/>
  </w:style>
  <w:style w:type="paragraph" w:styleId="Bibliography">
    <w:name w:val="Bibliography"/>
    <w:basedOn w:val="Normal"/>
    <w:next w:val="Normal"/>
    <w:uiPriority w:val="37"/>
    <w:unhideWhenUsed/>
    <w:rsid w:val="00254F2C"/>
  </w:style>
  <w:style w:type="character" w:customStyle="1" w:styleId="cf11">
    <w:name w:val="cf11"/>
    <w:basedOn w:val="DefaultParagraphFont"/>
    <w:rsid w:val="005E7EF4"/>
    <w:rPr>
      <w:rFonts w:ascii="Segoe UI" w:hAnsi="Segoe UI" w:cs="Segoe UI" w:hint="default"/>
      <w:sz w:val="18"/>
      <w:szCs w:val="18"/>
    </w:rPr>
  </w:style>
  <w:style w:type="table" w:styleId="TableGridLight">
    <w:name w:val="Grid Table Light"/>
    <w:basedOn w:val="TableNormal"/>
    <w:uiPriority w:val="40"/>
    <w:rsid w:val="00F500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F5002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F72B6"/>
    <w:pPr>
      <w:spacing w:before="0" w:after="0"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62">
      <w:bodyDiv w:val="1"/>
      <w:marLeft w:val="0"/>
      <w:marRight w:val="0"/>
      <w:marTop w:val="0"/>
      <w:marBottom w:val="0"/>
      <w:divBdr>
        <w:top w:val="none" w:sz="0" w:space="0" w:color="auto"/>
        <w:left w:val="none" w:sz="0" w:space="0" w:color="auto"/>
        <w:bottom w:val="none" w:sz="0" w:space="0" w:color="auto"/>
        <w:right w:val="none" w:sz="0" w:space="0" w:color="auto"/>
      </w:divBdr>
    </w:div>
    <w:div w:id="22363012">
      <w:bodyDiv w:val="1"/>
      <w:marLeft w:val="0"/>
      <w:marRight w:val="0"/>
      <w:marTop w:val="0"/>
      <w:marBottom w:val="0"/>
      <w:divBdr>
        <w:top w:val="none" w:sz="0" w:space="0" w:color="auto"/>
        <w:left w:val="none" w:sz="0" w:space="0" w:color="auto"/>
        <w:bottom w:val="none" w:sz="0" w:space="0" w:color="auto"/>
        <w:right w:val="none" w:sz="0" w:space="0" w:color="auto"/>
      </w:divBdr>
    </w:div>
    <w:div w:id="67122019">
      <w:bodyDiv w:val="1"/>
      <w:marLeft w:val="0"/>
      <w:marRight w:val="0"/>
      <w:marTop w:val="0"/>
      <w:marBottom w:val="0"/>
      <w:divBdr>
        <w:top w:val="none" w:sz="0" w:space="0" w:color="auto"/>
        <w:left w:val="none" w:sz="0" w:space="0" w:color="auto"/>
        <w:bottom w:val="none" w:sz="0" w:space="0" w:color="auto"/>
        <w:right w:val="none" w:sz="0" w:space="0" w:color="auto"/>
      </w:divBdr>
    </w:div>
    <w:div w:id="95055756">
      <w:bodyDiv w:val="1"/>
      <w:marLeft w:val="0"/>
      <w:marRight w:val="0"/>
      <w:marTop w:val="0"/>
      <w:marBottom w:val="0"/>
      <w:divBdr>
        <w:top w:val="none" w:sz="0" w:space="0" w:color="auto"/>
        <w:left w:val="none" w:sz="0" w:space="0" w:color="auto"/>
        <w:bottom w:val="none" w:sz="0" w:space="0" w:color="auto"/>
        <w:right w:val="none" w:sz="0" w:space="0" w:color="auto"/>
      </w:divBdr>
    </w:div>
    <w:div w:id="128060430">
      <w:bodyDiv w:val="1"/>
      <w:marLeft w:val="0"/>
      <w:marRight w:val="0"/>
      <w:marTop w:val="0"/>
      <w:marBottom w:val="0"/>
      <w:divBdr>
        <w:top w:val="none" w:sz="0" w:space="0" w:color="auto"/>
        <w:left w:val="none" w:sz="0" w:space="0" w:color="auto"/>
        <w:bottom w:val="none" w:sz="0" w:space="0" w:color="auto"/>
        <w:right w:val="none" w:sz="0" w:space="0" w:color="auto"/>
      </w:divBdr>
    </w:div>
    <w:div w:id="137504594">
      <w:bodyDiv w:val="1"/>
      <w:marLeft w:val="0"/>
      <w:marRight w:val="0"/>
      <w:marTop w:val="0"/>
      <w:marBottom w:val="0"/>
      <w:divBdr>
        <w:top w:val="none" w:sz="0" w:space="0" w:color="auto"/>
        <w:left w:val="none" w:sz="0" w:space="0" w:color="auto"/>
        <w:bottom w:val="none" w:sz="0" w:space="0" w:color="auto"/>
        <w:right w:val="none" w:sz="0" w:space="0" w:color="auto"/>
      </w:divBdr>
      <w:divsChild>
        <w:div w:id="785349081">
          <w:marLeft w:val="0"/>
          <w:marRight w:val="0"/>
          <w:marTop w:val="0"/>
          <w:marBottom w:val="0"/>
          <w:divBdr>
            <w:top w:val="none" w:sz="0" w:space="0" w:color="auto"/>
            <w:left w:val="none" w:sz="0" w:space="0" w:color="auto"/>
            <w:bottom w:val="none" w:sz="0" w:space="0" w:color="auto"/>
            <w:right w:val="none" w:sz="0" w:space="0" w:color="auto"/>
          </w:divBdr>
        </w:div>
        <w:div w:id="1282883328">
          <w:marLeft w:val="0"/>
          <w:marRight w:val="0"/>
          <w:marTop w:val="0"/>
          <w:marBottom w:val="0"/>
          <w:divBdr>
            <w:top w:val="none" w:sz="0" w:space="0" w:color="auto"/>
            <w:left w:val="none" w:sz="0" w:space="0" w:color="auto"/>
            <w:bottom w:val="none" w:sz="0" w:space="0" w:color="auto"/>
            <w:right w:val="none" w:sz="0" w:space="0" w:color="auto"/>
          </w:divBdr>
        </w:div>
        <w:div w:id="1842500557">
          <w:marLeft w:val="0"/>
          <w:marRight w:val="0"/>
          <w:marTop w:val="0"/>
          <w:marBottom w:val="0"/>
          <w:divBdr>
            <w:top w:val="none" w:sz="0" w:space="0" w:color="auto"/>
            <w:left w:val="none" w:sz="0" w:space="0" w:color="auto"/>
            <w:bottom w:val="none" w:sz="0" w:space="0" w:color="auto"/>
            <w:right w:val="none" w:sz="0" w:space="0" w:color="auto"/>
          </w:divBdr>
        </w:div>
      </w:divsChild>
    </w:div>
    <w:div w:id="145981119">
      <w:bodyDiv w:val="1"/>
      <w:marLeft w:val="0"/>
      <w:marRight w:val="0"/>
      <w:marTop w:val="0"/>
      <w:marBottom w:val="0"/>
      <w:divBdr>
        <w:top w:val="none" w:sz="0" w:space="0" w:color="auto"/>
        <w:left w:val="none" w:sz="0" w:space="0" w:color="auto"/>
        <w:bottom w:val="none" w:sz="0" w:space="0" w:color="auto"/>
        <w:right w:val="none" w:sz="0" w:space="0" w:color="auto"/>
      </w:divBdr>
    </w:div>
    <w:div w:id="226957632">
      <w:bodyDiv w:val="1"/>
      <w:marLeft w:val="0"/>
      <w:marRight w:val="0"/>
      <w:marTop w:val="0"/>
      <w:marBottom w:val="0"/>
      <w:divBdr>
        <w:top w:val="none" w:sz="0" w:space="0" w:color="auto"/>
        <w:left w:val="none" w:sz="0" w:space="0" w:color="auto"/>
        <w:bottom w:val="none" w:sz="0" w:space="0" w:color="auto"/>
        <w:right w:val="none" w:sz="0" w:space="0" w:color="auto"/>
      </w:divBdr>
    </w:div>
    <w:div w:id="267465058">
      <w:bodyDiv w:val="1"/>
      <w:marLeft w:val="0"/>
      <w:marRight w:val="0"/>
      <w:marTop w:val="0"/>
      <w:marBottom w:val="0"/>
      <w:divBdr>
        <w:top w:val="none" w:sz="0" w:space="0" w:color="auto"/>
        <w:left w:val="none" w:sz="0" w:space="0" w:color="auto"/>
        <w:bottom w:val="none" w:sz="0" w:space="0" w:color="auto"/>
        <w:right w:val="none" w:sz="0" w:space="0" w:color="auto"/>
      </w:divBdr>
    </w:div>
    <w:div w:id="270355007">
      <w:bodyDiv w:val="1"/>
      <w:marLeft w:val="0"/>
      <w:marRight w:val="0"/>
      <w:marTop w:val="0"/>
      <w:marBottom w:val="0"/>
      <w:divBdr>
        <w:top w:val="none" w:sz="0" w:space="0" w:color="auto"/>
        <w:left w:val="none" w:sz="0" w:space="0" w:color="auto"/>
        <w:bottom w:val="none" w:sz="0" w:space="0" w:color="auto"/>
        <w:right w:val="none" w:sz="0" w:space="0" w:color="auto"/>
      </w:divBdr>
    </w:div>
    <w:div w:id="311561499">
      <w:bodyDiv w:val="1"/>
      <w:marLeft w:val="0"/>
      <w:marRight w:val="0"/>
      <w:marTop w:val="0"/>
      <w:marBottom w:val="0"/>
      <w:divBdr>
        <w:top w:val="none" w:sz="0" w:space="0" w:color="auto"/>
        <w:left w:val="none" w:sz="0" w:space="0" w:color="auto"/>
        <w:bottom w:val="none" w:sz="0" w:space="0" w:color="auto"/>
        <w:right w:val="none" w:sz="0" w:space="0" w:color="auto"/>
      </w:divBdr>
    </w:div>
    <w:div w:id="314069059">
      <w:bodyDiv w:val="1"/>
      <w:marLeft w:val="0"/>
      <w:marRight w:val="0"/>
      <w:marTop w:val="0"/>
      <w:marBottom w:val="0"/>
      <w:divBdr>
        <w:top w:val="none" w:sz="0" w:space="0" w:color="auto"/>
        <w:left w:val="none" w:sz="0" w:space="0" w:color="auto"/>
        <w:bottom w:val="none" w:sz="0" w:space="0" w:color="auto"/>
        <w:right w:val="none" w:sz="0" w:space="0" w:color="auto"/>
      </w:divBdr>
    </w:div>
    <w:div w:id="318196665">
      <w:bodyDiv w:val="1"/>
      <w:marLeft w:val="0"/>
      <w:marRight w:val="0"/>
      <w:marTop w:val="0"/>
      <w:marBottom w:val="0"/>
      <w:divBdr>
        <w:top w:val="none" w:sz="0" w:space="0" w:color="auto"/>
        <w:left w:val="none" w:sz="0" w:space="0" w:color="auto"/>
        <w:bottom w:val="none" w:sz="0" w:space="0" w:color="auto"/>
        <w:right w:val="none" w:sz="0" w:space="0" w:color="auto"/>
      </w:divBdr>
      <w:divsChild>
        <w:div w:id="388381291">
          <w:marLeft w:val="0"/>
          <w:marRight w:val="0"/>
          <w:marTop w:val="0"/>
          <w:marBottom w:val="0"/>
          <w:divBdr>
            <w:top w:val="none" w:sz="0" w:space="0" w:color="auto"/>
            <w:left w:val="none" w:sz="0" w:space="0" w:color="auto"/>
            <w:bottom w:val="none" w:sz="0" w:space="0" w:color="auto"/>
            <w:right w:val="none" w:sz="0" w:space="0" w:color="auto"/>
          </w:divBdr>
        </w:div>
        <w:div w:id="1859809709">
          <w:marLeft w:val="0"/>
          <w:marRight w:val="0"/>
          <w:marTop w:val="0"/>
          <w:marBottom w:val="0"/>
          <w:divBdr>
            <w:top w:val="none" w:sz="0" w:space="0" w:color="auto"/>
            <w:left w:val="none" w:sz="0" w:space="0" w:color="auto"/>
            <w:bottom w:val="none" w:sz="0" w:space="0" w:color="auto"/>
            <w:right w:val="none" w:sz="0" w:space="0" w:color="auto"/>
          </w:divBdr>
          <w:divsChild>
            <w:div w:id="1690328373">
              <w:marLeft w:val="-225"/>
              <w:marRight w:val="-225"/>
              <w:marTop w:val="0"/>
              <w:marBottom w:val="0"/>
              <w:divBdr>
                <w:top w:val="none" w:sz="0" w:space="0" w:color="auto"/>
                <w:left w:val="none" w:sz="0" w:space="0" w:color="auto"/>
                <w:bottom w:val="none" w:sz="0" w:space="0" w:color="auto"/>
                <w:right w:val="none" w:sz="0" w:space="0" w:color="auto"/>
              </w:divBdr>
              <w:divsChild>
                <w:div w:id="7657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72068">
      <w:bodyDiv w:val="1"/>
      <w:marLeft w:val="0"/>
      <w:marRight w:val="0"/>
      <w:marTop w:val="0"/>
      <w:marBottom w:val="0"/>
      <w:divBdr>
        <w:top w:val="none" w:sz="0" w:space="0" w:color="auto"/>
        <w:left w:val="none" w:sz="0" w:space="0" w:color="auto"/>
        <w:bottom w:val="none" w:sz="0" w:space="0" w:color="auto"/>
        <w:right w:val="none" w:sz="0" w:space="0" w:color="auto"/>
      </w:divBdr>
    </w:div>
    <w:div w:id="416638907">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2210413">
      <w:bodyDiv w:val="1"/>
      <w:marLeft w:val="0"/>
      <w:marRight w:val="0"/>
      <w:marTop w:val="0"/>
      <w:marBottom w:val="0"/>
      <w:divBdr>
        <w:top w:val="none" w:sz="0" w:space="0" w:color="auto"/>
        <w:left w:val="none" w:sz="0" w:space="0" w:color="auto"/>
        <w:bottom w:val="none" w:sz="0" w:space="0" w:color="auto"/>
        <w:right w:val="none" w:sz="0" w:space="0" w:color="auto"/>
      </w:divBdr>
    </w:div>
    <w:div w:id="519203772">
      <w:bodyDiv w:val="1"/>
      <w:marLeft w:val="0"/>
      <w:marRight w:val="0"/>
      <w:marTop w:val="0"/>
      <w:marBottom w:val="0"/>
      <w:divBdr>
        <w:top w:val="none" w:sz="0" w:space="0" w:color="auto"/>
        <w:left w:val="none" w:sz="0" w:space="0" w:color="auto"/>
        <w:bottom w:val="none" w:sz="0" w:space="0" w:color="auto"/>
        <w:right w:val="none" w:sz="0" w:space="0" w:color="auto"/>
      </w:divBdr>
    </w:div>
    <w:div w:id="540871965">
      <w:bodyDiv w:val="1"/>
      <w:marLeft w:val="0"/>
      <w:marRight w:val="0"/>
      <w:marTop w:val="0"/>
      <w:marBottom w:val="0"/>
      <w:divBdr>
        <w:top w:val="none" w:sz="0" w:space="0" w:color="auto"/>
        <w:left w:val="none" w:sz="0" w:space="0" w:color="auto"/>
        <w:bottom w:val="none" w:sz="0" w:space="0" w:color="auto"/>
        <w:right w:val="none" w:sz="0" w:space="0" w:color="auto"/>
      </w:divBdr>
    </w:div>
    <w:div w:id="541864414">
      <w:bodyDiv w:val="1"/>
      <w:marLeft w:val="0"/>
      <w:marRight w:val="0"/>
      <w:marTop w:val="0"/>
      <w:marBottom w:val="0"/>
      <w:divBdr>
        <w:top w:val="none" w:sz="0" w:space="0" w:color="auto"/>
        <w:left w:val="none" w:sz="0" w:space="0" w:color="auto"/>
        <w:bottom w:val="none" w:sz="0" w:space="0" w:color="auto"/>
        <w:right w:val="none" w:sz="0" w:space="0" w:color="auto"/>
      </w:divBdr>
    </w:div>
    <w:div w:id="618336250">
      <w:bodyDiv w:val="1"/>
      <w:marLeft w:val="0"/>
      <w:marRight w:val="0"/>
      <w:marTop w:val="0"/>
      <w:marBottom w:val="0"/>
      <w:divBdr>
        <w:top w:val="none" w:sz="0" w:space="0" w:color="auto"/>
        <w:left w:val="none" w:sz="0" w:space="0" w:color="auto"/>
        <w:bottom w:val="none" w:sz="0" w:space="0" w:color="auto"/>
        <w:right w:val="none" w:sz="0" w:space="0" w:color="auto"/>
      </w:divBdr>
    </w:div>
    <w:div w:id="622350077">
      <w:bodyDiv w:val="1"/>
      <w:marLeft w:val="0"/>
      <w:marRight w:val="0"/>
      <w:marTop w:val="0"/>
      <w:marBottom w:val="0"/>
      <w:divBdr>
        <w:top w:val="none" w:sz="0" w:space="0" w:color="auto"/>
        <w:left w:val="none" w:sz="0" w:space="0" w:color="auto"/>
        <w:bottom w:val="none" w:sz="0" w:space="0" w:color="auto"/>
        <w:right w:val="none" w:sz="0" w:space="0" w:color="auto"/>
      </w:divBdr>
    </w:div>
    <w:div w:id="782575912">
      <w:bodyDiv w:val="1"/>
      <w:marLeft w:val="0"/>
      <w:marRight w:val="0"/>
      <w:marTop w:val="0"/>
      <w:marBottom w:val="0"/>
      <w:divBdr>
        <w:top w:val="none" w:sz="0" w:space="0" w:color="auto"/>
        <w:left w:val="none" w:sz="0" w:space="0" w:color="auto"/>
        <w:bottom w:val="none" w:sz="0" w:space="0" w:color="auto"/>
        <w:right w:val="none" w:sz="0" w:space="0" w:color="auto"/>
      </w:divBdr>
    </w:div>
    <w:div w:id="795023825">
      <w:bodyDiv w:val="1"/>
      <w:marLeft w:val="0"/>
      <w:marRight w:val="0"/>
      <w:marTop w:val="0"/>
      <w:marBottom w:val="0"/>
      <w:divBdr>
        <w:top w:val="none" w:sz="0" w:space="0" w:color="auto"/>
        <w:left w:val="none" w:sz="0" w:space="0" w:color="auto"/>
        <w:bottom w:val="none" w:sz="0" w:space="0" w:color="auto"/>
        <w:right w:val="none" w:sz="0" w:space="0" w:color="auto"/>
      </w:divBdr>
    </w:div>
    <w:div w:id="826677433">
      <w:bodyDiv w:val="1"/>
      <w:marLeft w:val="0"/>
      <w:marRight w:val="0"/>
      <w:marTop w:val="0"/>
      <w:marBottom w:val="0"/>
      <w:divBdr>
        <w:top w:val="none" w:sz="0" w:space="0" w:color="auto"/>
        <w:left w:val="none" w:sz="0" w:space="0" w:color="auto"/>
        <w:bottom w:val="none" w:sz="0" w:space="0" w:color="auto"/>
        <w:right w:val="none" w:sz="0" w:space="0" w:color="auto"/>
      </w:divBdr>
    </w:div>
    <w:div w:id="854883797">
      <w:bodyDiv w:val="1"/>
      <w:marLeft w:val="0"/>
      <w:marRight w:val="0"/>
      <w:marTop w:val="0"/>
      <w:marBottom w:val="0"/>
      <w:divBdr>
        <w:top w:val="none" w:sz="0" w:space="0" w:color="auto"/>
        <w:left w:val="none" w:sz="0" w:space="0" w:color="auto"/>
        <w:bottom w:val="none" w:sz="0" w:space="0" w:color="auto"/>
        <w:right w:val="none" w:sz="0" w:space="0" w:color="auto"/>
      </w:divBdr>
    </w:div>
    <w:div w:id="883443717">
      <w:bodyDiv w:val="1"/>
      <w:marLeft w:val="0"/>
      <w:marRight w:val="0"/>
      <w:marTop w:val="0"/>
      <w:marBottom w:val="0"/>
      <w:divBdr>
        <w:top w:val="none" w:sz="0" w:space="0" w:color="auto"/>
        <w:left w:val="none" w:sz="0" w:space="0" w:color="auto"/>
        <w:bottom w:val="none" w:sz="0" w:space="0" w:color="auto"/>
        <w:right w:val="none" w:sz="0" w:space="0" w:color="auto"/>
      </w:divBdr>
    </w:div>
    <w:div w:id="890262936">
      <w:bodyDiv w:val="1"/>
      <w:marLeft w:val="0"/>
      <w:marRight w:val="0"/>
      <w:marTop w:val="0"/>
      <w:marBottom w:val="0"/>
      <w:divBdr>
        <w:top w:val="none" w:sz="0" w:space="0" w:color="auto"/>
        <w:left w:val="none" w:sz="0" w:space="0" w:color="auto"/>
        <w:bottom w:val="none" w:sz="0" w:space="0" w:color="auto"/>
        <w:right w:val="none" w:sz="0" w:space="0" w:color="auto"/>
      </w:divBdr>
    </w:div>
    <w:div w:id="893084380">
      <w:bodyDiv w:val="1"/>
      <w:marLeft w:val="0"/>
      <w:marRight w:val="0"/>
      <w:marTop w:val="0"/>
      <w:marBottom w:val="0"/>
      <w:divBdr>
        <w:top w:val="none" w:sz="0" w:space="0" w:color="auto"/>
        <w:left w:val="none" w:sz="0" w:space="0" w:color="auto"/>
        <w:bottom w:val="none" w:sz="0" w:space="0" w:color="auto"/>
        <w:right w:val="none" w:sz="0" w:space="0" w:color="auto"/>
      </w:divBdr>
    </w:div>
    <w:div w:id="911891908">
      <w:bodyDiv w:val="1"/>
      <w:marLeft w:val="0"/>
      <w:marRight w:val="0"/>
      <w:marTop w:val="0"/>
      <w:marBottom w:val="0"/>
      <w:divBdr>
        <w:top w:val="none" w:sz="0" w:space="0" w:color="auto"/>
        <w:left w:val="none" w:sz="0" w:space="0" w:color="auto"/>
        <w:bottom w:val="none" w:sz="0" w:space="0" w:color="auto"/>
        <w:right w:val="none" w:sz="0" w:space="0" w:color="auto"/>
      </w:divBdr>
    </w:div>
    <w:div w:id="921328494">
      <w:bodyDiv w:val="1"/>
      <w:marLeft w:val="0"/>
      <w:marRight w:val="0"/>
      <w:marTop w:val="0"/>
      <w:marBottom w:val="0"/>
      <w:divBdr>
        <w:top w:val="none" w:sz="0" w:space="0" w:color="auto"/>
        <w:left w:val="none" w:sz="0" w:space="0" w:color="auto"/>
        <w:bottom w:val="none" w:sz="0" w:space="0" w:color="auto"/>
        <w:right w:val="none" w:sz="0" w:space="0" w:color="auto"/>
      </w:divBdr>
    </w:div>
    <w:div w:id="924269142">
      <w:bodyDiv w:val="1"/>
      <w:marLeft w:val="0"/>
      <w:marRight w:val="0"/>
      <w:marTop w:val="0"/>
      <w:marBottom w:val="0"/>
      <w:divBdr>
        <w:top w:val="none" w:sz="0" w:space="0" w:color="auto"/>
        <w:left w:val="none" w:sz="0" w:space="0" w:color="auto"/>
        <w:bottom w:val="none" w:sz="0" w:space="0" w:color="auto"/>
        <w:right w:val="none" w:sz="0" w:space="0" w:color="auto"/>
      </w:divBdr>
    </w:div>
    <w:div w:id="927809535">
      <w:bodyDiv w:val="1"/>
      <w:marLeft w:val="0"/>
      <w:marRight w:val="0"/>
      <w:marTop w:val="0"/>
      <w:marBottom w:val="0"/>
      <w:divBdr>
        <w:top w:val="none" w:sz="0" w:space="0" w:color="auto"/>
        <w:left w:val="none" w:sz="0" w:space="0" w:color="auto"/>
        <w:bottom w:val="none" w:sz="0" w:space="0" w:color="auto"/>
        <w:right w:val="none" w:sz="0" w:space="0" w:color="auto"/>
      </w:divBdr>
    </w:div>
    <w:div w:id="988481035">
      <w:bodyDiv w:val="1"/>
      <w:marLeft w:val="0"/>
      <w:marRight w:val="0"/>
      <w:marTop w:val="0"/>
      <w:marBottom w:val="0"/>
      <w:divBdr>
        <w:top w:val="none" w:sz="0" w:space="0" w:color="auto"/>
        <w:left w:val="none" w:sz="0" w:space="0" w:color="auto"/>
        <w:bottom w:val="none" w:sz="0" w:space="0" w:color="auto"/>
        <w:right w:val="none" w:sz="0" w:space="0" w:color="auto"/>
      </w:divBdr>
    </w:div>
    <w:div w:id="1003823057">
      <w:bodyDiv w:val="1"/>
      <w:marLeft w:val="0"/>
      <w:marRight w:val="0"/>
      <w:marTop w:val="0"/>
      <w:marBottom w:val="0"/>
      <w:divBdr>
        <w:top w:val="none" w:sz="0" w:space="0" w:color="auto"/>
        <w:left w:val="none" w:sz="0" w:space="0" w:color="auto"/>
        <w:bottom w:val="none" w:sz="0" w:space="0" w:color="auto"/>
        <w:right w:val="none" w:sz="0" w:space="0" w:color="auto"/>
      </w:divBdr>
    </w:div>
    <w:div w:id="1034232815">
      <w:bodyDiv w:val="1"/>
      <w:marLeft w:val="0"/>
      <w:marRight w:val="0"/>
      <w:marTop w:val="0"/>
      <w:marBottom w:val="0"/>
      <w:divBdr>
        <w:top w:val="none" w:sz="0" w:space="0" w:color="auto"/>
        <w:left w:val="none" w:sz="0" w:space="0" w:color="auto"/>
        <w:bottom w:val="none" w:sz="0" w:space="0" w:color="auto"/>
        <w:right w:val="none" w:sz="0" w:space="0" w:color="auto"/>
      </w:divBdr>
    </w:div>
    <w:div w:id="1034765999">
      <w:bodyDiv w:val="1"/>
      <w:marLeft w:val="0"/>
      <w:marRight w:val="0"/>
      <w:marTop w:val="0"/>
      <w:marBottom w:val="0"/>
      <w:divBdr>
        <w:top w:val="none" w:sz="0" w:space="0" w:color="auto"/>
        <w:left w:val="none" w:sz="0" w:space="0" w:color="auto"/>
        <w:bottom w:val="none" w:sz="0" w:space="0" w:color="auto"/>
        <w:right w:val="none" w:sz="0" w:space="0" w:color="auto"/>
      </w:divBdr>
    </w:div>
    <w:div w:id="1041397057">
      <w:bodyDiv w:val="1"/>
      <w:marLeft w:val="0"/>
      <w:marRight w:val="0"/>
      <w:marTop w:val="0"/>
      <w:marBottom w:val="0"/>
      <w:divBdr>
        <w:top w:val="none" w:sz="0" w:space="0" w:color="auto"/>
        <w:left w:val="none" w:sz="0" w:space="0" w:color="auto"/>
        <w:bottom w:val="none" w:sz="0" w:space="0" w:color="auto"/>
        <w:right w:val="none" w:sz="0" w:space="0" w:color="auto"/>
      </w:divBdr>
    </w:div>
    <w:div w:id="1099716072">
      <w:bodyDiv w:val="1"/>
      <w:marLeft w:val="0"/>
      <w:marRight w:val="0"/>
      <w:marTop w:val="0"/>
      <w:marBottom w:val="0"/>
      <w:divBdr>
        <w:top w:val="none" w:sz="0" w:space="0" w:color="auto"/>
        <w:left w:val="none" w:sz="0" w:space="0" w:color="auto"/>
        <w:bottom w:val="none" w:sz="0" w:space="0" w:color="auto"/>
        <w:right w:val="none" w:sz="0" w:space="0" w:color="auto"/>
      </w:divBdr>
    </w:div>
    <w:div w:id="1100221921">
      <w:bodyDiv w:val="1"/>
      <w:marLeft w:val="0"/>
      <w:marRight w:val="0"/>
      <w:marTop w:val="0"/>
      <w:marBottom w:val="0"/>
      <w:divBdr>
        <w:top w:val="none" w:sz="0" w:space="0" w:color="auto"/>
        <w:left w:val="none" w:sz="0" w:space="0" w:color="auto"/>
        <w:bottom w:val="none" w:sz="0" w:space="0" w:color="auto"/>
        <w:right w:val="none" w:sz="0" w:space="0" w:color="auto"/>
      </w:divBdr>
    </w:div>
    <w:div w:id="1103692152">
      <w:bodyDiv w:val="1"/>
      <w:marLeft w:val="0"/>
      <w:marRight w:val="0"/>
      <w:marTop w:val="0"/>
      <w:marBottom w:val="0"/>
      <w:divBdr>
        <w:top w:val="none" w:sz="0" w:space="0" w:color="auto"/>
        <w:left w:val="none" w:sz="0" w:space="0" w:color="auto"/>
        <w:bottom w:val="none" w:sz="0" w:space="0" w:color="auto"/>
        <w:right w:val="none" w:sz="0" w:space="0" w:color="auto"/>
      </w:divBdr>
    </w:div>
    <w:div w:id="1111169693">
      <w:bodyDiv w:val="1"/>
      <w:marLeft w:val="0"/>
      <w:marRight w:val="0"/>
      <w:marTop w:val="0"/>
      <w:marBottom w:val="0"/>
      <w:divBdr>
        <w:top w:val="none" w:sz="0" w:space="0" w:color="auto"/>
        <w:left w:val="none" w:sz="0" w:space="0" w:color="auto"/>
        <w:bottom w:val="none" w:sz="0" w:space="0" w:color="auto"/>
        <w:right w:val="none" w:sz="0" w:space="0" w:color="auto"/>
      </w:divBdr>
    </w:div>
    <w:div w:id="1138186905">
      <w:bodyDiv w:val="1"/>
      <w:marLeft w:val="0"/>
      <w:marRight w:val="0"/>
      <w:marTop w:val="0"/>
      <w:marBottom w:val="0"/>
      <w:divBdr>
        <w:top w:val="none" w:sz="0" w:space="0" w:color="auto"/>
        <w:left w:val="none" w:sz="0" w:space="0" w:color="auto"/>
        <w:bottom w:val="none" w:sz="0" w:space="0" w:color="auto"/>
        <w:right w:val="none" w:sz="0" w:space="0" w:color="auto"/>
      </w:divBdr>
    </w:div>
    <w:div w:id="1198350025">
      <w:bodyDiv w:val="1"/>
      <w:marLeft w:val="0"/>
      <w:marRight w:val="0"/>
      <w:marTop w:val="0"/>
      <w:marBottom w:val="0"/>
      <w:divBdr>
        <w:top w:val="none" w:sz="0" w:space="0" w:color="auto"/>
        <w:left w:val="none" w:sz="0" w:space="0" w:color="auto"/>
        <w:bottom w:val="none" w:sz="0" w:space="0" w:color="auto"/>
        <w:right w:val="none" w:sz="0" w:space="0" w:color="auto"/>
      </w:divBdr>
    </w:div>
    <w:div w:id="1233157117">
      <w:bodyDiv w:val="1"/>
      <w:marLeft w:val="0"/>
      <w:marRight w:val="0"/>
      <w:marTop w:val="0"/>
      <w:marBottom w:val="0"/>
      <w:divBdr>
        <w:top w:val="none" w:sz="0" w:space="0" w:color="auto"/>
        <w:left w:val="none" w:sz="0" w:space="0" w:color="auto"/>
        <w:bottom w:val="none" w:sz="0" w:space="0" w:color="auto"/>
        <w:right w:val="none" w:sz="0" w:space="0" w:color="auto"/>
      </w:divBdr>
    </w:div>
    <w:div w:id="1236009879">
      <w:bodyDiv w:val="1"/>
      <w:marLeft w:val="0"/>
      <w:marRight w:val="0"/>
      <w:marTop w:val="0"/>
      <w:marBottom w:val="0"/>
      <w:divBdr>
        <w:top w:val="none" w:sz="0" w:space="0" w:color="auto"/>
        <w:left w:val="none" w:sz="0" w:space="0" w:color="auto"/>
        <w:bottom w:val="none" w:sz="0" w:space="0" w:color="auto"/>
        <w:right w:val="none" w:sz="0" w:space="0" w:color="auto"/>
      </w:divBdr>
    </w:div>
    <w:div w:id="1262300430">
      <w:bodyDiv w:val="1"/>
      <w:marLeft w:val="0"/>
      <w:marRight w:val="0"/>
      <w:marTop w:val="0"/>
      <w:marBottom w:val="0"/>
      <w:divBdr>
        <w:top w:val="none" w:sz="0" w:space="0" w:color="auto"/>
        <w:left w:val="none" w:sz="0" w:space="0" w:color="auto"/>
        <w:bottom w:val="none" w:sz="0" w:space="0" w:color="auto"/>
        <w:right w:val="none" w:sz="0" w:space="0" w:color="auto"/>
      </w:divBdr>
    </w:div>
    <w:div w:id="1279751741">
      <w:bodyDiv w:val="1"/>
      <w:marLeft w:val="0"/>
      <w:marRight w:val="0"/>
      <w:marTop w:val="0"/>
      <w:marBottom w:val="0"/>
      <w:divBdr>
        <w:top w:val="none" w:sz="0" w:space="0" w:color="auto"/>
        <w:left w:val="none" w:sz="0" w:space="0" w:color="auto"/>
        <w:bottom w:val="none" w:sz="0" w:space="0" w:color="auto"/>
        <w:right w:val="none" w:sz="0" w:space="0" w:color="auto"/>
      </w:divBdr>
    </w:div>
    <w:div w:id="1291977845">
      <w:bodyDiv w:val="1"/>
      <w:marLeft w:val="0"/>
      <w:marRight w:val="0"/>
      <w:marTop w:val="0"/>
      <w:marBottom w:val="0"/>
      <w:divBdr>
        <w:top w:val="none" w:sz="0" w:space="0" w:color="auto"/>
        <w:left w:val="none" w:sz="0" w:space="0" w:color="auto"/>
        <w:bottom w:val="none" w:sz="0" w:space="0" w:color="auto"/>
        <w:right w:val="none" w:sz="0" w:space="0" w:color="auto"/>
      </w:divBdr>
    </w:div>
    <w:div w:id="1326593037">
      <w:bodyDiv w:val="1"/>
      <w:marLeft w:val="0"/>
      <w:marRight w:val="0"/>
      <w:marTop w:val="0"/>
      <w:marBottom w:val="0"/>
      <w:divBdr>
        <w:top w:val="none" w:sz="0" w:space="0" w:color="auto"/>
        <w:left w:val="none" w:sz="0" w:space="0" w:color="auto"/>
        <w:bottom w:val="none" w:sz="0" w:space="0" w:color="auto"/>
        <w:right w:val="none" w:sz="0" w:space="0" w:color="auto"/>
      </w:divBdr>
    </w:div>
    <w:div w:id="1368289373">
      <w:bodyDiv w:val="1"/>
      <w:marLeft w:val="0"/>
      <w:marRight w:val="0"/>
      <w:marTop w:val="0"/>
      <w:marBottom w:val="0"/>
      <w:divBdr>
        <w:top w:val="none" w:sz="0" w:space="0" w:color="auto"/>
        <w:left w:val="none" w:sz="0" w:space="0" w:color="auto"/>
        <w:bottom w:val="none" w:sz="0" w:space="0" w:color="auto"/>
        <w:right w:val="none" w:sz="0" w:space="0" w:color="auto"/>
      </w:divBdr>
    </w:div>
    <w:div w:id="1376924555">
      <w:bodyDiv w:val="1"/>
      <w:marLeft w:val="0"/>
      <w:marRight w:val="0"/>
      <w:marTop w:val="0"/>
      <w:marBottom w:val="0"/>
      <w:divBdr>
        <w:top w:val="none" w:sz="0" w:space="0" w:color="auto"/>
        <w:left w:val="none" w:sz="0" w:space="0" w:color="auto"/>
        <w:bottom w:val="none" w:sz="0" w:space="0" w:color="auto"/>
        <w:right w:val="none" w:sz="0" w:space="0" w:color="auto"/>
      </w:divBdr>
    </w:div>
    <w:div w:id="1385179800">
      <w:bodyDiv w:val="1"/>
      <w:marLeft w:val="0"/>
      <w:marRight w:val="0"/>
      <w:marTop w:val="0"/>
      <w:marBottom w:val="0"/>
      <w:divBdr>
        <w:top w:val="none" w:sz="0" w:space="0" w:color="auto"/>
        <w:left w:val="none" w:sz="0" w:space="0" w:color="auto"/>
        <w:bottom w:val="none" w:sz="0" w:space="0" w:color="auto"/>
        <w:right w:val="none" w:sz="0" w:space="0" w:color="auto"/>
      </w:divBdr>
    </w:div>
    <w:div w:id="1443501204">
      <w:bodyDiv w:val="1"/>
      <w:marLeft w:val="0"/>
      <w:marRight w:val="0"/>
      <w:marTop w:val="0"/>
      <w:marBottom w:val="0"/>
      <w:divBdr>
        <w:top w:val="none" w:sz="0" w:space="0" w:color="auto"/>
        <w:left w:val="none" w:sz="0" w:space="0" w:color="auto"/>
        <w:bottom w:val="none" w:sz="0" w:space="0" w:color="auto"/>
        <w:right w:val="none" w:sz="0" w:space="0" w:color="auto"/>
      </w:divBdr>
    </w:div>
    <w:div w:id="1484465376">
      <w:bodyDiv w:val="1"/>
      <w:marLeft w:val="0"/>
      <w:marRight w:val="0"/>
      <w:marTop w:val="0"/>
      <w:marBottom w:val="0"/>
      <w:divBdr>
        <w:top w:val="none" w:sz="0" w:space="0" w:color="auto"/>
        <w:left w:val="none" w:sz="0" w:space="0" w:color="auto"/>
        <w:bottom w:val="none" w:sz="0" w:space="0" w:color="auto"/>
        <w:right w:val="none" w:sz="0" w:space="0" w:color="auto"/>
      </w:divBdr>
    </w:div>
    <w:div w:id="1530340621">
      <w:bodyDiv w:val="1"/>
      <w:marLeft w:val="0"/>
      <w:marRight w:val="0"/>
      <w:marTop w:val="0"/>
      <w:marBottom w:val="0"/>
      <w:divBdr>
        <w:top w:val="none" w:sz="0" w:space="0" w:color="auto"/>
        <w:left w:val="none" w:sz="0" w:space="0" w:color="auto"/>
        <w:bottom w:val="none" w:sz="0" w:space="0" w:color="auto"/>
        <w:right w:val="none" w:sz="0" w:space="0" w:color="auto"/>
      </w:divBdr>
    </w:div>
    <w:div w:id="1534419311">
      <w:bodyDiv w:val="1"/>
      <w:marLeft w:val="0"/>
      <w:marRight w:val="0"/>
      <w:marTop w:val="0"/>
      <w:marBottom w:val="0"/>
      <w:divBdr>
        <w:top w:val="none" w:sz="0" w:space="0" w:color="auto"/>
        <w:left w:val="none" w:sz="0" w:space="0" w:color="auto"/>
        <w:bottom w:val="none" w:sz="0" w:space="0" w:color="auto"/>
        <w:right w:val="none" w:sz="0" w:space="0" w:color="auto"/>
      </w:divBdr>
    </w:div>
    <w:div w:id="1597787102">
      <w:bodyDiv w:val="1"/>
      <w:marLeft w:val="0"/>
      <w:marRight w:val="0"/>
      <w:marTop w:val="0"/>
      <w:marBottom w:val="0"/>
      <w:divBdr>
        <w:top w:val="none" w:sz="0" w:space="0" w:color="auto"/>
        <w:left w:val="none" w:sz="0" w:space="0" w:color="auto"/>
        <w:bottom w:val="none" w:sz="0" w:space="0" w:color="auto"/>
        <w:right w:val="none" w:sz="0" w:space="0" w:color="auto"/>
      </w:divBdr>
    </w:div>
    <w:div w:id="1606039729">
      <w:bodyDiv w:val="1"/>
      <w:marLeft w:val="0"/>
      <w:marRight w:val="0"/>
      <w:marTop w:val="0"/>
      <w:marBottom w:val="0"/>
      <w:divBdr>
        <w:top w:val="none" w:sz="0" w:space="0" w:color="auto"/>
        <w:left w:val="none" w:sz="0" w:space="0" w:color="auto"/>
        <w:bottom w:val="none" w:sz="0" w:space="0" w:color="auto"/>
        <w:right w:val="none" w:sz="0" w:space="0" w:color="auto"/>
      </w:divBdr>
    </w:div>
    <w:div w:id="1622611224">
      <w:bodyDiv w:val="1"/>
      <w:marLeft w:val="0"/>
      <w:marRight w:val="0"/>
      <w:marTop w:val="0"/>
      <w:marBottom w:val="0"/>
      <w:divBdr>
        <w:top w:val="none" w:sz="0" w:space="0" w:color="auto"/>
        <w:left w:val="none" w:sz="0" w:space="0" w:color="auto"/>
        <w:bottom w:val="none" w:sz="0" w:space="0" w:color="auto"/>
        <w:right w:val="none" w:sz="0" w:space="0" w:color="auto"/>
      </w:divBdr>
    </w:div>
    <w:div w:id="1622687718">
      <w:bodyDiv w:val="1"/>
      <w:marLeft w:val="0"/>
      <w:marRight w:val="0"/>
      <w:marTop w:val="0"/>
      <w:marBottom w:val="0"/>
      <w:divBdr>
        <w:top w:val="none" w:sz="0" w:space="0" w:color="auto"/>
        <w:left w:val="none" w:sz="0" w:space="0" w:color="auto"/>
        <w:bottom w:val="none" w:sz="0" w:space="0" w:color="auto"/>
        <w:right w:val="none" w:sz="0" w:space="0" w:color="auto"/>
      </w:divBdr>
    </w:div>
    <w:div w:id="1635258798">
      <w:bodyDiv w:val="1"/>
      <w:marLeft w:val="0"/>
      <w:marRight w:val="0"/>
      <w:marTop w:val="0"/>
      <w:marBottom w:val="0"/>
      <w:divBdr>
        <w:top w:val="none" w:sz="0" w:space="0" w:color="auto"/>
        <w:left w:val="none" w:sz="0" w:space="0" w:color="auto"/>
        <w:bottom w:val="none" w:sz="0" w:space="0" w:color="auto"/>
        <w:right w:val="none" w:sz="0" w:space="0" w:color="auto"/>
      </w:divBdr>
    </w:div>
    <w:div w:id="1651247390">
      <w:bodyDiv w:val="1"/>
      <w:marLeft w:val="0"/>
      <w:marRight w:val="0"/>
      <w:marTop w:val="0"/>
      <w:marBottom w:val="0"/>
      <w:divBdr>
        <w:top w:val="none" w:sz="0" w:space="0" w:color="auto"/>
        <w:left w:val="none" w:sz="0" w:space="0" w:color="auto"/>
        <w:bottom w:val="none" w:sz="0" w:space="0" w:color="auto"/>
        <w:right w:val="none" w:sz="0" w:space="0" w:color="auto"/>
      </w:divBdr>
    </w:div>
    <w:div w:id="1664628380">
      <w:bodyDiv w:val="1"/>
      <w:marLeft w:val="0"/>
      <w:marRight w:val="0"/>
      <w:marTop w:val="0"/>
      <w:marBottom w:val="0"/>
      <w:divBdr>
        <w:top w:val="none" w:sz="0" w:space="0" w:color="auto"/>
        <w:left w:val="none" w:sz="0" w:space="0" w:color="auto"/>
        <w:bottom w:val="none" w:sz="0" w:space="0" w:color="auto"/>
        <w:right w:val="none" w:sz="0" w:space="0" w:color="auto"/>
      </w:divBdr>
    </w:div>
    <w:div w:id="1713068064">
      <w:bodyDiv w:val="1"/>
      <w:marLeft w:val="0"/>
      <w:marRight w:val="0"/>
      <w:marTop w:val="0"/>
      <w:marBottom w:val="0"/>
      <w:divBdr>
        <w:top w:val="none" w:sz="0" w:space="0" w:color="auto"/>
        <w:left w:val="none" w:sz="0" w:space="0" w:color="auto"/>
        <w:bottom w:val="none" w:sz="0" w:space="0" w:color="auto"/>
        <w:right w:val="none" w:sz="0" w:space="0" w:color="auto"/>
      </w:divBdr>
    </w:div>
    <w:div w:id="1765345279">
      <w:bodyDiv w:val="1"/>
      <w:marLeft w:val="0"/>
      <w:marRight w:val="0"/>
      <w:marTop w:val="0"/>
      <w:marBottom w:val="0"/>
      <w:divBdr>
        <w:top w:val="none" w:sz="0" w:space="0" w:color="auto"/>
        <w:left w:val="none" w:sz="0" w:space="0" w:color="auto"/>
        <w:bottom w:val="none" w:sz="0" w:space="0" w:color="auto"/>
        <w:right w:val="none" w:sz="0" w:space="0" w:color="auto"/>
      </w:divBdr>
    </w:div>
    <w:div w:id="1766883167">
      <w:bodyDiv w:val="1"/>
      <w:marLeft w:val="0"/>
      <w:marRight w:val="0"/>
      <w:marTop w:val="0"/>
      <w:marBottom w:val="0"/>
      <w:divBdr>
        <w:top w:val="none" w:sz="0" w:space="0" w:color="auto"/>
        <w:left w:val="none" w:sz="0" w:space="0" w:color="auto"/>
        <w:bottom w:val="none" w:sz="0" w:space="0" w:color="auto"/>
        <w:right w:val="none" w:sz="0" w:space="0" w:color="auto"/>
      </w:divBdr>
    </w:div>
    <w:div w:id="1793015540">
      <w:bodyDiv w:val="1"/>
      <w:marLeft w:val="0"/>
      <w:marRight w:val="0"/>
      <w:marTop w:val="0"/>
      <w:marBottom w:val="0"/>
      <w:divBdr>
        <w:top w:val="none" w:sz="0" w:space="0" w:color="auto"/>
        <w:left w:val="none" w:sz="0" w:space="0" w:color="auto"/>
        <w:bottom w:val="none" w:sz="0" w:space="0" w:color="auto"/>
        <w:right w:val="none" w:sz="0" w:space="0" w:color="auto"/>
      </w:divBdr>
    </w:div>
    <w:div w:id="1797136588">
      <w:bodyDiv w:val="1"/>
      <w:marLeft w:val="0"/>
      <w:marRight w:val="0"/>
      <w:marTop w:val="0"/>
      <w:marBottom w:val="0"/>
      <w:divBdr>
        <w:top w:val="none" w:sz="0" w:space="0" w:color="auto"/>
        <w:left w:val="none" w:sz="0" w:space="0" w:color="auto"/>
        <w:bottom w:val="none" w:sz="0" w:space="0" w:color="auto"/>
        <w:right w:val="none" w:sz="0" w:space="0" w:color="auto"/>
      </w:divBdr>
    </w:div>
    <w:div w:id="1806192768">
      <w:bodyDiv w:val="1"/>
      <w:marLeft w:val="0"/>
      <w:marRight w:val="0"/>
      <w:marTop w:val="0"/>
      <w:marBottom w:val="0"/>
      <w:divBdr>
        <w:top w:val="none" w:sz="0" w:space="0" w:color="auto"/>
        <w:left w:val="none" w:sz="0" w:space="0" w:color="auto"/>
        <w:bottom w:val="none" w:sz="0" w:space="0" w:color="auto"/>
        <w:right w:val="none" w:sz="0" w:space="0" w:color="auto"/>
      </w:divBdr>
    </w:div>
    <w:div w:id="1841848703">
      <w:bodyDiv w:val="1"/>
      <w:marLeft w:val="0"/>
      <w:marRight w:val="0"/>
      <w:marTop w:val="0"/>
      <w:marBottom w:val="0"/>
      <w:divBdr>
        <w:top w:val="none" w:sz="0" w:space="0" w:color="auto"/>
        <w:left w:val="none" w:sz="0" w:space="0" w:color="auto"/>
        <w:bottom w:val="none" w:sz="0" w:space="0" w:color="auto"/>
        <w:right w:val="none" w:sz="0" w:space="0" w:color="auto"/>
      </w:divBdr>
    </w:div>
    <w:div w:id="1848330014">
      <w:bodyDiv w:val="1"/>
      <w:marLeft w:val="0"/>
      <w:marRight w:val="0"/>
      <w:marTop w:val="0"/>
      <w:marBottom w:val="0"/>
      <w:divBdr>
        <w:top w:val="none" w:sz="0" w:space="0" w:color="auto"/>
        <w:left w:val="none" w:sz="0" w:space="0" w:color="auto"/>
        <w:bottom w:val="none" w:sz="0" w:space="0" w:color="auto"/>
        <w:right w:val="none" w:sz="0" w:space="0" w:color="auto"/>
      </w:divBdr>
    </w:div>
    <w:div w:id="1848446739">
      <w:bodyDiv w:val="1"/>
      <w:marLeft w:val="0"/>
      <w:marRight w:val="0"/>
      <w:marTop w:val="0"/>
      <w:marBottom w:val="0"/>
      <w:divBdr>
        <w:top w:val="none" w:sz="0" w:space="0" w:color="auto"/>
        <w:left w:val="none" w:sz="0" w:space="0" w:color="auto"/>
        <w:bottom w:val="none" w:sz="0" w:space="0" w:color="auto"/>
        <w:right w:val="none" w:sz="0" w:space="0" w:color="auto"/>
      </w:divBdr>
    </w:div>
    <w:div w:id="1905867907">
      <w:bodyDiv w:val="1"/>
      <w:marLeft w:val="0"/>
      <w:marRight w:val="0"/>
      <w:marTop w:val="0"/>
      <w:marBottom w:val="0"/>
      <w:divBdr>
        <w:top w:val="none" w:sz="0" w:space="0" w:color="auto"/>
        <w:left w:val="none" w:sz="0" w:space="0" w:color="auto"/>
        <w:bottom w:val="none" w:sz="0" w:space="0" w:color="auto"/>
        <w:right w:val="none" w:sz="0" w:space="0" w:color="auto"/>
      </w:divBdr>
    </w:div>
    <w:div w:id="1907258995">
      <w:bodyDiv w:val="1"/>
      <w:marLeft w:val="0"/>
      <w:marRight w:val="0"/>
      <w:marTop w:val="0"/>
      <w:marBottom w:val="0"/>
      <w:divBdr>
        <w:top w:val="none" w:sz="0" w:space="0" w:color="auto"/>
        <w:left w:val="none" w:sz="0" w:space="0" w:color="auto"/>
        <w:bottom w:val="none" w:sz="0" w:space="0" w:color="auto"/>
        <w:right w:val="none" w:sz="0" w:space="0" w:color="auto"/>
      </w:divBdr>
    </w:div>
    <w:div w:id="1948076525">
      <w:bodyDiv w:val="1"/>
      <w:marLeft w:val="0"/>
      <w:marRight w:val="0"/>
      <w:marTop w:val="0"/>
      <w:marBottom w:val="0"/>
      <w:divBdr>
        <w:top w:val="none" w:sz="0" w:space="0" w:color="auto"/>
        <w:left w:val="none" w:sz="0" w:space="0" w:color="auto"/>
        <w:bottom w:val="none" w:sz="0" w:space="0" w:color="auto"/>
        <w:right w:val="none" w:sz="0" w:space="0" w:color="auto"/>
      </w:divBdr>
    </w:div>
    <w:div w:id="1985428227">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74352426">
      <w:bodyDiv w:val="1"/>
      <w:marLeft w:val="0"/>
      <w:marRight w:val="0"/>
      <w:marTop w:val="0"/>
      <w:marBottom w:val="0"/>
      <w:divBdr>
        <w:top w:val="none" w:sz="0" w:space="0" w:color="auto"/>
        <w:left w:val="none" w:sz="0" w:space="0" w:color="auto"/>
        <w:bottom w:val="none" w:sz="0" w:space="0" w:color="auto"/>
        <w:right w:val="none" w:sz="0" w:space="0" w:color="auto"/>
      </w:divBdr>
    </w:div>
    <w:div w:id="2081177237">
      <w:bodyDiv w:val="1"/>
      <w:marLeft w:val="0"/>
      <w:marRight w:val="0"/>
      <w:marTop w:val="0"/>
      <w:marBottom w:val="0"/>
      <w:divBdr>
        <w:top w:val="none" w:sz="0" w:space="0" w:color="auto"/>
        <w:left w:val="none" w:sz="0" w:space="0" w:color="auto"/>
        <w:bottom w:val="none" w:sz="0" w:space="0" w:color="auto"/>
        <w:right w:val="none" w:sz="0" w:space="0" w:color="auto"/>
      </w:divBdr>
    </w:div>
    <w:div w:id="2121873892">
      <w:bodyDiv w:val="1"/>
      <w:marLeft w:val="0"/>
      <w:marRight w:val="0"/>
      <w:marTop w:val="0"/>
      <w:marBottom w:val="0"/>
      <w:divBdr>
        <w:top w:val="none" w:sz="0" w:space="0" w:color="auto"/>
        <w:left w:val="none" w:sz="0" w:space="0" w:color="auto"/>
        <w:bottom w:val="none" w:sz="0" w:space="0" w:color="auto"/>
        <w:right w:val="none" w:sz="0" w:space="0" w:color="auto"/>
      </w:divBdr>
    </w:div>
    <w:div w:id="21277669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1.xml"/><Relationship Id="rId42" Type="http://schemas.openxmlformats.org/officeDocument/2006/relationships/header" Target="header4.xml"/><Relationship Id="rId47" Type="http://schemas.openxmlformats.org/officeDocument/2006/relationships/footer" Target="footer8.xml"/><Relationship Id="rId63" Type="http://schemas.openxmlformats.org/officeDocument/2006/relationships/image" Target="media/image37.emf"/><Relationship Id="rId68" Type="http://schemas.openxmlformats.org/officeDocument/2006/relationships/hyperlink" Target="http://www.population.gov.au" TargetMode="External"/><Relationship Id="rId16" Type="http://schemas.openxmlformats.org/officeDocument/2006/relationships/footer" Target="footer2.xml"/><Relationship Id="rId11" Type="http://schemas.openxmlformats.org/officeDocument/2006/relationships/image" Target="media/image2.wmf"/><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oter" Target="footer7.xm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7.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image" Target="media/image5.jpeg"/><Relationship Id="rId14" Type="http://schemas.openxmlformats.org/officeDocument/2006/relationships/hyperlink" Target="mailto:media@treasury.gov.au" TargetMode="External"/><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header" Target="header5.xml"/><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2.emf"/><Relationship Id="rId77"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image" Target="media/image45.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3.0/au/deed.en" TargetMode="Externa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image" Target="media/image13.svg"/><Relationship Id="rId38" Type="http://schemas.openxmlformats.org/officeDocument/2006/relationships/image" Target="media/image18.emf"/><Relationship Id="rId46" Type="http://schemas.openxmlformats.org/officeDocument/2006/relationships/header" Target="header6.xm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6.png"/><Relationship Id="rId41" Type="http://schemas.openxmlformats.org/officeDocument/2006/relationships/image" Target="media/image21.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3.emf"/><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hyperlink" Target="http://creativecommons.org/licenses/by/3.0/au/legalcode" TargetMode="External"/><Relationship Id="rId31" Type="http://schemas.openxmlformats.org/officeDocument/2006/relationships/image" Target="media/image11.svg"/><Relationship Id="rId44" Type="http://schemas.openxmlformats.org/officeDocument/2006/relationships/footer" Target="footer6.xm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6.emf"/><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3" Type="http://schemas.openxmlformats.org/officeDocument/2006/relationships/hyperlink" Target="https://www.pmc.gov.au/government/commonwealth-coat-arms" TargetMode="External"/><Relationship Id="rId18" Type="http://schemas.openxmlformats.org/officeDocument/2006/relationships/image" Target="media/image4.png"/><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2" Type="http://schemas.openxmlformats.org/officeDocument/2006/relationships/hyperlink" Target="https://coronavirus.jhu.edu/data/mortality" TargetMode="External"/><Relationship Id="rId1" Type="http://schemas.openxmlformats.org/officeDocument/2006/relationships/hyperlink" Target="https://aifs.gov.au/research/facts-and-figures/births-australia-2023" TargetMode="External"/></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Aus22</b:Tag>
    <b:SourceType>DocumentFromInternetSite</b:SourceType>
    <b:Guid>{0616D96F-C868-422C-A28A-E6DAA660CD3C}</b:Guid>
    <b:Author>
      <b:Author>
        <b:Corporate>Australian Bureau of Statistics</b:Corporate>
      </b:Author>
    </b:Author>
    <b:Title>Census of Population and Housing, 2021</b:Title>
    <b:Year>2022</b:Year>
    <b:URL>https://www.abs.gov.au/census</b:URL>
    <b:RefOrder>1</b:RefOrder>
  </b:Source>
  <b:Source>
    <b:Tag>Joh23</b:Tag>
    <b:SourceType>InternetSite</b:SourceType>
    <b:Guid>{236034D6-AB16-44C1-BF10-3F918B990729}</b:Guid>
    <b:Author>
      <b:Author>
        <b:Corporate>Johns Hopkins University</b:Corporate>
      </b:Author>
    </b:Author>
    <b:Title>Mortality analyses</b:Title>
    <b:Year>2023</b:Year>
    <b:URL>https://coronavirus.jhu.edu/data/mortality</b:URL>
    <b:RefOrder>2</b:RefOrder>
  </b:Source>
  <b:Source>
    <b:Tag>Hum23</b:Tag>
    <b:SourceType>InternetSite</b:SourceType>
    <b:Guid>{759DE3EF-2F8F-4935-A570-2A55C45F257E}</b:Guid>
    <b:Author>
      <b:Author>
        <b:Corporate>Human Fertility Database</b:Corporate>
      </b:Author>
    </b:Author>
    <b:Title>Short Term Fertility Fluctuations</b:Title>
    <b:Year>2023</b:Year>
    <b:URL>https://www.humanfertility.org/Data/STFF</b:URL>
    <b:RefOrder>3</b:RefOrder>
  </b:Source>
  <b:Source>
    <b:Tag>McD20</b:Tag>
    <b:SourceType>Report</b:SourceType>
    <b:Guid>{B69619DF-5828-4CA5-8625-BBBC87897698}</b:Guid>
    <b:Author>
      <b:Author>
        <b:NameList>
          <b:Person>
            <b:Last>McDonald</b:Last>
            <b:First>Peter</b:First>
          </b:Person>
        </b:NameList>
      </b:Author>
    </b:Author>
    <b:Title>A Projection of Australia's Future Fertility Rates</b:Title>
    <b:Year>2020</b:Year>
    <b:Publisher>Centre for Population</b:Publisher>
    <b:City>Canberra</b:City>
    <b:RefOrder>4</b:RefOrder>
  </b:Source>
  <b:Source>
    <b:Tag>Off23</b:Tag>
    <b:SourceType>InternetSite</b:SourceType>
    <b:Guid>{6C8D60C5-2388-4C50-B662-BB2715A00EB7}</b:Guid>
    <b:Author>
      <b:Author>
        <b:Corporate>Office for National Statistics</b:Corporate>
      </b:Author>
    </b:Author>
    <b:Title>Long term international migration, provisional: year ending June 2023</b:Title>
    <b:Year>2023</b:Year>
    <b:URL>https://www.ons.gov.uk/peoplepopulationandcommunity/populationandmigration/internationalmigration/bulletins/longterminternationalmigrationprovisional/yearendingjune2023</b:URL>
    <b:RefOrder>5</b:RefOrder>
  </b:Source>
  <b:Source>
    <b:Tag>Aus235</b:Tag>
    <b:SourceType>InternetSite</b:SourceType>
    <b:Guid>{52425891-9533-4A9A-81D8-4BDC5F71EA8F}</b:Guid>
    <b:Author>
      <b:Author>
        <b:Corporate>Australian Bureau of Statistics</b:Corporate>
      </b:Author>
    </b:Author>
    <b:Title>Aboriginal and Torres Strait Islander life expectancy</b:Title>
    <b:Year>2023</b:Year>
    <b:URL>https://www.abs.gov.au/statistics/people/aboriginal-and-torres-strait-islander-peoples/aboriginal-and-torres-strait-islander-life-expectancy/2020-2022</b:URL>
    <b:RefOrder>6</b:RefOrder>
  </b:Source>
  <b:Source>
    <b:Tag>Aus21</b:Tag>
    <b:SourceType>DocumentFromInternetSite</b:SourceType>
    <b:Guid>{3051A502-EE1B-4144-B203-C09D1B5EE8AB}</b:Guid>
    <b:Author>
      <b:Author>
        <b:Corporate>Australian Bureau of Statistics</b:Corporate>
      </b:Author>
    </b:Author>
    <b:Title>Australian Statistical Geography Standard (ASGS) Edition 3</b:Title>
    <b:Year>2021</b:Year>
    <b:URL>https://www.abs.gov.au/statistics/standards/australian-statistical-geography-standard-asgs-edition-3/latest-release</b:URL>
    <b:RefOrder>7</b:RefOrder>
  </b:Source>
  <b:Source>
    <b:Tag>Aus238</b:Tag>
    <b:SourceType>InternetSite</b:SourceType>
    <b:Guid>{9C34CC21-3AFB-4213-9819-8312C7772521}</b:Guid>
    <b:Author>
      <b:Author>
        <b:Corporate>Australian Bureau of Statistics</b:Corporate>
      </b:Author>
    </b:Author>
    <b:Title>Births, Australia, 2022</b:Title>
    <b:Year>2023</b:Year>
    <b:URL>https://www.abs.gov.au/statistics/people/population/births-australia/2022</b:URL>
    <b:RefOrder>8</b:RefOrder>
  </b:Source>
  <b:Source>
    <b:Tag>Sta23</b:Tag>
    <b:SourceType>InternetSite</b:SourceType>
    <b:Guid>{732123C1-F221-4E6B-B818-618738B70744}</b:Guid>
    <b:Author>
      <b:Author>
        <b:Corporate>Statistics Canada</b:Corporate>
      </b:Author>
    </b:Author>
    <b:Title>Estimates of the components of international migration, quarterly</b:Title>
    <b:Year>2023</b:Year>
    <b:URL>https://www150.statcan.gc.ca/t1/tbl1/en/tv.action?pid=1710004001&amp;pickMembers%5B0%5D=1.1&amp;cubeTimeFrame.startMonth=01&amp;cubeTimeFrame.startYear=2018&amp;cubeTimeFrame.endMonth=04&amp;cubeTimeFrame.endYear=2023&amp;referencePeriods=20180101%2C20230401</b:URL>
    <b:RefOrder>9</b:RefOrder>
  </b:Source>
  <b:Source>
    <b:Tag>Cen23</b:Tag>
    <b:SourceType>DocumentFromInternetSite</b:SourceType>
    <b:Guid>{309BD0CC-6BB8-4C7B-BDEA-3FC54A9AAF6C}</b:Guid>
    <b:Author>
      <b:Author>
        <b:Corporate>The Centre for International Economics</b:Corporate>
      </b:Author>
    </b:Author>
    <b:Title>Internal migration in Australia and the impact of government levers</b:Title>
    <b:Year>2023</b:Year>
    <b:URL>https://population.gov.au/sites/population.gov.au/files/2023-11/final-report-internal-migration-aus.pdf</b:URL>
    <b:RefOrder>10</b:RefOrder>
  </b:Source>
  <b:Source>
    <b:Tag>Aus239</b:Tag>
    <b:SourceType>InternetSite</b:SourceType>
    <b:Guid>{47397F03-7CE6-4244-A41F-7EF5DAB18DAF}</b:Guid>
    <b:Author>
      <b:Author>
        <b:Corporate>Australian Bureau of Statistics</b:Corporate>
      </b:Author>
    </b:Author>
    <b:Title>Labour Force, Australia</b:Title>
    <b:Year>2023</b:Year>
    <b:URL>https://www.abs.gov.au/statistics/labour/employment-and-unemployment/labour-force-australia/oct-2023</b:URL>
    <b:RefOrder>11</b:RefOrder>
  </b:Source>
  <b:Source>
    <b:Tag>Aus234</b:Tag>
    <b:SourceType>InternetSite</b:SourceType>
    <b:Guid>{41BDBDA4-B8FB-4C33-8C61-434F7CB7F756}</b:Guid>
    <b:Author>
      <b:Author>
        <b:Corporate>Australian Bureau of Statistics</b:Corporate>
      </b:Author>
    </b:Author>
    <b:Title>Life expectancy, 2020–2022</b:Title>
    <b:Year>2023</b:Year>
    <b:URL>https://www.abs.gov.au/statistics/people/population/life-expectancy/2020-2022</b:URL>
    <b:RefOrder>12</b:RefOrder>
  </b:Source>
  <b:Source>
    <b:Tag>Aus237</b:Tag>
    <b:SourceType>InternetSite</b:SourceType>
    <b:Guid>{936ADFCC-DCF2-4B98-BA42-B7C770FFB0B5}</b:Guid>
    <b:Author>
      <b:Author>
        <b:Corporate>Australian Bureau of Statistics</b:Corporate>
      </b:Author>
    </b:Author>
    <b:Title>Measuring Australian's excess mortality during the COVID-19 pandemic until the first quarter 2023</b:Title>
    <b:Year>2023</b:Year>
    <b:URL>https://www.abs.gov.au/articles/measuring-australias-excess-mortality-during-covid-19-pandemic-until-first-quarter-2023</b:URL>
    <b:RefOrder>13</b:RefOrder>
  </b:Source>
  <b:Source>
    <b:Tag>Aus232</b:Tag>
    <b:SourceType>DocumentFromInternetSite</b:SourceType>
    <b:Guid>{F26CE0CE-B094-43AC-A5A1-0695BF29C8A1}</b:Guid>
    <b:Author>
      <b:Author>
        <b:Corporate>Australian Bureau of Statistics</b:Corporate>
      </b:Author>
    </b:Author>
    <b:Title>National, state and territory population methodology, March 2023</b:Title>
    <b:Year>2023</b:Year>
    <b:URL>https://www.abs.gov.au/methodologies/national-state-and-territory-population-methodology/mar-2023</b:URL>
    <b:RefOrder>14</b:RefOrder>
  </b:Source>
  <b:Source>
    <b:Tag>Aus231</b:Tag>
    <b:SourceType>DocumentFromInternetSite</b:SourceType>
    <b:Guid>{62A05BCF-1E90-416F-9D29-2BF8D57033E8}</b:Guid>
    <b:Author>
      <b:Author>
        <b:Corporate>Australian Bureau of Statistics</b:Corporate>
      </b:Author>
    </b:Author>
    <b:Title>National, state and territory population, March 2023</b:Title>
    <b:Year>2023</b:Year>
    <b:URL>https://www.abs.gov.au/statistics/people/population/national-state-and-territory-population/mar-2023</b:URL>
    <b:RefOrder>15</b:RefOrder>
  </b:Source>
  <b:Source>
    <b:Tag>Aus221</b:Tag>
    <b:SourceType>InternetSite</b:SourceType>
    <b:Guid>{3A0263B4-F4C5-45AA-B61B-AB03C1A54D03}</b:Guid>
    <b:Author>
      <b:Author>
        <b:Corporate>Australian Bureau of Statistics</b:Corporate>
      </b:Author>
    </b:Author>
    <b:Title>Overseas Migration, 2021–22</b:Title>
    <b:Year>2022</b:Year>
    <b:URL>https://www.abs.gov.au/statistics/people/population/overseas-migration/2021-22-financial-year</b:URL>
    <b:RefOrder>16</b:RefOrder>
  </b:Source>
  <b:Source>
    <b:Tag>Aus236</b:Tag>
    <b:SourceType>InternetSite</b:SourceType>
    <b:Guid>{CAD27FF5-1839-4D12-92B3-FF420094EA5E}</b:Guid>
    <b:Title>Provisional Mortality Statistics, January-August 2023</b:Title>
    <b:Year>2023</b:Year>
    <b:URL>https://www.abs.gov.au/statistics/health/causes-death/provisional-mortality-statistics/jan-aug-2023</b:URL>
    <b:Author>
      <b:Author>
        <b:Corporate>Australian Bureau of Statistics</b:Corporate>
      </b:Author>
    </b:Author>
    <b:RefOrder>17</b:RefOrder>
  </b:Source>
  <b:Source>
    <b:Tag>Aus</b:Tag>
    <b:SourceType>InternetSite</b:SourceType>
    <b:Guid>{B9F8A788-4185-4F05-BC9D-5088A61CFFE4}</b:Guid>
    <b:Author>
      <b:Author>
        <b:Corporate>Australian Bureau of Statistics</b:Corporate>
      </b:Author>
    </b:Author>
    <b:Title>Provisional Mortality Statistics, January-December 2022</b:Title>
    <b:Year>2023</b:Year>
    <b:URL>https://www.abs.gov.au/statistics/health/causes-death/provisional-mortality-statistics/jan-dec-2022</b:URL>
    <b:RefOrder>18</b:RefOrder>
  </b:Source>
  <b:Source>
    <b:Tag>Dep23</b:Tag>
    <b:SourceType>InternetSite</b:SourceType>
    <b:Guid>{8DF2509D-40A1-4CAF-B26C-3C0D1BFCBC69}</b:Guid>
    <b:Author>
      <b:Author>
        <b:Corporate>Department of Home Affairs</b:Corporate>
      </b:Author>
    </b:Author>
    <b:Title>Temporary visa holders in Australia</b:Title>
    <b:Year>2023</b:Year>
    <b:URL>https://data.gov.au/dataset/ds-dga-ab245863-4dea-4661-a334-71ee15937130/details?q=temporary%20visa%20holders</b:URL>
    <b:RefOrder>19</b:RefOrder>
  </b:Source>
  <b:Source>
    <b:Tag>The21</b:Tag>
    <b:SourceType>InternetSite</b:SourceType>
    <b:Guid>{D7323615-23D9-4861-8BA5-96B0508A51D0}</b:Guid>
    <b:Author>
      <b:Author>
        <b:Corporate>The Commonwealth of Australia</b:Corporate>
      </b:Author>
    </b:Author>
    <b:Title>2021 Intergenerational Report</b:Title>
    <b:Year>2021</b:Year>
    <b:URL>https://treasury.gov.au/publication/2021-intergenerational-report</b:URL>
    <b:RefOrder>20</b:RefOrder>
  </b:Source>
  <b:Source>
    <b:Tag>Aus233</b:Tag>
    <b:SourceType>DocumentFromInternetSite</b:SourceType>
    <b:Guid>{C36AA382-C2E4-4822-81C0-B7C82FAE0EFC}</b:Guid>
    <b:Author>
      <b:Author>
        <b:Corporate>Australian Bureau of Statistics</b:Corporate>
      </b:Author>
    </b:Author>
    <b:Title>Population Projections, Australia, 2022 (base) – 2071</b:Title>
    <b:Year>2023</b:Year>
    <b:URL>https://www.abs.gov.au/statistics/people/population/population-projections-australia/2022-base-2071</b:URL>
    <b:RefOrder>21</b:RefOrder>
  </b:Source>
  <b:Source>
    <b:Tag>Aus1</b:Tag>
    <b:SourceType>InternetSite</b:SourceType>
    <b:Guid>{062CCCC3-79DC-4B24-81BC-04D6A87F8C98}</b:Guid>
    <b:Author>
      <b:Author>
        <b:Corporate>Australian Bureau of Statistics</b:Corporate>
      </b:Author>
    </b:Author>
    <b:Title>Population Projections, Australia, 2017 (base) – 2066</b:Title>
    <b:URL>https://www.abs.gov.au/statistics/people/population/population-projections-australia/2017-base-2066</b:URL>
    <b:Year>2018</b:Year>
    <b:RefOrder>22</b:RefOrder>
  </b:Source>
  <b:Source>
    <b:Tag>Aus2310</b:Tag>
    <b:SourceType>InternetSite</b:SourceType>
    <b:Guid>{38889AE2-DD27-452B-8CF4-0FF8495A4479}</b:Guid>
    <b:Author>
      <b:Author>
        <b:Corporate>Australian Institute of Family Studies</b:Corporate>
      </b:Author>
    </b:Author>
    <b:Title>Births in Australia: Facts and Figures 2023</b:Title>
    <b:URL>https://aifs.gov.au/research/facts-and-figures/births-australia-2023#:~:text=The%20total%20fertility%20rate%2C%20a,total%20fertility%20rate%20ever%20reported.</b:URL>
    <b:Year>2023</b:Year>
    <b:RefOrder>23</b:RefOrder>
  </b:Source>
  <b:Source>
    <b:Tag>Aus23</b:Tag>
    <b:SourceType>DocumentFromInternetSite</b:SourceType>
    <b:Guid>{C78C0AFF-0DCF-444B-B2FA-B2557DC7AE86}</b:Guid>
    <b:Author>
      <b:Author>
        <b:Corporate>Australian Bureau of Statistics</b:Corporate>
      </b:Author>
    </b:Author>
    <b:Title>Regional Population, 2021–22</b:Title>
    <b:Year>2023</b:Year>
    <b:URL>https://www.abs.gov.au/statistics/people/population/regional-population/2021-22</b:URL>
    <b:RefOrder>24</b:RefOrder>
  </b:Source>
  <b:Source>
    <b:Tag>Aus21d</b:Tag>
    <b:SourceType>InternetSite</b:SourceType>
    <b:Guid>{31A05883-025E-41B0-803B-04155B033597}</b:Guid>
    <b:Title>Life tables</b:Title>
    <b:Year>2022</b:Year>
    <b:URL>https://www.abs.gov.au/statistics/people/population/life-tables/2019-2021</b:URL>
    <b:Author>
      <b:Author>
        <b:NameList>
          <b:Person>
            <b:Last>Australian Bureau of Statistics</b:Last>
          </b:Person>
        </b:NameList>
      </b:Author>
    </b:Author>
    <b:RefOrder>25</b:RefOrder>
  </b:Source>
  <b:Source>
    <b:Tag>ABS23</b:Tag>
    <b:SourceType>InternetSite</b:SourceType>
    <b:Guid>{F549C797-1527-439C-A9FC-82BEEFB51A64}</b:Guid>
    <b:Title>Estimates of Aboriginal and Torres Strait Islander Australians</b:Title>
    <b:Year>2023</b:Year>
    <b:Author>
      <b:Author>
        <b:Corporate>Australian Bureau of Statistics</b:Corporate>
      </b:Author>
    </b:Author>
    <b:URL>https://www.abs.gov.au/statistics/people/aboriginal-and-torres-strait-islander-peoples/estimates-aboriginal-and-torres-strait-islander-australians/30-june-2021</b:URL>
    <b:RefOrder>26</b:RefOrder>
  </b:Source>
</b:Sources>
</file>

<file path=customXml/itemProps1.xml><?xml version="1.0" encoding="utf-8"?>
<ds:datastoreItem xmlns:ds="http://schemas.openxmlformats.org/officeDocument/2006/customXml" ds:itemID="{3770AD2E-1E30-40FB-98F5-5DA5EE93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15729</Words>
  <Characters>86983</Characters>
  <Application>Microsoft Office Word</Application>
  <DocSecurity>0</DocSecurity>
  <Lines>2022</Lines>
  <Paragraphs>1510</Paragraphs>
  <ScaleCrop>false</ScaleCrop>
  <HeadingPairs>
    <vt:vector size="2" baseType="variant">
      <vt:variant>
        <vt:lpstr>Title</vt:lpstr>
      </vt:variant>
      <vt:variant>
        <vt:i4>1</vt:i4>
      </vt:variant>
    </vt:vector>
  </HeadingPairs>
  <TitlesOfParts>
    <vt:vector size="1" baseType="lpstr">
      <vt:lpstr>Population Statement 2023</vt:lpstr>
    </vt:vector>
  </TitlesOfParts>
  <Manager/>
  <Company/>
  <LinksUpToDate>false</LinksUpToDate>
  <CharactersWithSpaces>101202</CharactersWithSpaces>
  <SharedDoc>false</SharedDoc>
  <HLinks>
    <vt:vector size="216" baseType="variant">
      <vt:variant>
        <vt:i4>4587612</vt:i4>
      </vt:variant>
      <vt:variant>
        <vt:i4>237</vt:i4>
      </vt:variant>
      <vt:variant>
        <vt:i4>0</vt:i4>
      </vt:variant>
      <vt:variant>
        <vt:i4>5</vt:i4>
      </vt:variant>
      <vt:variant>
        <vt:lpwstr>http://www.population.gov.au/</vt:lpwstr>
      </vt:variant>
      <vt:variant>
        <vt:lpwstr/>
      </vt:variant>
      <vt:variant>
        <vt:i4>1048626</vt:i4>
      </vt:variant>
      <vt:variant>
        <vt:i4>173</vt:i4>
      </vt:variant>
      <vt:variant>
        <vt:i4>0</vt:i4>
      </vt:variant>
      <vt:variant>
        <vt:i4>5</vt:i4>
      </vt:variant>
      <vt:variant>
        <vt:lpwstr/>
      </vt:variant>
      <vt:variant>
        <vt:lpwstr>_Toc154050226</vt:lpwstr>
      </vt:variant>
      <vt:variant>
        <vt:i4>1048626</vt:i4>
      </vt:variant>
      <vt:variant>
        <vt:i4>167</vt:i4>
      </vt:variant>
      <vt:variant>
        <vt:i4>0</vt:i4>
      </vt:variant>
      <vt:variant>
        <vt:i4>5</vt:i4>
      </vt:variant>
      <vt:variant>
        <vt:lpwstr/>
      </vt:variant>
      <vt:variant>
        <vt:lpwstr>_Toc154050225</vt:lpwstr>
      </vt:variant>
      <vt:variant>
        <vt:i4>1048626</vt:i4>
      </vt:variant>
      <vt:variant>
        <vt:i4>161</vt:i4>
      </vt:variant>
      <vt:variant>
        <vt:i4>0</vt:i4>
      </vt:variant>
      <vt:variant>
        <vt:i4>5</vt:i4>
      </vt:variant>
      <vt:variant>
        <vt:lpwstr/>
      </vt:variant>
      <vt:variant>
        <vt:lpwstr>_Toc154050224</vt:lpwstr>
      </vt:variant>
      <vt:variant>
        <vt:i4>1048626</vt:i4>
      </vt:variant>
      <vt:variant>
        <vt:i4>155</vt:i4>
      </vt:variant>
      <vt:variant>
        <vt:i4>0</vt:i4>
      </vt:variant>
      <vt:variant>
        <vt:i4>5</vt:i4>
      </vt:variant>
      <vt:variant>
        <vt:lpwstr/>
      </vt:variant>
      <vt:variant>
        <vt:lpwstr>_Toc154050223</vt:lpwstr>
      </vt:variant>
      <vt:variant>
        <vt:i4>1048626</vt:i4>
      </vt:variant>
      <vt:variant>
        <vt:i4>149</vt:i4>
      </vt:variant>
      <vt:variant>
        <vt:i4>0</vt:i4>
      </vt:variant>
      <vt:variant>
        <vt:i4>5</vt:i4>
      </vt:variant>
      <vt:variant>
        <vt:lpwstr/>
      </vt:variant>
      <vt:variant>
        <vt:lpwstr>_Toc154050222</vt:lpwstr>
      </vt:variant>
      <vt:variant>
        <vt:i4>1048626</vt:i4>
      </vt:variant>
      <vt:variant>
        <vt:i4>143</vt:i4>
      </vt:variant>
      <vt:variant>
        <vt:i4>0</vt:i4>
      </vt:variant>
      <vt:variant>
        <vt:i4>5</vt:i4>
      </vt:variant>
      <vt:variant>
        <vt:lpwstr/>
      </vt:variant>
      <vt:variant>
        <vt:lpwstr>_Toc154050221</vt:lpwstr>
      </vt:variant>
      <vt:variant>
        <vt:i4>1048626</vt:i4>
      </vt:variant>
      <vt:variant>
        <vt:i4>137</vt:i4>
      </vt:variant>
      <vt:variant>
        <vt:i4>0</vt:i4>
      </vt:variant>
      <vt:variant>
        <vt:i4>5</vt:i4>
      </vt:variant>
      <vt:variant>
        <vt:lpwstr/>
      </vt:variant>
      <vt:variant>
        <vt:lpwstr>_Toc154050220</vt:lpwstr>
      </vt:variant>
      <vt:variant>
        <vt:i4>1245234</vt:i4>
      </vt:variant>
      <vt:variant>
        <vt:i4>131</vt:i4>
      </vt:variant>
      <vt:variant>
        <vt:i4>0</vt:i4>
      </vt:variant>
      <vt:variant>
        <vt:i4>5</vt:i4>
      </vt:variant>
      <vt:variant>
        <vt:lpwstr/>
      </vt:variant>
      <vt:variant>
        <vt:lpwstr>_Toc154050219</vt:lpwstr>
      </vt:variant>
      <vt:variant>
        <vt:i4>1245234</vt:i4>
      </vt:variant>
      <vt:variant>
        <vt:i4>125</vt:i4>
      </vt:variant>
      <vt:variant>
        <vt:i4>0</vt:i4>
      </vt:variant>
      <vt:variant>
        <vt:i4>5</vt:i4>
      </vt:variant>
      <vt:variant>
        <vt:lpwstr/>
      </vt:variant>
      <vt:variant>
        <vt:lpwstr>_Toc154050218</vt:lpwstr>
      </vt:variant>
      <vt:variant>
        <vt:i4>1245234</vt:i4>
      </vt:variant>
      <vt:variant>
        <vt:i4>119</vt:i4>
      </vt:variant>
      <vt:variant>
        <vt:i4>0</vt:i4>
      </vt:variant>
      <vt:variant>
        <vt:i4>5</vt:i4>
      </vt:variant>
      <vt:variant>
        <vt:lpwstr/>
      </vt:variant>
      <vt:variant>
        <vt:lpwstr>_Toc154050217</vt:lpwstr>
      </vt:variant>
      <vt:variant>
        <vt:i4>1245234</vt:i4>
      </vt:variant>
      <vt:variant>
        <vt:i4>113</vt:i4>
      </vt:variant>
      <vt:variant>
        <vt:i4>0</vt:i4>
      </vt:variant>
      <vt:variant>
        <vt:i4>5</vt:i4>
      </vt:variant>
      <vt:variant>
        <vt:lpwstr/>
      </vt:variant>
      <vt:variant>
        <vt:lpwstr>_Toc154050216</vt:lpwstr>
      </vt:variant>
      <vt:variant>
        <vt:i4>1245234</vt:i4>
      </vt:variant>
      <vt:variant>
        <vt:i4>107</vt:i4>
      </vt:variant>
      <vt:variant>
        <vt:i4>0</vt:i4>
      </vt:variant>
      <vt:variant>
        <vt:i4>5</vt:i4>
      </vt:variant>
      <vt:variant>
        <vt:lpwstr/>
      </vt:variant>
      <vt:variant>
        <vt:lpwstr>_Toc154050215</vt:lpwstr>
      </vt:variant>
      <vt:variant>
        <vt:i4>1245234</vt:i4>
      </vt:variant>
      <vt:variant>
        <vt:i4>101</vt:i4>
      </vt:variant>
      <vt:variant>
        <vt:i4>0</vt:i4>
      </vt:variant>
      <vt:variant>
        <vt:i4>5</vt:i4>
      </vt:variant>
      <vt:variant>
        <vt:lpwstr/>
      </vt:variant>
      <vt:variant>
        <vt:lpwstr>_Toc154050214</vt:lpwstr>
      </vt:variant>
      <vt:variant>
        <vt:i4>1245234</vt:i4>
      </vt:variant>
      <vt:variant>
        <vt:i4>95</vt:i4>
      </vt:variant>
      <vt:variant>
        <vt:i4>0</vt:i4>
      </vt:variant>
      <vt:variant>
        <vt:i4>5</vt:i4>
      </vt:variant>
      <vt:variant>
        <vt:lpwstr/>
      </vt:variant>
      <vt:variant>
        <vt:lpwstr>_Toc154050213</vt:lpwstr>
      </vt:variant>
      <vt:variant>
        <vt:i4>1245234</vt:i4>
      </vt:variant>
      <vt:variant>
        <vt:i4>89</vt:i4>
      </vt:variant>
      <vt:variant>
        <vt:i4>0</vt:i4>
      </vt:variant>
      <vt:variant>
        <vt:i4>5</vt:i4>
      </vt:variant>
      <vt:variant>
        <vt:lpwstr/>
      </vt:variant>
      <vt:variant>
        <vt:lpwstr>_Toc154050212</vt:lpwstr>
      </vt:variant>
      <vt:variant>
        <vt:i4>1245234</vt:i4>
      </vt:variant>
      <vt:variant>
        <vt:i4>83</vt:i4>
      </vt:variant>
      <vt:variant>
        <vt:i4>0</vt:i4>
      </vt:variant>
      <vt:variant>
        <vt:i4>5</vt:i4>
      </vt:variant>
      <vt:variant>
        <vt:lpwstr/>
      </vt:variant>
      <vt:variant>
        <vt:lpwstr>_Toc154050211</vt:lpwstr>
      </vt:variant>
      <vt:variant>
        <vt:i4>1245234</vt:i4>
      </vt:variant>
      <vt:variant>
        <vt:i4>77</vt:i4>
      </vt:variant>
      <vt:variant>
        <vt:i4>0</vt:i4>
      </vt:variant>
      <vt:variant>
        <vt:i4>5</vt:i4>
      </vt:variant>
      <vt:variant>
        <vt:lpwstr/>
      </vt:variant>
      <vt:variant>
        <vt:lpwstr>_Toc154050210</vt:lpwstr>
      </vt:variant>
      <vt:variant>
        <vt:i4>1179698</vt:i4>
      </vt:variant>
      <vt:variant>
        <vt:i4>71</vt:i4>
      </vt:variant>
      <vt:variant>
        <vt:i4>0</vt:i4>
      </vt:variant>
      <vt:variant>
        <vt:i4>5</vt:i4>
      </vt:variant>
      <vt:variant>
        <vt:lpwstr/>
      </vt:variant>
      <vt:variant>
        <vt:lpwstr>_Toc154050209</vt:lpwstr>
      </vt:variant>
      <vt:variant>
        <vt:i4>1179698</vt:i4>
      </vt:variant>
      <vt:variant>
        <vt:i4>65</vt:i4>
      </vt:variant>
      <vt:variant>
        <vt:i4>0</vt:i4>
      </vt:variant>
      <vt:variant>
        <vt:i4>5</vt:i4>
      </vt:variant>
      <vt:variant>
        <vt:lpwstr/>
      </vt:variant>
      <vt:variant>
        <vt:lpwstr>_Toc154050208</vt:lpwstr>
      </vt:variant>
      <vt:variant>
        <vt:i4>1179698</vt:i4>
      </vt:variant>
      <vt:variant>
        <vt:i4>59</vt:i4>
      </vt:variant>
      <vt:variant>
        <vt:i4>0</vt:i4>
      </vt:variant>
      <vt:variant>
        <vt:i4>5</vt:i4>
      </vt:variant>
      <vt:variant>
        <vt:lpwstr/>
      </vt:variant>
      <vt:variant>
        <vt:lpwstr>_Toc154050207</vt:lpwstr>
      </vt:variant>
      <vt:variant>
        <vt:i4>1179698</vt:i4>
      </vt:variant>
      <vt:variant>
        <vt:i4>53</vt:i4>
      </vt:variant>
      <vt:variant>
        <vt:i4>0</vt:i4>
      </vt:variant>
      <vt:variant>
        <vt:i4>5</vt:i4>
      </vt:variant>
      <vt:variant>
        <vt:lpwstr/>
      </vt:variant>
      <vt:variant>
        <vt:lpwstr>_Toc154050206</vt:lpwstr>
      </vt:variant>
      <vt:variant>
        <vt:i4>1179698</vt:i4>
      </vt:variant>
      <vt:variant>
        <vt:i4>47</vt:i4>
      </vt:variant>
      <vt:variant>
        <vt:i4>0</vt:i4>
      </vt:variant>
      <vt:variant>
        <vt:i4>5</vt:i4>
      </vt:variant>
      <vt:variant>
        <vt:lpwstr/>
      </vt:variant>
      <vt:variant>
        <vt:lpwstr>_Toc154050205</vt:lpwstr>
      </vt:variant>
      <vt:variant>
        <vt:i4>1179698</vt:i4>
      </vt:variant>
      <vt:variant>
        <vt:i4>41</vt:i4>
      </vt:variant>
      <vt:variant>
        <vt:i4>0</vt:i4>
      </vt:variant>
      <vt:variant>
        <vt:i4>5</vt:i4>
      </vt:variant>
      <vt:variant>
        <vt:lpwstr/>
      </vt:variant>
      <vt:variant>
        <vt:lpwstr>_Toc154050204</vt:lpwstr>
      </vt:variant>
      <vt:variant>
        <vt:i4>1179698</vt:i4>
      </vt:variant>
      <vt:variant>
        <vt:i4>35</vt:i4>
      </vt:variant>
      <vt:variant>
        <vt:i4>0</vt:i4>
      </vt:variant>
      <vt:variant>
        <vt:i4>5</vt:i4>
      </vt:variant>
      <vt:variant>
        <vt:lpwstr/>
      </vt:variant>
      <vt:variant>
        <vt:lpwstr>_Toc154050203</vt:lpwstr>
      </vt:variant>
      <vt:variant>
        <vt:i4>1179698</vt:i4>
      </vt:variant>
      <vt:variant>
        <vt:i4>29</vt:i4>
      </vt:variant>
      <vt:variant>
        <vt:i4>0</vt:i4>
      </vt:variant>
      <vt:variant>
        <vt:i4>5</vt:i4>
      </vt:variant>
      <vt:variant>
        <vt:lpwstr/>
      </vt:variant>
      <vt:variant>
        <vt:lpwstr>_Toc154050202</vt:lpwstr>
      </vt:variant>
      <vt:variant>
        <vt:i4>1179698</vt:i4>
      </vt:variant>
      <vt:variant>
        <vt:i4>23</vt:i4>
      </vt:variant>
      <vt:variant>
        <vt:i4>0</vt:i4>
      </vt:variant>
      <vt:variant>
        <vt:i4>5</vt:i4>
      </vt:variant>
      <vt:variant>
        <vt:lpwstr/>
      </vt:variant>
      <vt:variant>
        <vt:lpwstr>_Toc154050201</vt:lpwstr>
      </vt:variant>
      <vt:variant>
        <vt:i4>1179698</vt:i4>
      </vt:variant>
      <vt:variant>
        <vt:i4>17</vt:i4>
      </vt:variant>
      <vt:variant>
        <vt:i4>0</vt:i4>
      </vt:variant>
      <vt:variant>
        <vt:i4>5</vt:i4>
      </vt:variant>
      <vt:variant>
        <vt:lpwstr/>
      </vt:variant>
      <vt:variant>
        <vt:lpwstr>_Toc154050200</vt:lpwstr>
      </vt:variant>
      <vt:variant>
        <vt:i4>105</vt:i4>
      </vt:variant>
      <vt:variant>
        <vt:i4>12</vt:i4>
      </vt:variant>
      <vt:variant>
        <vt:i4>0</vt:i4>
      </vt:variant>
      <vt:variant>
        <vt:i4>5</vt:i4>
      </vt:variant>
      <vt:variant>
        <vt:lpwstr>mailto:media@treasury.gov.au</vt:lpwstr>
      </vt:variant>
      <vt:variant>
        <vt:lpwstr/>
      </vt:variant>
      <vt:variant>
        <vt:i4>5439552</vt:i4>
      </vt:variant>
      <vt:variant>
        <vt:i4>9</vt:i4>
      </vt:variant>
      <vt:variant>
        <vt:i4>0</vt:i4>
      </vt:variant>
      <vt:variant>
        <vt:i4>5</vt:i4>
      </vt:variant>
      <vt:variant>
        <vt:lpwstr>https://www.pmc.gov.au/government/commonwealth-coat-arms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2162811</vt:i4>
      </vt:variant>
      <vt:variant>
        <vt:i4>3</vt:i4>
      </vt:variant>
      <vt:variant>
        <vt:i4>0</vt:i4>
      </vt:variant>
      <vt:variant>
        <vt:i4>5</vt:i4>
      </vt:variant>
      <vt:variant>
        <vt:lpwstr>https://coronavirus.jhu.edu/data/mortality</vt:lpwstr>
      </vt:variant>
      <vt:variant>
        <vt:lpwstr/>
      </vt:variant>
      <vt:variant>
        <vt:i4>5177439</vt:i4>
      </vt:variant>
      <vt:variant>
        <vt:i4>0</vt:i4>
      </vt:variant>
      <vt:variant>
        <vt:i4>0</vt:i4>
      </vt:variant>
      <vt:variant>
        <vt:i4>5</vt:i4>
      </vt:variant>
      <vt:variant>
        <vt:lpwstr>https://aifs.gov.au/research/facts-and-figures/births-australia-2023</vt:lpwstr>
      </vt:variant>
      <vt:variant>
        <vt:lpwstr/>
      </vt:variant>
      <vt:variant>
        <vt:i4>4325485</vt:i4>
      </vt:variant>
      <vt:variant>
        <vt:i4>0</vt:i4>
      </vt:variant>
      <vt:variant>
        <vt:i4>0</vt:i4>
      </vt:variant>
      <vt:variant>
        <vt:i4>5</vt:i4>
      </vt:variant>
      <vt:variant>
        <vt:lpwstr>mailto:Nick.Chia@TREASURY.GOV.AU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Statement 2023</dc:title>
  <dc:subject/>
  <dc:creator/>
  <cp:keywords/>
  <cp:lastModifiedBy/>
  <cp:revision>1</cp:revision>
  <dcterms:created xsi:type="dcterms:W3CDTF">2023-12-21T05:04:00Z</dcterms:created>
  <dcterms:modified xsi:type="dcterms:W3CDTF">2023-12-21T05:08:00Z</dcterms:modified>
</cp:coreProperties>
</file>