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7109EFF0" w:rsidR="00725216" w:rsidRPr="00463005" w:rsidRDefault="007B446B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>
        <w:rPr>
          <w:b/>
          <w:bCs/>
          <w:i/>
          <w:iCs/>
          <w:color w:val="FFFFFF" w:themeColor="background1"/>
          <w:sz w:val="28"/>
          <w:szCs w:val="28"/>
        </w:rPr>
        <w:t>21 March 2024</w:t>
      </w:r>
    </w:p>
    <w:tbl>
      <w:tblPr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725216" w:rsidRPr="00F21FAB" w14:paraId="57BC2909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B52E41" w14:textId="13A11F93" w:rsidR="00725216" w:rsidRPr="003A7FFE" w:rsidRDefault="007B446B" w:rsidP="00463005">
            <w:pPr>
              <w:pStyle w:val="Heading2"/>
            </w:pPr>
            <w:bookmarkStart w:id="1" w:name="_Ref74896474"/>
            <w:bookmarkEnd w:id="0"/>
            <w:r>
              <w:t>National, state and territory population</w:t>
            </w:r>
            <w:r w:rsidR="004A6BC4">
              <w:t xml:space="preserve">, </w:t>
            </w:r>
            <w:bookmarkEnd w:id="1"/>
            <w:r>
              <w:t>September 2023</w:t>
            </w:r>
          </w:p>
        </w:tc>
      </w:tr>
      <w:tr w:rsidR="00725216" w:rsidRPr="0023709A" w14:paraId="37605938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CCE3F6" w:themeFill="accent2" w:themeFillTint="33"/>
            <w:vAlign w:val="center"/>
          </w:tcPr>
          <w:p w14:paraId="150DB404" w14:textId="6B5BD98A" w:rsidR="009A3FAB" w:rsidRDefault="009A3FAB" w:rsidP="007362B4">
            <w:pPr>
              <w:pStyle w:val="BoxText"/>
            </w:pPr>
            <w:r w:rsidRPr="00D514F4">
              <w:t>Australia</w:t>
            </w:r>
            <w:r w:rsidR="00AC25AA" w:rsidRPr="00D514F4">
              <w:t>’s</w:t>
            </w:r>
            <w:r w:rsidRPr="00D514F4">
              <w:t xml:space="preserve"> </w:t>
            </w:r>
            <w:r w:rsidR="00D242ED">
              <w:t>p</w:t>
            </w:r>
            <w:r w:rsidR="00AC25AA" w:rsidRPr="00D514F4">
              <w:t>opulation</w:t>
            </w:r>
            <w:r w:rsidR="00417AB5" w:rsidRPr="00D514F4">
              <w:t xml:space="preserve"> </w:t>
            </w:r>
            <w:r w:rsidR="00575B24" w:rsidRPr="00D514F4">
              <w:t>wa</w:t>
            </w:r>
            <w:r w:rsidR="00C06A53" w:rsidRPr="00D514F4">
              <w:t>s</w:t>
            </w:r>
            <w:r w:rsidR="00AC70F1" w:rsidRPr="00D514F4">
              <w:t xml:space="preserve"> </w:t>
            </w:r>
            <w:r w:rsidR="00647678" w:rsidRPr="00D514F4">
              <w:t>2</w:t>
            </w:r>
            <w:r w:rsidR="00733BF0" w:rsidRPr="00D514F4">
              <w:t>6</w:t>
            </w:r>
            <w:r w:rsidR="002A3510" w:rsidRPr="00D514F4">
              <w:t>.</w:t>
            </w:r>
            <w:r w:rsidR="00B95172" w:rsidRPr="00D514F4">
              <w:t>8</w:t>
            </w:r>
            <w:r w:rsidR="002A3510" w:rsidRPr="00D514F4">
              <w:t xml:space="preserve"> million </w:t>
            </w:r>
            <w:proofErr w:type="gramStart"/>
            <w:r w:rsidR="00D514F4">
              <w:t>at</w:t>
            </w:r>
            <w:proofErr w:type="gramEnd"/>
            <w:r w:rsidR="00D514F4" w:rsidRPr="00D514F4">
              <w:t xml:space="preserve"> </w:t>
            </w:r>
            <w:r w:rsidR="00D514F4">
              <w:t>30</w:t>
            </w:r>
            <w:r w:rsidR="00D514F4" w:rsidRPr="00D514F4">
              <w:t xml:space="preserve"> </w:t>
            </w:r>
            <w:r w:rsidRPr="00D514F4">
              <w:t>September 2023</w:t>
            </w:r>
            <w:r w:rsidR="00AC70F1" w:rsidRPr="00D514F4">
              <w:t>.</w:t>
            </w:r>
            <w:r w:rsidR="007F7AB0" w:rsidRPr="00D514F4">
              <w:t xml:space="preserve"> </w:t>
            </w:r>
            <w:r w:rsidR="007B411E" w:rsidRPr="00D514F4">
              <w:t>Th</w:t>
            </w:r>
            <w:r w:rsidR="00612A6C" w:rsidRPr="00D514F4">
              <w:t>is</w:t>
            </w:r>
            <w:r w:rsidR="007B411E" w:rsidRPr="00D514F4">
              <w:t xml:space="preserve"> was </w:t>
            </w:r>
            <w:r w:rsidR="006468BB" w:rsidRPr="00D514F4">
              <w:t>2</w:t>
            </w:r>
            <w:r w:rsidR="00AC70F1" w:rsidRPr="00D514F4">
              <w:t>.</w:t>
            </w:r>
            <w:r w:rsidR="006357CC" w:rsidRPr="00D514F4">
              <w:t>5 </w:t>
            </w:r>
            <w:r w:rsidR="00132E80" w:rsidRPr="00D514F4">
              <w:t>per </w:t>
            </w:r>
            <w:r w:rsidR="00AC70F1" w:rsidRPr="00D514F4">
              <w:t>cent</w:t>
            </w:r>
            <w:r w:rsidR="007B411E" w:rsidRPr="00D514F4">
              <w:t xml:space="preserve"> higher than a year earlier</w:t>
            </w:r>
            <w:r w:rsidR="003B630C" w:rsidRPr="00D514F4">
              <w:t xml:space="preserve">, the highest level of growth </w:t>
            </w:r>
            <w:r w:rsidR="00161E5E" w:rsidRPr="00D514F4">
              <w:t xml:space="preserve">since the </w:t>
            </w:r>
            <w:r w:rsidR="003532C3" w:rsidRPr="00D514F4">
              <w:t>1950s</w:t>
            </w:r>
            <w:r w:rsidR="000A68C4">
              <w:t>.</w:t>
            </w:r>
            <w:r w:rsidR="003B630C">
              <w:t xml:space="preserve"> </w:t>
            </w:r>
          </w:p>
          <w:p w14:paraId="13878D05" w14:textId="00207DE8" w:rsidR="0056006C" w:rsidRDefault="000A68C4" w:rsidP="007362B4">
            <w:pPr>
              <w:pStyle w:val="BoxText"/>
            </w:pPr>
            <w:r w:rsidRPr="00C80D6B">
              <w:t xml:space="preserve">Growth was driven by a net inflow of </w:t>
            </w:r>
            <w:r w:rsidR="00661C31" w:rsidRPr="00C80D6B">
              <w:t>54</w:t>
            </w:r>
            <w:r w:rsidR="00812C51" w:rsidRPr="00C80D6B">
              <w:t>9</w:t>
            </w:r>
            <w:r w:rsidRPr="00C80D6B">
              <w:t>,000 overseas migrants over the year</w:t>
            </w:r>
            <w:r w:rsidR="00677C03" w:rsidRPr="00C80D6B">
              <w:t xml:space="preserve"> to September 2023</w:t>
            </w:r>
            <w:r w:rsidRPr="00C80D6B">
              <w:t xml:space="preserve">. </w:t>
            </w:r>
            <w:r w:rsidR="00CD02A7" w:rsidRPr="005A0B35">
              <w:t xml:space="preserve">The </w:t>
            </w:r>
            <w:r w:rsidR="006904FF" w:rsidRPr="005A0B35">
              <w:t>historically</w:t>
            </w:r>
            <w:r w:rsidR="00CD02A7" w:rsidRPr="005A0B35">
              <w:t xml:space="preserve"> large inflow of overseas migrants </w:t>
            </w:r>
            <w:r w:rsidR="00D70C0B" w:rsidRPr="005A0B35">
              <w:t>continues</w:t>
            </w:r>
            <w:r w:rsidR="00CD02A7" w:rsidRPr="005A0B35">
              <w:t xml:space="preserve"> </w:t>
            </w:r>
            <w:r w:rsidR="00726FFB" w:rsidRPr="005A0B35">
              <w:t xml:space="preserve">to </w:t>
            </w:r>
            <w:r w:rsidR="00CD02A7" w:rsidRPr="005A0B35">
              <w:t>ref</w:t>
            </w:r>
            <w:r w:rsidR="00812B97" w:rsidRPr="005A0B35">
              <w:t xml:space="preserve">lect </w:t>
            </w:r>
            <w:r w:rsidR="00630529" w:rsidRPr="005A0B35">
              <w:t>a catch</w:t>
            </w:r>
            <w:r w:rsidR="006C417A" w:rsidRPr="005A0B35">
              <w:t>-</w:t>
            </w:r>
            <w:r w:rsidR="00630529" w:rsidRPr="005A0B35">
              <w:t xml:space="preserve">up </w:t>
            </w:r>
            <w:r w:rsidR="000E29D7" w:rsidRPr="005A0B35">
              <w:t>following</w:t>
            </w:r>
            <w:r w:rsidR="0056006C" w:rsidRPr="005A0B35">
              <w:t xml:space="preserve"> pandemic</w:t>
            </w:r>
            <w:r w:rsidR="00B75118">
              <w:t>-</w:t>
            </w:r>
            <w:r w:rsidR="00482FED" w:rsidRPr="005A0B35">
              <w:t>era</w:t>
            </w:r>
            <w:r w:rsidR="0056006C" w:rsidRPr="005A0B35">
              <w:t xml:space="preserve"> border </w:t>
            </w:r>
            <w:proofErr w:type="gramStart"/>
            <w:r w:rsidR="0056006C" w:rsidRPr="005A0B35">
              <w:t>restrictions</w:t>
            </w:r>
            <w:proofErr w:type="gramEnd"/>
            <w:r w:rsidR="0056006C" w:rsidRPr="005A0B35">
              <w:t>.</w:t>
            </w:r>
            <w:r w:rsidR="006904FF" w:rsidRPr="005A0B35">
              <w:t xml:space="preserve"> </w:t>
            </w:r>
            <w:r w:rsidR="00C80D6B" w:rsidRPr="00550753">
              <w:t xml:space="preserve">Elevated NOM has been driven by arrivals of temporary migrants, particularly students, </w:t>
            </w:r>
            <w:r w:rsidR="00726FFB" w:rsidRPr="00550753">
              <w:t>while d</w:t>
            </w:r>
            <w:r w:rsidR="00C80D6B" w:rsidRPr="00550753">
              <w:t>epartures remain low due to the relatively recent arrival of many temporary migrants</w:t>
            </w:r>
            <w:r w:rsidR="003D47BF" w:rsidRPr="00550753">
              <w:t>.</w:t>
            </w:r>
            <w:r w:rsidR="009B270B">
              <w:t xml:space="preserve"> </w:t>
            </w:r>
          </w:p>
          <w:p w14:paraId="1BC43E81" w14:textId="01813F4F" w:rsidR="00081ED3" w:rsidRDefault="00081ED3" w:rsidP="004F1094">
            <w:pPr>
              <w:pStyle w:val="BoxText"/>
            </w:pPr>
            <w:r>
              <w:t xml:space="preserve">Natural increase (births minus deaths) </w:t>
            </w:r>
            <w:r w:rsidR="0087712A">
              <w:t xml:space="preserve">remained low, </w:t>
            </w:r>
            <w:r w:rsidRPr="00DF6E43">
              <w:t>f</w:t>
            </w:r>
            <w:r w:rsidR="0087712A">
              <w:t>a</w:t>
            </w:r>
            <w:r w:rsidRPr="00DF6E43">
              <w:t>ll</w:t>
            </w:r>
            <w:r w:rsidR="0087712A">
              <w:t>ing</w:t>
            </w:r>
            <w:r w:rsidRPr="0066407B">
              <w:t xml:space="preserve"> </w:t>
            </w:r>
            <w:r>
              <w:t xml:space="preserve">to </w:t>
            </w:r>
            <w:r w:rsidR="006075E2">
              <w:t>111</w:t>
            </w:r>
            <w:r>
              <w:t xml:space="preserve">,000 over the year to </w:t>
            </w:r>
            <w:r w:rsidR="00836BE3">
              <w:t>September</w:t>
            </w:r>
            <w:r>
              <w:t xml:space="preserve"> 2023</w:t>
            </w:r>
            <w:r w:rsidR="002424CA">
              <w:t>. This was</w:t>
            </w:r>
            <w:r>
              <w:t xml:space="preserve"> a </w:t>
            </w:r>
            <w:r w:rsidRPr="00DF6E43">
              <w:t>decrease</w:t>
            </w:r>
            <w:r>
              <w:t xml:space="preserve"> of </w:t>
            </w:r>
            <w:r w:rsidR="0073529B">
              <w:t>4.</w:t>
            </w:r>
            <w:r w:rsidR="005E765B">
              <w:t>0</w:t>
            </w:r>
            <w:r w:rsidR="00836BE3">
              <w:t> </w:t>
            </w:r>
            <w:r>
              <w:t>per</w:t>
            </w:r>
            <w:r w:rsidR="008D6F01">
              <w:t> </w:t>
            </w:r>
            <w:r>
              <w:t xml:space="preserve">cent from </w:t>
            </w:r>
            <w:r w:rsidR="005E765B">
              <w:t xml:space="preserve">September </w:t>
            </w:r>
            <w:r w:rsidR="000A16B0">
              <w:t>2022</w:t>
            </w:r>
            <w:r w:rsidR="005B6FCD">
              <w:t xml:space="preserve">. </w:t>
            </w:r>
            <w:r w:rsidR="00670A32">
              <w:t>Lower</w:t>
            </w:r>
            <w:r w:rsidRPr="00DF6E43">
              <w:t xml:space="preserve"> </w:t>
            </w:r>
            <w:r>
              <w:t xml:space="preserve">births </w:t>
            </w:r>
            <w:r w:rsidR="00D05633">
              <w:t>drove this decline,</w:t>
            </w:r>
            <w:r w:rsidR="006E518F">
              <w:t xml:space="preserve"> partially</w:t>
            </w:r>
            <w:r w:rsidR="00D05633">
              <w:t xml:space="preserve"> offset by </w:t>
            </w:r>
            <w:r w:rsidR="006E518F">
              <w:t>lower</w:t>
            </w:r>
            <w:r w:rsidR="005B6FCD">
              <w:t xml:space="preserve"> deaths</w:t>
            </w:r>
            <w:r>
              <w:t>.</w:t>
            </w:r>
          </w:p>
          <w:p w14:paraId="2D191C53" w14:textId="3F444926" w:rsidR="001A0A6D" w:rsidRPr="00F1136A" w:rsidRDefault="001A0A6D" w:rsidP="004F1094">
            <w:pPr>
              <w:pStyle w:val="BoxText"/>
              <w:rPr>
                <w:szCs w:val="19"/>
              </w:rPr>
            </w:pPr>
            <w:r w:rsidRPr="000452D8">
              <w:t>Western Australia</w:t>
            </w:r>
            <w:r w:rsidR="000452D8">
              <w:t xml:space="preserve">’s population grew faster than any other jurisdiction </w:t>
            </w:r>
            <w:r w:rsidRPr="000452D8">
              <w:t xml:space="preserve">over the year to </w:t>
            </w:r>
            <w:r w:rsidR="00443DBF" w:rsidRPr="000452D8">
              <w:t>September</w:t>
            </w:r>
            <w:r w:rsidRPr="000452D8">
              <w:t xml:space="preserve"> 2023 at </w:t>
            </w:r>
            <w:r w:rsidR="002C3C78">
              <w:t>3.</w:t>
            </w:r>
            <w:r w:rsidR="00501163">
              <w:t>3 </w:t>
            </w:r>
            <w:r w:rsidRPr="000452D8">
              <w:t>per cent, followed by Victoria (</w:t>
            </w:r>
            <w:r w:rsidR="00143824">
              <w:t>2.9</w:t>
            </w:r>
            <w:r w:rsidR="00443DBF" w:rsidRPr="00A737C7">
              <w:t xml:space="preserve"> </w:t>
            </w:r>
            <w:r w:rsidRPr="000452D8">
              <w:t>per cent) and Queensland (</w:t>
            </w:r>
            <w:r w:rsidR="00A46F02" w:rsidRPr="00A46F02">
              <w:t>2.7</w:t>
            </w:r>
            <w:r w:rsidR="00443DBF" w:rsidRPr="00443DBF">
              <w:t xml:space="preserve"> </w:t>
            </w:r>
            <w:r w:rsidRPr="000452D8">
              <w:t>per cent). Tasmania (</w:t>
            </w:r>
            <w:r w:rsidR="006F7048" w:rsidRPr="006F7048">
              <w:t>0.3</w:t>
            </w:r>
            <w:r w:rsidRPr="006F7048">
              <w:t xml:space="preserve"> </w:t>
            </w:r>
            <w:r w:rsidRPr="000452D8">
              <w:t>per cent) and Northern Territory (</w:t>
            </w:r>
            <w:r w:rsidR="006F7048" w:rsidRPr="006F7048">
              <w:t>0.7</w:t>
            </w:r>
            <w:r w:rsidR="00443DBF" w:rsidRPr="00443DBF">
              <w:t xml:space="preserve"> </w:t>
            </w:r>
            <w:r w:rsidRPr="000452D8">
              <w:t>per cent) were the slowest growing jurisdictions.</w:t>
            </w:r>
          </w:p>
        </w:tc>
      </w:tr>
      <w:tr w:rsidR="00725216" w:rsidRPr="0023709A" w14:paraId="6484E700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64B949C" w14:textId="43740EB9" w:rsidR="00725216" w:rsidRPr="004C38EA" w:rsidRDefault="007B446B" w:rsidP="00167155">
            <w:pPr>
              <w:pStyle w:val="Heading3"/>
              <w:keepNext w:val="0"/>
            </w:pPr>
            <w:r>
              <w:t>National population</w:t>
            </w:r>
            <w:r w:rsidR="005C3E0D">
              <w:t xml:space="preserve"> growth</w:t>
            </w:r>
          </w:p>
          <w:p w14:paraId="5FA8208A" w14:textId="336DC427" w:rsidR="001C04AA" w:rsidRDefault="00FF0CC2" w:rsidP="00F21FAB">
            <w:r>
              <w:t xml:space="preserve">Australia’s </w:t>
            </w:r>
            <w:r w:rsidRPr="00935205">
              <w:rPr>
                <w:b/>
                <w:bCs/>
              </w:rPr>
              <w:t>population</w:t>
            </w:r>
            <w:r>
              <w:t xml:space="preserve"> grew by </w:t>
            </w:r>
            <w:r w:rsidR="00AB088F">
              <w:t>6</w:t>
            </w:r>
            <w:r w:rsidR="00A3471E">
              <w:t>6</w:t>
            </w:r>
            <w:r w:rsidR="00F20698">
              <w:t>0</w:t>
            </w:r>
            <w:r>
              <w:t>,</w:t>
            </w:r>
            <w:r w:rsidR="00A3471E">
              <w:t xml:space="preserve">000 </w:t>
            </w:r>
            <w:r>
              <w:t xml:space="preserve">people over the year to September 2023. </w:t>
            </w:r>
            <w:r w:rsidR="00372DAC">
              <w:t>Th</w:t>
            </w:r>
            <w:r w:rsidR="007262E5">
              <w:t>e</w:t>
            </w:r>
            <w:r w:rsidR="001C04AA" w:rsidRPr="009F32C9">
              <w:t xml:space="preserve"> </w:t>
            </w:r>
            <w:r w:rsidR="004C67A8">
              <w:t>annual</w:t>
            </w:r>
            <w:r w:rsidR="001C04AA" w:rsidRPr="009F32C9">
              <w:t xml:space="preserve"> population growth </w:t>
            </w:r>
            <w:r w:rsidR="00F84B4E">
              <w:t xml:space="preserve">rate of 2.5 per cent </w:t>
            </w:r>
            <w:r w:rsidR="004C67A8">
              <w:t xml:space="preserve">increased slightly </w:t>
            </w:r>
            <w:r w:rsidR="001C04AA" w:rsidRPr="009F32C9">
              <w:t>from the June quarter (2.4 per cent)</w:t>
            </w:r>
            <w:r w:rsidR="00F90027">
              <w:t xml:space="preserve">, </w:t>
            </w:r>
            <w:r w:rsidR="0013289F">
              <w:t>reaching the high</w:t>
            </w:r>
            <w:r w:rsidR="00DE7296">
              <w:t xml:space="preserve">est </w:t>
            </w:r>
            <w:r w:rsidR="003532C3">
              <w:t>level</w:t>
            </w:r>
            <w:r w:rsidR="001C04AA" w:rsidRPr="009F32C9">
              <w:t xml:space="preserve"> since the 1950s.</w:t>
            </w:r>
            <w:r w:rsidR="00284A62">
              <w:t xml:space="preserve"> </w:t>
            </w:r>
            <w:r w:rsidR="000C7B60">
              <w:t>The p</w:t>
            </w:r>
            <w:r w:rsidR="001C04AA">
              <w:t>opulation grew by</w:t>
            </w:r>
            <w:r w:rsidR="007D072E">
              <w:t xml:space="preserve"> </w:t>
            </w:r>
            <w:r w:rsidR="00DF3895" w:rsidRPr="0035224B">
              <w:t>17</w:t>
            </w:r>
            <w:r w:rsidR="007D072E" w:rsidRPr="0035224B">
              <w:t>3</w:t>
            </w:r>
            <w:r w:rsidR="001C04AA">
              <w:t xml:space="preserve">,000 people or </w:t>
            </w:r>
            <w:r w:rsidR="00171E3C" w:rsidRPr="00083006">
              <w:t>0</w:t>
            </w:r>
            <w:r w:rsidR="001C04AA" w:rsidRPr="00083006">
              <w:t>.</w:t>
            </w:r>
            <w:r w:rsidR="002A6B6B" w:rsidRPr="00083006">
              <w:t>6</w:t>
            </w:r>
            <w:r w:rsidR="001C04AA" w:rsidRPr="00083006">
              <w:t xml:space="preserve"> </w:t>
            </w:r>
            <w:r w:rsidR="001C04AA">
              <w:t>per cent</w:t>
            </w:r>
            <w:r w:rsidR="0080146C">
              <w:t xml:space="preserve"> in the September 2023 quarter</w:t>
            </w:r>
            <w:r w:rsidR="009346A4">
              <w:t>. T</w:t>
            </w:r>
            <w:r w:rsidR="00A509A3">
              <w:t xml:space="preserve">his was </w:t>
            </w:r>
            <w:r w:rsidR="001C04AA">
              <w:t xml:space="preserve">driven </w:t>
            </w:r>
            <w:r w:rsidR="001C04AA" w:rsidRPr="001C122B">
              <w:t xml:space="preserve">by </w:t>
            </w:r>
            <w:r w:rsidR="002A7B22">
              <w:t>N</w:t>
            </w:r>
            <w:r w:rsidR="001C04AA">
              <w:t xml:space="preserve">et </w:t>
            </w:r>
            <w:r w:rsidR="002A7B22">
              <w:t>O</w:t>
            </w:r>
            <w:r w:rsidR="001C04AA">
              <w:t xml:space="preserve">verseas </w:t>
            </w:r>
            <w:r w:rsidR="002A7B22">
              <w:t>M</w:t>
            </w:r>
            <w:r w:rsidR="001C04AA">
              <w:t xml:space="preserve">igration </w:t>
            </w:r>
            <w:r w:rsidR="001769AE">
              <w:t xml:space="preserve">(NOM) </w:t>
            </w:r>
            <w:r w:rsidR="001C04AA" w:rsidRPr="001C122B">
              <w:t>as students arrive</w:t>
            </w:r>
            <w:r w:rsidR="00895417" w:rsidRPr="001C122B">
              <w:t>d</w:t>
            </w:r>
            <w:r w:rsidR="001C04AA" w:rsidRPr="001C122B">
              <w:t xml:space="preserve"> for the second semester</w:t>
            </w:r>
            <w:r w:rsidR="001C04AA">
              <w:t xml:space="preserve">, while natural increase </w:t>
            </w:r>
            <w:r w:rsidR="002D6D10">
              <w:t>remained</w:t>
            </w:r>
            <w:r w:rsidR="001C04AA">
              <w:t xml:space="preserve"> relatively low (Chart 1).</w:t>
            </w:r>
            <w:r w:rsidR="000C7B60">
              <w:t xml:space="preserve"> </w:t>
            </w:r>
          </w:p>
          <w:p w14:paraId="627C5184" w14:textId="2BEDAD14" w:rsidR="007D6738" w:rsidRDefault="001B44BB" w:rsidP="00F21FAB">
            <w:r w:rsidRPr="00E24479">
              <w:rPr>
                <w:b/>
                <w:bCs/>
              </w:rPr>
              <w:t>NOM</w:t>
            </w:r>
            <w:r>
              <w:t xml:space="preserve"> (Chart </w:t>
            </w:r>
            <w:r w:rsidR="00F94C94">
              <w:t>2</w:t>
            </w:r>
            <w:r>
              <w:t xml:space="preserve">) </w:t>
            </w:r>
            <w:r w:rsidR="008F1790">
              <w:t>reached a new high</w:t>
            </w:r>
            <w:r w:rsidR="002F4FAD" w:rsidRPr="00D514F4">
              <w:t xml:space="preserve"> of 549,000</w:t>
            </w:r>
            <w:r w:rsidR="00910EA4" w:rsidRPr="00D514F4">
              <w:t xml:space="preserve"> </w:t>
            </w:r>
            <w:r w:rsidR="00B07618">
              <w:t>over</w:t>
            </w:r>
            <w:r w:rsidR="00910EA4" w:rsidRPr="00D514F4">
              <w:t xml:space="preserve"> the year to September 2023</w:t>
            </w:r>
            <w:r w:rsidR="00334A9C" w:rsidRPr="00D514F4">
              <w:t>.</w:t>
            </w:r>
            <w:r w:rsidR="008F1790">
              <w:t xml:space="preserve"> </w:t>
            </w:r>
            <w:r w:rsidR="008259CA">
              <w:t>NOM</w:t>
            </w:r>
            <w:r w:rsidR="00A06BB3">
              <w:t xml:space="preserve"> </w:t>
            </w:r>
            <w:r w:rsidR="00334A9C" w:rsidRPr="00D514F4">
              <w:t xml:space="preserve">in the September 2023 </w:t>
            </w:r>
            <w:r w:rsidR="00335CE8" w:rsidRPr="00D514F4">
              <w:t xml:space="preserve">quarter </w:t>
            </w:r>
            <w:r w:rsidR="00334A9C" w:rsidRPr="00D514F4">
              <w:t xml:space="preserve">was </w:t>
            </w:r>
            <w:r w:rsidR="00DD632D" w:rsidRPr="00844EA1">
              <w:t>145</w:t>
            </w:r>
            <w:r w:rsidR="00A06BB3">
              <w:t>,000</w:t>
            </w:r>
            <w:r w:rsidR="001F31D3">
              <w:t>,</w:t>
            </w:r>
            <w:r w:rsidR="008259CA">
              <w:t xml:space="preserve"> the </w:t>
            </w:r>
            <w:r w:rsidR="0054727A" w:rsidRPr="00994DD6">
              <w:t xml:space="preserve">second </w:t>
            </w:r>
            <w:r w:rsidR="008259CA" w:rsidRPr="00994DD6">
              <w:t xml:space="preserve">highest </w:t>
            </w:r>
            <w:r w:rsidR="00CC0111" w:rsidRPr="00994DD6">
              <w:t xml:space="preserve">on </w:t>
            </w:r>
            <w:r w:rsidR="00667BEF" w:rsidRPr="00994DD6">
              <w:t>record</w:t>
            </w:r>
            <w:r w:rsidR="008F1790" w:rsidRPr="00994DD6">
              <w:t xml:space="preserve">. </w:t>
            </w:r>
            <w:r w:rsidR="00994DD6" w:rsidRPr="001E3C73">
              <w:rPr>
                <w:rStyle w:val="cf01"/>
              </w:rPr>
              <w:t xml:space="preserve">NOM is </w:t>
            </w:r>
            <w:r w:rsidR="00480947" w:rsidRPr="004F0727">
              <w:rPr>
                <w:rStyle w:val="cf01"/>
              </w:rPr>
              <w:t>seasonal</w:t>
            </w:r>
            <w:r w:rsidR="00230E3C" w:rsidRPr="004F0727">
              <w:rPr>
                <w:rStyle w:val="cf01"/>
              </w:rPr>
              <w:t>,</w:t>
            </w:r>
            <w:r w:rsidR="00480947" w:rsidRPr="004F0727">
              <w:rPr>
                <w:rStyle w:val="cf01"/>
              </w:rPr>
              <w:t xml:space="preserve"> </w:t>
            </w:r>
            <w:r w:rsidR="00480947" w:rsidRPr="00E670B4">
              <w:t>with student</w:t>
            </w:r>
            <w:r w:rsidR="00230E3C" w:rsidRPr="00E670B4">
              <w:t>s driving higher</w:t>
            </w:r>
            <w:r w:rsidR="006458CD">
              <w:t xml:space="preserve"> NOM</w:t>
            </w:r>
            <w:r w:rsidR="00C80D6B" w:rsidRPr="00E670B4">
              <w:t xml:space="preserve"> in the March and September quarters</w:t>
            </w:r>
            <w:r w:rsidR="00623077" w:rsidRPr="00E670B4">
              <w:t>.</w:t>
            </w:r>
            <w:r w:rsidR="008259CA" w:rsidRPr="00994DD6">
              <w:t xml:space="preserve"> </w:t>
            </w:r>
          </w:p>
          <w:p w14:paraId="53CE2BB4" w14:textId="57C8FD2D" w:rsidR="0077398A" w:rsidRDefault="008259CA" w:rsidP="00F21FAB">
            <w:r w:rsidRPr="00994DD6">
              <w:t>NOM</w:t>
            </w:r>
            <w:r>
              <w:t xml:space="preserve"> for 2022</w:t>
            </w:r>
            <w:r w:rsidR="0047374F">
              <w:noBreakHyphen/>
            </w:r>
            <w:r>
              <w:t>23</w:t>
            </w:r>
            <w:r w:rsidR="001300CF">
              <w:t xml:space="preserve"> was</w:t>
            </w:r>
            <w:r w:rsidRPr="00A85A3D">
              <w:t xml:space="preserve"> revised</w:t>
            </w:r>
            <w:r>
              <w:t xml:space="preserve"> </w:t>
            </w:r>
            <w:r w:rsidR="00590B84">
              <w:t xml:space="preserve">up </w:t>
            </w:r>
            <w:r>
              <w:t xml:space="preserve">to </w:t>
            </w:r>
            <w:r w:rsidR="000B1461" w:rsidRPr="00F23F55">
              <w:t>528</w:t>
            </w:r>
            <w:r w:rsidR="000652E2" w:rsidRPr="00F23F55">
              <w:t>,</w:t>
            </w:r>
            <w:r w:rsidR="002D6F6A" w:rsidRPr="00F23F55">
              <w:t>000</w:t>
            </w:r>
            <w:r w:rsidR="00667BEF">
              <w:t xml:space="preserve">, </w:t>
            </w:r>
            <w:r>
              <w:t>from 518</w:t>
            </w:r>
            <w:r w:rsidRPr="00A85A3D">
              <w:t>,000.</w:t>
            </w:r>
            <w:r w:rsidR="00B07202">
              <w:t xml:space="preserve"> </w:t>
            </w:r>
            <w:r w:rsidR="00B07202" w:rsidRPr="00E670B4">
              <w:t>The lat</w:t>
            </w:r>
            <w:r w:rsidR="00FD5CC1" w:rsidRPr="00E670B4">
              <w:t>est</w:t>
            </w:r>
            <w:r w:rsidR="00B07202" w:rsidRPr="00E670B4">
              <w:t xml:space="preserve"> </w:t>
            </w:r>
            <w:r w:rsidR="001028A9">
              <w:t>four</w:t>
            </w:r>
            <w:r w:rsidR="00255930">
              <w:t xml:space="preserve"> quarters</w:t>
            </w:r>
            <w:r w:rsidR="00B07202" w:rsidRPr="00E670B4">
              <w:t xml:space="preserve"> of NOM</w:t>
            </w:r>
            <w:r w:rsidR="0037086D" w:rsidRPr="00E670B4">
              <w:t xml:space="preserve"> </w:t>
            </w:r>
            <w:r w:rsidR="00EA3BF5">
              <w:t>are</w:t>
            </w:r>
            <w:r w:rsidR="0037086D" w:rsidRPr="00E670B4">
              <w:t xml:space="preserve"> preliminary</w:t>
            </w:r>
            <w:r w:rsidR="00D82F7A">
              <w:t xml:space="preserve"> and subject to future ABS revisions</w:t>
            </w:r>
            <w:r w:rsidR="00383DE4">
              <w:t>. The</w:t>
            </w:r>
            <w:r w:rsidR="00172C89">
              <w:t xml:space="preserve"> September quarter NOM</w:t>
            </w:r>
            <w:r w:rsidR="00B07202" w:rsidRPr="00E670B4">
              <w:t xml:space="preserve"> </w:t>
            </w:r>
            <w:r w:rsidR="00BE5060" w:rsidRPr="00E670B4">
              <w:t>will be finalised in March 2025</w:t>
            </w:r>
            <w:r w:rsidR="00B07202" w:rsidRPr="00E670B4">
              <w:t>.</w:t>
            </w:r>
            <w:r w:rsidR="001954D8">
              <w:t xml:space="preserve"> </w:t>
            </w:r>
          </w:p>
          <w:p w14:paraId="7E3E5D62" w14:textId="5AA9C7E4" w:rsidR="001A0A6D" w:rsidRPr="00B00649" w:rsidRDefault="001A0A6D" w:rsidP="00F1136A">
            <w:pPr>
              <w:spacing w:after="240"/>
            </w:pPr>
            <w:r w:rsidRPr="00AF4FC8">
              <w:rPr>
                <w:b/>
                <w:bCs/>
              </w:rPr>
              <w:t>Natural increase</w:t>
            </w:r>
            <w:r w:rsidRPr="00B00649">
              <w:t xml:space="preserve"> </w:t>
            </w:r>
            <w:r w:rsidR="007C745D" w:rsidRPr="00B00649">
              <w:t xml:space="preserve">over the year to </w:t>
            </w:r>
            <w:r w:rsidR="007C745D">
              <w:t>September</w:t>
            </w:r>
            <w:r w:rsidR="007C745D" w:rsidRPr="00B00649">
              <w:t xml:space="preserve"> 2023</w:t>
            </w:r>
            <w:r w:rsidR="007C745D">
              <w:t xml:space="preserve"> </w:t>
            </w:r>
            <w:r w:rsidRPr="00B00649">
              <w:t xml:space="preserve">was </w:t>
            </w:r>
            <w:r w:rsidR="002B71EE">
              <w:t>111</w:t>
            </w:r>
            <w:r w:rsidRPr="00B00649">
              <w:t>,000,</w:t>
            </w:r>
            <w:r w:rsidR="0068420A">
              <w:t xml:space="preserve"> a fall of </w:t>
            </w:r>
            <w:r w:rsidR="009F5AC5">
              <w:t>5</w:t>
            </w:r>
            <w:r w:rsidRPr="00B00649">
              <w:t>,000 (</w:t>
            </w:r>
            <w:r w:rsidR="00A900D5">
              <w:t>4</w:t>
            </w:r>
            <w:r w:rsidR="00B00649" w:rsidRPr="007403BF">
              <w:rPr>
                <w:b/>
              </w:rPr>
              <w:t>.</w:t>
            </w:r>
            <w:r w:rsidR="007403BF" w:rsidRPr="007403BF">
              <w:t>0</w:t>
            </w:r>
            <w:r w:rsidR="00B00649" w:rsidRPr="00B00649">
              <w:t xml:space="preserve"> </w:t>
            </w:r>
            <w:r w:rsidRPr="00B00649">
              <w:t>per cent)</w:t>
            </w:r>
            <w:r w:rsidR="00D86597">
              <w:t xml:space="preserve"> compared to September 2022</w:t>
            </w:r>
            <w:r w:rsidR="00741CCD">
              <w:t>. The fall was</w:t>
            </w:r>
            <w:r w:rsidRPr="00B00649">
              <w:t xml:space="preserve"> driven by</w:t>
            </w:r>
            <w:r w:rsidR="006D7BD2">
              <w:t xml:space="preserve"> </w:t>
            </w:r>
            <w:r w:rsidR="005947D8">
              <w:t xml:space="preserve">lower </w:t>
            </w:r>
            <w:r w:rsidR="006D7BD2">
              <w:t>births</w:t>
            </w:r>
            <w:r w:rsidR="005947D8">
              <w:t>,</w:t>
            </w:r>
            <w:r w:rsidR="00611202">
              <w:t xml:space="preserve"> </w:t>
            </w:r>
            <w:r w:rsidR="006D7BD2">
              <w:t>with</w:t>
            </w:r>
            <w:r w:rsidR="006D7BD2" w:rsidRPr="00B00649">
              <w:t xml:space="preserve"> </w:t>
            </w:r>
            <w:r w:rsidR="006D7BD2">
              <w:t>295</w:t>
            </w:r>
            <w:r w:rsidR="006D7BD2" w:rsidRPr="00B00649">
              <w:t xml:space="preserve">,000 births over the year to </w:t>
            </w:r>
            <w:r w:rsidR="006D7BD2">
              <w:t>September</w:t>
            </w:r>
            <w:r w:rsidR="006D7BD2" w:rsidRPr="00B00649">
              <w:t xml:space="preserve"> 2023, a decrease of </w:t>
            </w:r>
            <w:r w:rsidR="006D7BD2" w:rsidRPr="00616341">
              <w:t xml:space="preserve">3.6 </w:t>
            </w:r>
            <w:r w:rsidR="006D7BD2" w:rsidRPr="00B00649">
              <w:t>per</w:t>
            </w:r>
            <w:r w:rsidR="006D7BD2">
              <w:t> </w:t>
            </w:r>
            <w:r w:rsidR="006D7BD2" w:rsidRPr="00B00649">
              <w:t>cent</w:t>
            </w:r>
            <w:r w:rsidR="006D7BD2">
              <w:t>. This was offset by</w:t>
            </w:r>
            <w:r w:rsidRPr="00B00649">
              <w:t xml:space="preserve"> </w:t>
            </w:r>
            <w:r w:rsidR="002C31CA">
              <w:t xml:space="preserve">annual </w:t>
            </w:r>
            <w:r w:rsidR="00741CCD">
              <w:t>deaths (</w:t>
            </w:r>
            <w:r w:rsidR="003F4E64">
              <w:t>184</w:t>
            </w:r>
            <w:r w:rsidR="00F572EC" w:rsidRPr="00B00649">
              <w:t>,000</w:t>
            </w:r>
            <w:r w:rsidR="00741CCD">
              <w:t>)</w:t>
            </w:r>
            <w:r w:rsidR="00F572EC" w:rsidRPr="00B00649">
              <w:t xml:space="preserve"> </w:t>
            </w:r>
            <w:r w:rsidR="001A419F">
              <w:t>decreas</w:t>
            </w:r>
            <w:r w:rsidR="006D7BD2">
              <w:t>ing</w:t>
            </w:r>
            <w:r w:rsidR="00F572EC" w:rsidRPr="00B00649">
              <w:t xml:space="preserve"> </w:t>
            </w:r>
            <w:r w:rsidR="00742BC0">
              <w:t>3.4</w:t>
            </w:r>
            <w:r w:rsidR="00B00649">
              <w:rPr>
                <w:b/>
                <w:bCs/>
                <w:color w:val="C00000"/>
              </w:rPr>
              <w:t xml:space="preserve"> </w:t>
            </w:r>
            <w:r w:rsidR="00F572EC" w:rsidRPr="00B00649">
              <w:t>per cent from the previous year</w:t>
            </w:r>
            <w:r w:rsidR="00741CCD">
              <w:t xml:space="preserve">. </w:t>
            </w:r>
            <w:r w:rsidR="00F94C94">
              <w:t>F</w:t>
            </w:r>
            <w:r w:rsidR="00F572EC" w:rsidRPr="00B00649">
              <w:t xml:space="preserve">ertility and mortality </w:t>
            </w:r>
            <w:r w:rsidR="00F1136A" w:rsidRPr="00B00649">
              <w:t xml:space="preserve">are </w:t>
            </w:r>
            <w:r w:rsidR="00741CCD">
              <w:t>detailed</w:t>
            </w:r>
            <w:r w:rsidR="00F572EC" w:rsidRPr="00B00649">
              <w:t xml:space="preserve"> in Chart</w:t>
            </w:r>
            <w:r w:rsidR="00BC0CAC">
              <w:t>s</w:t>
            </w:r>
            <w:r w:rsidR="00F572EC" w:rsidRPr="00B00649">
              <w:t xml:space="preserve"> 4 and 5.</w:t>
            </w:r>
          </w:p>
          <w:p w14:paraId="430AC75F" w14:textId="49025EEC" w:rsidR="00725216" w:rsidRDefault="007B446B" w:rsidP="0071158B">
            <w:pPr>
              <w:pStyle w:val="Chartheading"/>
            </w:pPr>
            <w:r>
              <w:t xml:space="preserve">Quarterly </w:t>
            </w:r>
            <w:r w:rsidR="0071158B">
              <w:t>national population growth and components</w:t>
            </w:r>
          </w:p>
          <w:p w14:paraId="2D0644AA" w14:textId="311CC578" w:rsidR="00815AE9" w:rsidRPr="00945E30" w:rsidRDefault="00260DDC" w:rsidP="00284A62">
            <w:pPr>
              <w:spacing w:befor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B19CDC" wp14:editId="33946E02">
                  <wp:extent cx="5695315" cy="2505710"/>
                  <wp:effectExtent l="0" t="0" r="635" b="8890"/>
                  <wp:docPr id="1" name="Picture 1" descr="Quarterly series of population growth from September 2013 to September 2023 including components. Population growth was lower during COVID-19 and has been high in recent quarters due to strong net overseas mig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uarterly series of population growth from September 2013 to September 2023 including components. Population growth was lower during COVID-19 and has been high in recent quarters due to strong net overseas migration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315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23" w:rsidRPr="0023709A" w14:paraId="2F61D29C" w14:textId="77777777" w:rsidTr="003414DA">
        <w:trPr>
          <w:trHeight w:val="300"/>
        </w:trPr>
        <w:tc>
          <w:tcPr>
            <w:tcW w:w="2500" w:type="pct"/>
            <w:shd w:val="clear" w:color="auto" w:fill="auto"/>
          </w:tcPr>
          <w:p w14:paraId="2A974B6C" w14:textId="77777777" w:rsidR="006F4223" w:rsidRDefault="006F4223" w:rsidP="004F1094">
            <w:pPr>
              <w:pStyle w:val="Heading3"/>
            </w:pPr>
            <w:r>
              <w:lastRenderedPageBreak/>
              <w:t>Overseas migration</w:t>
            </w:r>
          </w:p>
          <w:p w14:paraId="3B721E6D" w14:textId="48222C14" w:rsidR="00F41E5E" w:rsidRDefault="00F41E5E" w:rsidP="00F41E5E">
            <w:r>
              <w:t>NOM was</w:t>
            </w:r>
            <w:r w:rsidR="00E27C88">
              <w:t xml:space="preserve"> </w:t>
            </w:r>
            <w:r w:rsidR="00D5181F">
              <w:t>the</w:t>
            </w:r>
            <w:r w:rsidR="00E27C88">
              <w:t xml:space="preserve"> main driver of population growth,</w:t>
            </w:r>
            <w:r>
              <w:t xml:space="preserve"> </w:t>
            </w:r>
            <w:r w:rsidR="00E27C88">
              <w:t xml:space="preserve">adding </w:t>
            </w:r>
            <w:r w:rsidR="00337692" w:rsidRPr="00337692">
              <w:t>549</w:t>
            </w:r>
            <w:r w:rsidR="00E27C88">
              <w:t>,000</w:t>
            </w:r>
            <w:r w:rsidR="00300886">
              <w:t xml:space="preserve"> people</w:t>
            </w:r>
            <w:r w:rsidR="00E27C88">
              <w:t xml:space="preserve"> </w:t>
            </w:r>
            <w:r w:rsidR="008E4A6C">
              <w:t>over</w:t>
            </w:r>
            <w:r w:rsidR="00AA46B1">
              <w:t xml:space="preserve"> </w:t>
            </w:r>
            <w:r w:rsidR="00E27C88">
              <w:t>the year to September</w:t>
            </w:r>
            <w:r w:rsidR="00FA18AA">
              <w:t xml:space="preserve"> 2023</w:t>
            </w:r>
            <w:r w:rsidR="00E27C88">
              <w:t xml:space="preserve">, including </w:t>
            </w:r>
            <w:r w:rsidR="00E80705" w:rsidRPr="00E80705">
              <w:t>145</w:t>
            </w:r>
            <w:r>
              <w:t xml:space="preserve">,000 in the September </w:t>
            </w:r>
            <w:r w:rsidR="00FA18AA">
              <w:t>quarter</w:t>
            </w:r>
            <w:r>
              <w:t xml:space="preserve">. </w:t>
            </w:r>
          </w:p>
          <w:p w14:paraId="5C87AD8F" w14:textId="031ED460" w:rsidR="006F4223" w:rsidRDefault="00BD4923" w:rsidP="00F21FAB">
            <w:r>
              <w:t xml:space="preserve">Elevated </w:t>
            </w:r>
            <w:r w:rsidR="00CC2262">
              <w:t>NOM</w:t>
            </w:r>
            <w:r>
              <w:t xml:space="preserve"> </w:t>
            </w:r>
            <w:r w:rsidR="00017CCC">
              <w:t xml:space="preserve">has been </w:t>
            </w:r>
            <w:r>
              <w:t>driven by</w:t>
            </w:r>
            <w:r w:rsidR="004C5DA2">
              <w:t xml:space="preserve"> arrivals of temporary migrant</w:t>
            </w:r>
            <w:r w:rsidR="00F0319E">
              <w:t>s</w:t>
            </w:r>
            <w:r w:rsidR="004C5DA2">
              <w:t>, particularly</w:t>
            </w:r>
            <w:r>
              <w:t xml:space="preserve"> students, </w:t>
            </w:r>
            <w:r w:rsidR="008C7FBD">
              <w:t xml:space="preserve">reflecting a catch-up </w:t>
            </w:r>
            <w:r w:rsidR="00017CCC">
              <w:t xml:space="preserve">from </w:t>
            </w:r>
            <w:r w:rsidR="008C7FBD">
              <w:t xml:space="preserve">low or negative NOM during the pandemic. </w:t>
            </w:r>
            <w:r w:rsidR="002F5258">
              <w:t>D</w:t>
            </w:r>
            <w:r>
              <w:t>epartures</w:t>
            </w:r>
            <w:r w:rsidR="000D02FF">
              <w:t xml:space="preserve"> </w:t>
            </w:r>
            <w:r w:rsidR="00226D0F">
              <w:t>remain</w:t>
            </w:r>
            <w:r w:rsidR="000D02FF">
              <w:t xml:space="preserve"> low</w:t>
            </w:r>
            <w:r w:rsidR="003E6FB9">
              <w:t xml:space="preserve"> due to </w:t>
            </w:r>
            <w:r w:rsidR="00AB47AA">
              <w:t xml:space="preserve">the </w:t>
            </w:r>
            <w:r w:rsidR="002F5258">
              <w:t xml:space="preserve">relatively </w:t>
            </w:r>
            <w:r w:rsidR="00AB47AA">
              <w:t>recen</w:t>
            </w:r>
            <w:r w:rsidR="00BF1D3F">
              <w:t>t arrival</w:t>
            </w:r>
            <w:r w:rsidR="00AB47AA">
              <w:t xml:space="preserve"> of many</w:t>
            </w:r>
            <w:r w:rsidR="0034649E">
              <w:t xml:space="preserve"> </w:t>
            </w:r>
            <w:r w:rsidR="00D3298E">
              <w:t xml:space="preserve">temporary </w:t>
            </w:r>
            <w:r w:rsidR="002F5258">
              <w:t>migrants</w:t>
            </w:r>
            <w:r>
              <w:t>.</w:t>
            </w:r>
          </w:p>
          <w:p w14:paraId="2380A8FD" w14:textId="01EC8CFE" w:rsidR="00FA5B01" w:rsidRDefault="0060758B" w:rsidP="0060758B">
            <w:pPr>
              <w:pStyle w:val="Chartheading"/>
              <w:tabs>
                <w:tab w:val="clear" w:pos="992"/>
                <w:tab w:val="num" w:pos="873"/>
              </w:tabs>
            </w:pPr>
            <w:r>
              <w:t>Overseas migration, year ending</w:t>
            </w:r>
          </w:p>
          <w:p w14:paraId="4D9147A9" w14:textId="66ECC898" w:rsidR="006B18F6" w:rsidRPr="00834409" w:rsidRDefault="006849F1" w:rsidP="00F21FAB">
            <w:r>
              <w:rPr>
                <w:noProof/>
              </w:rPr>
              <w:drawing>
                <wp:inline distT="0" distB="0" distL="0" distR="0" wp14:anchorId="24D84C6F" wp14:editId="7F08363A">
                  <wp:extent cx="2778760" cy="2296160"/>
                  <wp:effectExtent l="0" t="0" r="2540" b="8890"/>
                  <wp:docPr id="2" name="Picture 2" descr="Quarterly net overseas migration including departures and arrivals. Migration was lower during COVID-19 and has been high in recent quarters due to high arriva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uarterly net overseas migration including departures and arrivals. Migration was lower during COVID-19 and has been high in recent quarters due to high arrivals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760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14:paraId="59E76BEC" w14:textId="1BB6ADE4" w:rsidR="006F4223" w:rsidRDefault="006F4223" w:rsidP="004F1094">
            <w:pPr>
              <w:pStyle w:val="Heading3"/>
            </w:pPr>
            <w:r>
              <w:t>Inte</w:t>
            </w:r>
            <w:r w:rsidR="0077398A">
              <w:t xml:space="preserve">rnal </w:t>
            </w:r>
            <w:r>
              <w:t>migration</w:t>
            </w:r>
          </w:p>
          <w:p w14:paraId="7376BF63" w14:textId="4738AC1D" w:rsidR="006F4223" w:rsidRDefault="003F242A" w:rsidP="00F21FAB">
            <w:r w:rsidRPr="00CA7588">
              <w:t>Interstate migration</w:t>
            </w:r>
            <w:r>
              <w:t xml:space="preserve"> </w:t>
            </w:r>
            <w:r w:rsidR="006A0428">
              <w:t>is</w:t>
            </w:r>
            <w:r w:rsidR="006A0428" w:rsidRPr="004216C8">
              <w:t xml:space="preserve"> </w:t>
            </w:r>
            <w:r w:rsidRPr="004216C8">
              <w:t>below pre</w:t>
            </w:r>
            <w:r w:rsidRPr="004216C8">
              <w:noBreakHyphen/>
              <w:t>pandemic levels</w:t>
            </w:r>
            <w:r w:rsidR="006B4767" w:rsidRPr="006B4767">
              <w:t xml:space="preserve">, </w:t>
            </w:r>
            <w:r w:rsidR="004216C8">
              <w:t>with interstate moves</w:t>
            </w:r>
            <w:r w:rsidR="006A0428">
              <w:t xml:space="preserve"> </w:t>
            </w:r>
            <w:r w:rsidR="008E4A6C">
              <w:t xml:space="preserve">over </w:t>
            </w:r>
            <w:r w:rsidR="006A0428">
              <w:t>the year</w:t>
            </w:r>
            <w:r w:rsidR="004216C8">
              <w:t xml:space="preserve"> </w:t>
            </w:r>
            <w:r w:rsidR="00D86707">
              <w:t>to</w:t>
            </w:r>
            <w:r w:rsidR="004216C8">
              <w:t xml:space="preserve"> September 2023 (</w:t>
            </w:r>
            <w:r w:rsidR="00155DCB">
              <w:t>379</w:t>
            </w:r>
            <w:r w:rsidR="004216C8">
              <w:t xml:space="preserve">,000) </w:t>
            </w:r>
            <w:r w:rsidR="001F5838" w:rsidRPr="0076462D">
              <w:rPr>
                <w:rFonts w:cs="Times New Roman"/>
                <w:lang w:eastAsia="en-AU"/>
              </w:rPr>
              <w:t>21</w:t>
            </w:r>
            <w:r w:rsidR="004216C8" w:rsidRPr="0076462D">
              <w:rPr>
                <w:rFonts w:cs="Times New Roman"/>
                <w:lang w:eastAsia="en-AU"/>
              </w:rPr>
              <w:t xml:space="preserve"> </w:t>
            </w:r>
            <w:r w:rsidR="004216C8" w:rsidRPr="004216C8">
              <w:t xml:space="preserve">per cent below </w:t>
            </w:r>
            <w:r w:rsidR="00411DD0">
              <w:t>September</w:t>
            </w:r>
            <w:r w:rsidR="004216C8">
              <w:t xml:space="preserve"> 2019.</w:t>
            </w:r>
          </w:p>
          <w:p w14:paraId="0588919D" w14:textId="0EF9E5BD" w:rsidR="004216C8" w:rsidRPr="004216C8" w:rsidRDefault="003431ED" w:rsidP="00F21FAB">
            <w:r>
              <w:t>T</w:t>
            </w:r>
            <w:r w:rsidR="00090C0C">
              <w:t>he</w:t>
            </w:r>
            <w:r w:rsidR="00C070E4">
              <w:t>re was</w:t>
            </w:r>
            <w:r w:rsidR="00090C0C">
              <w:t xml:space="preserve"> </w:t>
            </w:r>
            <w:r w:rsidR="00FE7733">
              <w:t xml:space="preserve">a </w:t>
            </w:r>
            <w:r w:rsidR="00090C0C">
              <w:t xml:space="preserve">net flow of </w:t>
            </w:r>
            <w:r w:rsidR="00896E13">
              <w:t xml:space="preserve">27,000 </w:t>
            </w:r>
            <w:r w:rsidR="00EB0DDE">
              <w:t>residents</w:t>
            </w:r>
            <w:r w:rsidR="00090C0C">
              <w:t xml:space="preserve"> </w:t>
            </w:r>
            <w:r w:rsidR="00E43C27">
              <w:t xml:space="preserve">moving </w:t>
            </w:r>
            <w:r w:rsidR="00090C0C">
              <w:t xml:space="preserve">from </w:t>
            </w:r>
            <w:r w:rsidR="008D215F">
              <w:t xml:space="preserve">capital cities </w:t>
            </w:r>
            <w:r w:rsidR="00EB0DDE">
              <w:t>to</w:t>
            </w:r>
            <w:r w:rsidR="008D215F">
              <w:t xml:space="preserve"> regi</w:t>
            </w:r>
            <w:r w:rsidR="006F726E">
              <w:t>ons</w:t>
            </w:r>
            <w:r w:rsidR="008D215F">
              <w:t xml:space="preserve"> </w:t>
            </w:r>
            <w:r w:rsidR="00FE7733">
              <w:t xml:space="preserve">over </w:t>
            </w:r>
            <w:r w:rsidR="001474A6">
              <w:t>the year to September 2023</w:t>
            </w:r>
            <w:r w:rsidR="00D86707">
              <w:t xml:space="preserve">, </w:t>
            </w:r>
            <w:r w:rsidR="008C6F3E">
              <w:t>a</w:t>
            </w:r>
            <w:r w:rsidR="0075208B">
              <w:t xml:space="preserve"> </w:t>
            </w:r>
            <w:r w:rsidR="00C72829">
              <w:t xml:space="preserve">decline from highs </w:t>
            </w:r>
            <w:r w:rsidR="00E251BD">
              <w:t xml:space="preserve">seen </w:t>
            </w:r>
            <w:r w:rsidR="00C40BB2">
              <w:t xml:space="preserve">during </w:t>
            </w:r>
            <w:r w:rsidR="00653C15">
              <w:t>the pandemic</w:t>
            </w:r>
            <w:r w:rsidR="008C6F3E">
              <w:t>.</w:t>
            </w:r>
            <w:r w:rsidR="00653C15">
              <w:t xml:space="preserve"> </w:t>
            </w:r>
            <w:r w:rsidR="000C1031">
              <w:t xml:space="preserve">This </w:t>
            </w:r>
            <w:r w:rsidR="00C92B40">
              <w:t xml:space="preserve">was driven </w:t>
            </w:r>
            <w:r w:rsidR="000E525B">
              <w:t xml:space="preserve">by </w:t>
            </w:r>
            <w:r w:rsidR="0086041C">
              <w:t>increas</w:t>
            </w:r>
            <w:r w:rsidR="000E525B">
              <w:t>ed</w:t>
            </w:r>
            <w:r w:rsidR="00504383">
              <w:t xml:space="preserve"> arrivals to the capitals</w:t>
            </w:r>
            <w:r w:rsidR="000C1031">
              <w:t>, which</w:t>
            </w:r>
            <w:r w:rsidR="00CC7D1C">
              <w:t xml:space="preserve"> previously</w:t>
            </w:r>
            <w:r w:rsidR="000C1031">
              <w:t xml:space="preserve"> fell </w:t>
            </w:r>
            <w:r w:rsidR="00504383">
              <w:t xml:space="preserve">due to </w:t>
            </w:r>
            <w:r w:rsidR="007622C8">
              <w:t xml:space="preserve">pandemic </w:t>
            </w:r>
            <w:r w:rsidR="00504383">
              <w:t>lockdowns</w:t>
            </w:r>
            <w:r w:rsidR="00DA002A">
              <w:t>.</w:t>
            </w:r>
          </w:p>
          <w:p w14:paraId="1E1B6C04" w14:textId="4276A2F7" w:rsidR="00FA5B01" w:rsidRDefault="0060758B" w:rsidP="0060758B">
            <w:pPr>
              <w:pStyle w:val="Chartheading"/>
              <w:tabs>
                <w:tab w:val="clear" w:pos="992"/>
                <w:tab w:val="num" w:pos="819"/>
              </w:tabs>
            </w:pPr>
            <w:r>
              <w:t>Interstate migration, year ending</w:t>
            </w:r>
          </w:p>
          <w:p w14:paraId="0CA19F1D" w14:textId="037620CF" w:rsidR="001C7ACF" w:rsidRPr="00834409" w:rsidRDefault="008438AD" w:rsidP="00F21FAB">
            <w:r>
              <w:rPr>
                <w:noProof/>
              </w:rPr>
              <w:drawing>
                <wp:inline distT="0" distB="0" distL="0" distR="0" wp14:anchorId="65D555C0" wp14:editId="2CAB23D4">
                  <wp:extent cx="2779395" cy="2296160"/>
                  <wp:effectExtent l="0" t="0" r="1905" b="8890"/>
                  <wp:docPr id="10" name="Picture 10" descr="Quarterly series showing interstate migration. There was low interstate migration during September 2021 due to COVID-19 and recent migration has been lower September 201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uarterly series showing interstate migration. There was low interstate migration during September 2021 due to COVID-19 and recent migration has been lower September 2019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23" w:rsidRPr="0023709A" w14:paraId="369263D4" w14:textId="77777777" w:rsidTr="003414DA">
        <w:trPr>
          <w:trHeight w:val="300"/>
        </w:trPr>
        <w:tc>
          <w:tcPr>
            <w:tcW w:w="2500" w:type="pct"/>
            <w:shd w:val="clear" w:color="auto" w:fill="auto"/>
          </w:tcPr>
          <w:p w14:paraId="508E3649" w14:textId="77777777" w:rsidR="006F4223" w:rsidRDefault="006F4223" w:rsidP="004F1094">
            <w:pPr>
              <w:pStyle w:val="Heading3"/>
            </w:pPr>
            <w:r>
              <w:t>Fertility</w:t>
            </w:r>
          </w:p>
          <w:p w14:paraId="53FD854B" w14:textId="6D03B1A2" w:rsidR="004807DE" w:rsidRDefault="006A6A87" w:rsidP="00F21FAB">
            <w:r>
              <w:t xml:space="preserve">The total fertility rate is at a record low of </w:t>
            </w:r>
            <w:r w:rsidR="00573F2A">
              <w:t>1.58</w:t>
            </w:r>
            <w:r>
              <w:rPr>
                <w:b/>
                <w:bCs/>
                <w:color w:val="C00000"/>
              </w:rPr>
              <w:t xml:space="preserve"> </w:t>
            </w:r>
            <w:r w:rsidRPr="004C5DA2">
              <w:t xml:space="preserve">in </w:t>
            </w:r>
            <w:r>
              <w:t>2022-23</w:t>
            </w:r>
            <w:r w:rsidR="0075088C">
              <w:t>. However,</w:t>
            </w:r>
            <w:r>
              <w:t xml:space="preserve"> fertility</w:t>
            </w:r>
            <w:r w:rsidR="004C5DA2">
              <w:t xml:space="preserve"> has </w:t>
            </w:r>
            <w:r w:rsidR="002E6582">
              <w:t>fluctuated since the</w:t>
            </w:r>
            <w:r w:rsidR="004C5DA2">
              <w:t xml:space="preserve"> pandemic</w:t>
            </w:r>
            <w:r w:rsidR="00F24567">
              <w:t>. T</w:t>
            </w:r>
            <w:r w:rsidR="006B731B">
              <w:t>he ‘COVID-19 baby bump’ (</w:t>
            </w:r>
            <w:r w:rsidR="00C54769">
              <w:t>1.66</w:t>
            </w:r>
            <w:r w:rsidR="004807DE">
              <w:t xml:space="preserve"> in</w:t>
            </w:r>
            <w:r w:rsidR="002E6582">
              <w:t xml:space="preserve"> </w:t>
            </w:r>
            <w:r w:rsidR="00D47ADC">
              <w:t>2020-21</w:t>
            </w:r>
            <w:r w:rsidR="004807DE">
              <w:t xml:space="preserve"> </w:t>
            </w:r>
            <w:r w:rsidR="00D47ADC">
              <w:t xml:space="preserve">and </w:t>
            </w:r>
            <w:r w:rsidR="005035E6">
              <w:t>1.</w:t>
            </w:r>
            <w:r w:rsidR="005035E6" w:rsidRPr="005035E6">
              <w:t>69</w:t>
            </w:r>
            <w:r w:rsidRPr="005035E6">
              <w:t xml:space="preserve"> in </w:t>
            </w:r>
            <w:r w:rsidR="00D47ADC">
              <w:t>2021-22</w:t>
            </w:r>
            <w:r w:rsidR="00AA5E6E">
              <w:t>)</w:t>
            </w:r>
            <w:r w:rsidR="00A76ABA">
              <w:t xml:space="preserve"> </w:t>
            </w:r>
            <w:r w:rsidR="00E73237">
              <w:t>br</w:t>
            </w:r>
            <w:r w:rsidR="00F24567">
              <w:t>ought</w:t>
            </w:r>
            <w:r w:rsidR="00E73237">
              <w:t xml:space="preserve"> </w:t>
            </w:r>
            <w:r w:rsidR="00A76ABA">
              <w:t>the first</w:t>
            </w:r>
            <w:r w:rsidR="00E73237">
              <w:t xml:space="preserve"> fertility</w:t>
            </w:r>
            <w:r w:rsidR="00A76ABA">
              <w:t xml:space="preserve"> </w:t>
            </w:r>
            <w:r w:rsidR="00222388">
              <w:t>increase</w:t>
            </w:r>
            <w:r w:rsidR="003B2FF2">
              <w:t>s</w:t>
            </w:r>
            <w:r w:rsidR="00222388">
              <w:t xml:space="preserve"> </w:t>
            </w:r>
            <w:r w:rsidR="00A76ABA">
              <w:t>since 2008-09</w:t>
            </w:r>
            <w:r w:rsidR="00BD538D">
              <w:t xml:space="preserve">. </w:t>
            </w:r>
            <w:r w:rsidR="00F24567">
              <w:t>T</w:t>
            </w:r>
            <w:r w:rsidR="00BD538D">
              <w:t>his</w:t>
            </w:r>
            <w:r w:rsidR="00F24567">
              <w:t xml:space="preserve"> then</w:t>
            </w:r>
            <w:r w:rsidR="00BD538D">
              <w:t xml:space="preserve"> fell away sharply in </w:t>
            </w:r>
            <w:r>
              <w:t>in 2022-23.</w:t>
            </w:r>
            <w:r w:rsidR="004C5DA2">
              <w:t xml:space="preserve"> </w:t>
            </w:r>
          </w:p>
          <w:p w14:paraId="0F5D9CFC" w14:textId="6A215F31" w:rsidR="006F4223" w:rsidRDefault="00E719E0" w:rsidP="00F21FAB">
            <w:r>
              <w:t xml:space="preserve">September </w:t>
            </w:r>
            <w:r w:rsidR="00EB230F">
              <w:t>2023</w:t>
            </w:r>
            <w:r>
              <w:t xml:space="preserve"> quarter births suggests fer</w:t>
            </w:r>
            <w:r w:rsidR="006F2DB4">
              <w:t>ti</w:t>
            </w:r>
            <w:r w:rsidR="002C553B">
              <w:t>lit</w:t>
            </w:r>
            <w:r w:rsidR="006F2DB4">
              <w:t>y</w:t>
            </w:r>
            <w:r w:rsidR="002C553B">
              <w:t xml:space="preserve"> may remain low in 2023-24</w:t>
            </w:r>
            <w:r w:rsidR="00777C0B">
              <w:t>, although it is too early to say.</w:t>
            </w:r>
          </w:p>
          <w:p w14:paraId="0E646491" w14:textId="5D3502E5" w:rsidR="0060758B" w:rsidRDefault="0093655B" w:rsidP="0093655B">
            <w:pPr>
              <w:pStyle w:val="Chartheading"/>
              <w:tabs>
                <w:tab w:val="clear" w:pos="992"/>
                <w:tab w:val="num" w:pos="873"/>
              </w:tabs>
            </w:pPr>
            <w:r>
              <w:t>Total fertility rate</w:t>
            </w:r>
            <w:r w:rsidR="00A85A3D">
              <w:t xml:space="preserve">, </w:t>
            </w:r>
            <w:r w:rsidR="008A130F">
              <w:t>b</w:t>
            </w:r>
            <w:r w:rsidR="00A85A3D">
              <w:t xml:space="preserve">irths per </w:t>
            </w:r>
            <w:r w:rsidR="008A130F">
              <w:t>w</w:t>
            </w:r>
            <w:r w:rsidR="00A85A3D">
              <w:t>oman</w:t>
            </w:r>
          </w:p>
          <w:p w14:paraId="558EE6E3" w14:textId="1F7FDC16" w:rsidR="0060758B" w:rsidRDefault="008438AD" w:rsidP="00F21FAB">
            <w:r>
              <w:rPr>
                <w:noProof/>
              </w:rPr>
              <w:drawing>
                <wp:inline distT="0" distB="0" distL="0" distR="0" wp14:anchorId="072B0CD1" wp14:editId="4270FA60">
                  <wp:extent cx="2778760" cy="2296160"/>
                  <wp:effectExtent l="0" t="0" r="0" b="8890"/>
                  <wp:docPr id="9" name="Picture 9" descr="Total fertility rate expressed as babies per woman. Fertility increased during COVID-19 and has decrea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otal fertility rate expressed as babies per woman. Fertility increased during COVID-19 and has decreased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760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14:paraId="2B2502BF" w14:textId="77777777" w:rsidR="006F4223" w:rsidRDefault="006F4223" w:rsidP="00AF6F32">
            <w:pPr>
              <w:pStyle w:val="Heading3"/>
            </w:pPr>
            <w:r>
              <w:t>Mortality</w:t>
            </w:r>
          </w:p>
          <w:p w14:paraId="0CB61BAD" w14:textId="6CE79DD1" w:rsidR="00E20265" w:rsidRDefault="00E20265" w:rsidP="00F21FAB">
            <w:r>
              <w:t>Life expectancy in Australia decreased due to the impact of COVID</w:t>
            </w:r>
            <w:r w:rsidR="002857B3">
              <w:t>-19</w:t>
            </w:r>
            <w:r>
              <w:t>.</w:t>
            </w:r>
            <w:r w:rsidR="00754A76">
              <w:t xml:space="preserve"> </w:t>
            </w:r>
            <w:r w:rsidR="00CB233E">
              <w:t xml:space="preserve">The standardised death rate, which controls for age structure, was at a low of </w:t>
            </w:r>
            <w:r w:rsidR="0087064F" w:rsidRPr="002C7623">
              <w:t>4</w:t>
            </w:r>
            <w:r w:rsidR="002C7623">
              <w:t>.</w:t>
            </w:r>
            <w:r w:rsidR="00D521CC">
              <w:t>9</w:t>
            </w:r>
            <w:r w:rsidR="00B21AA1">
              <w:t xml:space="preserve"> in </w:t>
            </w:r>
            <w:r w:rsidR="00475B7C">
              <w:t>2020</w:t>
            </w:r>
            <w:r w:rsidR="00021926">
              <w:noBreakHyphen/>
            </w:r>
            <w:r w:rsidR="00475B7C">
              <w:t>21</w:t>
            </w:r>
            <w:r w:rsidR="00CB233E">
              <w:t xml:space="preserve"> as pandemic restrictions lowered deaths </w:t>
            </w:r>
            <w:r w:rsidR="00C05350">
              <w:t>from</w:t>
            </w:r>
            <w:r w:rsidR="00CB233E">
              <w:t xml:space="preserve"> viruses like the flu. The rate</w:t>
            </w:r>
            <w:r w:rsidR="00AC16BB">
              <w:t xml:space="preserve"> has</w:t>
            </w:r>
            <w:r w:rsidR="00CB233E">
              <w:t xml:space="preserve"> </w:t>
            </w:r>
            <w:r w:rsidR="007C745D">
              <w:t xml:space="preserve">increased </w:t>
            </w:r>
            <w:r w:rsidR="00AC16BB">
              <w:t xml:space="preserve">to </w:t>
            </w:r>
            <w:r w:rsidR="006863E1" w:rsidRPr="006863E1">
              <w:t>5.</w:t>
            </w:r>
            <w:r w:rsidR="00D521CC">
              <w:t>3</w:t>
            </w:r>
            <w:r w:rsidR="00AC16BB">
              <w:t xml:space="preserve"> by 2022-23</w:t>
            </w:r>
            <w:r w:rsidR="00CB233E" w:rsidRPr="006863E1">
              <w:t xml:space="preserve"> </w:t>
            </w:r>
            <w:r w:rsidR="007C745D">
              <w:t>as COVID</w:t>
            </w:r>
            <w:r w:rsidR="002857B3">
              <w:t>-19</w:t>
            </w:r>
            <w:r w:rsidR="007C745D">
              <w:t xml:space="preserve"> became more </w:t>
            </w:r>
            <w:r w:rsidR="001172BD">
              <w:t>widespread</w:t>
            </w:r>
            <w:r w:rsidR="00CB233E">
              <w:t>.</w:t>
            </w:r>
          </w:p>
          <w:p w14:paraId="38AB3F97" w14:textId="773CAE9C" w:rsidR="008528F8" w:rsidRDefault="00645EFF" w:rsidP="00F21FAB">
            <w:r>
              <w:t xml:space="preserve">September </w:t>
            </w:r>
            <w:r w:rsidR="00EB230F">
              <w:t xml:space="preserve">2023 </w:t>
            </w:r>
            <w:r>
              <w:t xml:space="preserve">quarter deaths are </w:t>
            </w:r>
            <w:r w:rsidR="001A1529">
              <w:t>down 11 per cent from one year earlier.</w:t>
            </w:r>
          </w:p>
          <w:p w14:paraId="1C143FF8" w14:textId="2AB2DFCA" w:rsidR="0060758B" w:rsidRDefault="0093655B" w:rsidP="0093655B">
            <w:pPr>
              <w:pStyle w:val="Chartheading"/>
              <w:tabs>
                <w:tab w:val="clear" w:pos="992"/>
                <w:tab w:val="num" w:pos="819"/>
              </w:tabs>
            </w:pPr>
            <w:r>
              <w:t>Standardised death rate</w:t>
            </w:r>
            <w:r w:rsidR="002530D6">
              <w:t xml:space="preserve">, </w:t>
            </w:r>
            <w:r w:rsidR="008A130F">
              <w:t>d</w:t>
            </w:r>
            <w:r w:rsidR="002530D6">
              <w:t>eaths per 1,000</w:t>
            </w:r>
          </w:p>
          <w:p w14:paraId="663C68EE" w14:textId="508798E9" w:rsidR="0060758B" w:rsidRDefault="00BC70E7" w:rsidP="00F21FAB">
            <w:r>
              <w:rPr>
                <w:noProof/>
              </w:rPr>
              <w:drawing>
                <wp:inline distT="0" distB="0" distL="0" distR="0" wp14:anchorId="7D0209F8" wp14:editId="7FE1FAAC">
                  <wp:extent cx="2779395" cy="2296160"/>
                  <wp:effectExtent l="0" t="0" r="0" b="8890"/>
                  <wp:docPr id="8" name="Picture 8" descr="Standardised death rate expressed as deaths per 1000. The death rate decreased during COVID-19 lockdown and has increased after the lockdow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tandardised death rate expressed as deaths per 1000. The death rate decreased during COVID-19 lockdown and has increased after the lockdowns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2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23" w:rsidRPr="0023709A" w14:paraId="58617C7A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9038" w:type="dxa"/>
              <w:tblLook w:val="04A0" w:firstRow="1" w:lastRow="0" w:firstColumn="1" w:lastColumn="0" w:noHBand="0" w:noVBand="1"/>
            </w:tblPr>
            <w:tblGrid>
              <w:gridCol w:w="4484"/>
              <w:gridCol w:w="1096"/>
              <w:gridCol w:w="3439"/>
              <w:gridCol w:w="19"/>
            </w:tblGrid>
            <w:tr w:rsidR="006047AC" w14:paraId="55619800" w14:textId="77777777" w:rsidTr="00982826">
              <w:trPr>
                <w:gridAfter w:val="1"/>
                <w:wAfter w:w="19" w:type="dxa"/>
              </w:trPr>
              <w:tc>
                <w:tcPr>
                  <w:tcW w:w="4484" w:type="dxa"/>
                  <w:shd w:val="clear" w:color="auto" w:fill="FFFFFF" w:themeFill="background1"/>
                </w:tcPr>
                <w:p w14:paraId="2F003112" w14:textId="502ABC06" w:rsidR="006047AC" w:rsidRDefault="006047AC" w:rsidP="006047AC">
                  <w:pPr>
                    <w:pStyle w:val="Heading3"/>
                    <w:spacing w:before="0" w:after="0"/>
                  </w:pPr>
                  <w:r>
                    <w:lastRenderedPageBreak/>
                    <w:t>State and territory population</w:t>
                  </w:r>
                  <w:r w:rsidR="005C3E0D">
                    <w:t xml:space="preserve"> growth</w:t>
                  </w:r>
                </w:p>
              </w:tc>
              <w:tc>
                <w:tcPr>
                  <w:tcW w:w="4535" w:type="dxa"/>
                  <w:gridSpan w:val="2"/>
                  <w:shd w:val="clear" w:color="auto" w:fill="FFFFFF" w:themeFill="background1"/>
                </w:tcPr>
                <w:p w14:paraId="35674227" w14:textId="087231BD" w:rsidR="006047AC" w:rsidRPr="00B37458" w:rsidRDefault="006047AC" w:rsidP="006047AC">
                  <w:pPr>
                    <w:pStyle w:val="Heading3"/>
                    <w:spacing w:after="0"/>
                    <w:jc w:val="center"/>
                    <w:rPr>
                      <w:b w:val="0"/>
                      <w:bCs/>
                      <w:i w:val="0"/>
                      <w:iCs w:val="0"/>
                      <w:sz w:val="16"/>
                      <w:szCs w:val="16"/>
                    </w:rPr>
                  </w:pPr>
                  <w:r w:rsidRPr="006047AC">
                    <w:rPr>
                      <w:b w:val="0"/>
                      <w:bCs/>
                      <w:i w:val="0"/>
                      <w:iCs w:val="0"/>
                      <w:color w:val="auto"/>
                      <w:sz w:val="15"/>
                      <w:szCs w:val="15"/>
                    </w:rPr>
                    <w:t xml:space="preserve">                        </w:t>
                  </w:r>
                  <w:r w:rsidR="00B37458">
                    <w:rPr>
                      <w:b w:val="0"/>
                      <w:bCs/>
                      <w:i w:val="0"/>
                      <w:iCs w:val="0"/>
                      <w:color w:val="auto"/>
                      <w:sz w:val="15"/>
                      <w:szCs w:val="15"/>
                    </w:rPr>
                    <w:t xml:space="preserve">                      </w:t>
                  </w:r>
                  <w:r w:rsidRPr="00B37458">
                    <w:rPr>
                      <w:i w:val="0"/>
                      <w:color w:val="2F8361"/>
                      <w:sz w:val="16"/>
                      <w:szCs w:val="16"/>
                    </w:rPr>
                    <w:t>National</w:t>
                  </w:r>
                  <w:r w:rsidRPr="00B37458">
                    <w:rPr>
                      <w:b w:val="0"/>
                      <w:i w:val="0"/>
                      <w:color w:val="2F8361" w:themeColor="accent4"/>
                      <w:sz w:val="16"/>
                      <w:szCs w:val="16"/>
                    </w:rPr>
                    <w:t xml:space="preserve">         </w:t>
                  </w:r>
                  <w:r w:rsidRPr="00B37458">
                    <w:rPr>
                      <w:i w:val="0"/>
                      <w:iCs w:val="0"/>
                      <w:sz w:val="16"/>
                      <w:szCs w:val="16"/>
                    </w:rPr>
                    <w:t>State</w:t>
                  </w:r>
                  <w:r w:rsidRPr="00B37458">
                    <w:rPr>
                      <w:b w:val="0"/>
                      <w:bCs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Pr="00B37458">
                    <w:rPr>
                      <w:b w:val="0"/>
                      <w:bCs/>
                      <w:i w:val="0"/>
                      <w:iCs w:val="0"/>
                      <w:color w:val="auto"/>
                      <w:sz w:val="16"/>
                      <w:szCs w:val="16"/>
                    </w:rPr>
                    <w:t xml:space="preserve">       </w:t>
                  </w:r>
                  <w:r w:rsidRPr="00B37458">
                    <w:rPr>
                      <w:i w:val="0"/>
                      <w:iCs w:val="0"/>
                      <w:color w:val="A6A6A6" w:themeColor="background1" w:themeShade="A6"/>
                      <w:sz w:val="16"/>
                      <w:szCs w:val="16"/>
                    </w:rPr>
                    <w:t>Other states</w:t>
                  </w:r>
                </w:p>
              </w:tc>
            </w:tr>
            <w:tr w:rsidR="00AE17D3" w14:paraId="19A8A35B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  <w:vAlign w:val="center"/>
                </w:tcPr>
                <w:p w14:paraId="3BE80509" w14:textId="33EFEEAC" w:rsidR="00AE17D3" w:rsidRDefault="008B0F01" w:rsidP="00AF6F32">
                  <w:pPr>
                    <w:pStyle w:val="Heading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897C657" wp14:editId="2E867C50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359665" cy="359665"/>
                        <wp:effectExtent l="0" t="0" r="2540" b="2540"/>
                        <wp:wrapSquare wrapText="bothSides"/>
                        <wp:docPr id="39" name="Picture 39" descr="A blue outline of a state with a white circle in the middl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A blue outline of a state with a white circle in the middle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B0F01">
                    <w:t>New South Wales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4F15FD70" w14:textId="4802B03F" w:rsidR="00AE17D3" w:rsidRDefault="00EB43DC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2A304152" wp14:editId="5CF05684">
                        <wp:extent cx="2141855" cy="981710"/>
                        <wp:effectExtent l="0" t="0" r="0" b="8890"/>
                        <wp:docPr id="15" name="Picture 15" descr="Shows NSW population growth rate below the national growth rat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Shows NSW population growth rate below the national growth rate.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7D3" w14:paraId="708A0DCA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758FA296" w14:textId="0DEB2FE3" w:rsidR="00017586" w:rsidRDefault="00754A76" w:rsidP="00374CBA">
                  <w:pPr>
                    <w:pStyle w:val="Normalflat"/>
                  </w:pPr>
                  <w:r>
                    <w:t xml:space="preserve">Despite </w:t>
                  </w:r>
                  <w:r w:rsidR="001805F5">
                    <w:t xml:space="preserve">a </w:t>
                  </w:r>
                  <w:r>
                    <w:t xml:space="preserve">large </w:t>
                  </w:r>
                  <w:r w:rsidR="00142119">
                    <w:t>net</w:t>
                  </w:r>
                  <w:r>
                    <w:t xml:space="preserve"> inflow of overseas migrant</w:t>
                  </w:r>
                  <w:r w:rsidR="000C6F4C">
                    <w:t>s</w:t>
                  </w:r>
                  <w:r>
                    <w:t xml:space="preserve"> (</w:t>
                  </w:r>
                  <w:r w:rsidR="00190720" w:rsidRPr="006F4659">
                    <w:t>186</w:t>
                  </w:r>
                  <w:r w:rsidR="00E35F69">
                    <w:t>,000</w:t>
                  </w:r>
                  <w:r>
                    <w:t xml:space="preserve">), population growth </w:t>
                  </w:r>
                  <w:r w:rsidR="001805F5">
                    <w:t>in NSW (2.3</w:t>
                  </w:r>
                  <w:r w:rsidR="001805F5" w:rsidRPr="00E35F69">
                    <w:t xml:space="preserve"> per cent</w:t>
                  </w:r>
                  <w:r w:rsidR="001805F5">
                    <w:t xml:space="preserve">) </w:t>
                  </w:r>
                  <w:r>
                    <w:t xml:space="preserve">is below the national average due to the </w:t>
                  </w:r>
                  <w:r w:rsidR="00872E4F">
                    <w:t xml:space="preserve">net </w:t>
                  </w:r>
                  <w:r>
                    <w:t>outflow of residents to other states and territories (</w:t>
                  </w:r>
                  <w:r w:rsidR="00973742">
                    <w:t>33</w:t>
                  </w:r>
                  <w:r w:rsidR="00E35F69">
                    <w:t>,000</w:t>
                  </w:r>
                  <w:r>
                    <w:t xml:space="preserve">), particularly </w:t>
                  </w:r>
                  <w:r w:rsidR="008F4CE6">
                    <w:t xml:space="preserve">to </w:t>
                  </w:r>
                  <w:r>
                    <w:t xml:space="preserve">Queensland. 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225D4E1A" w14:textId="77777777" w:rsidR="00AE17D3" w:rsidRDefault="00AE17D3" w:rsidP="00AE17D3">
                  <w:pPr>
                    <w:spacing w:before="0" w:after="0"/>
                  </w:pPr>
                </w:p>
              </w:tc>
            </w:tr>
            <w:tr w:rsidR="00AE17D3" w14:paraId="16E21992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7B3FF01F" w14:textId="1A4F3974" w:rsidR="00AE17D3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58D61378" wp14:editId="1136C93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3810</wp:posOffset>
                        </wp:positionV>
                        <wp:extent cx="359665" cy="359665"/>
                        <wp:effectExtent l="0" t="0" r="2540" b="0"/>
                        <wp:wrapSquare wrapText="bothSides"/>
                        <wp:docPr id="40" name="Picture 40" descr="A blue outline of a stat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A blue outline of a state&#10;&#10;Description automatically generated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Victoria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5EEBCB46" w14:textId="041B024A" w:rsidR="00AE17D3" w:rsidRDefault="00EB43DC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1B3372AE" wp14:editId="7D380ADB">
                        <wp:extent cx="2141855" cy="981710"/>
                        <wp:effectExtent l="0" t="0" r="0" b="8890"/>
                        <wp:docPr id="16" name="Picture 16" descr="Shows Victoria population growth rate above the national growth rate in recent quarters.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Shows Victoria population growth rate above the national growth rate in recent quarters.&#10;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7D3" w14:paraId="11FA5BF3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7AFBA10B" w14:textId="7B9E7670" w:rsidR="00AE17D3" w:rsidRDefault="0003319B" w:rsidP="00374CBA">
                  <w:pPr>
                    <w:pStyle w:val="Normalflat"/>
                  </w:pPr>
                  <w:r>
                    <w:t>Population g</w:t>
                  </w:r>
                  <w:r w:rsidR="00E24ACD">
                    <w:t>rowth in Victoria has recovered (</w:t>
                  </w:r>
                  <w:r w:rsidR="00FF0A28">
                    <w:t xml:space="preserve">to </w:t>
                  </w:r>
                  <w:r w:rsidR="002B280E">
                    <w:t>2.9</w:t>
                  </w:r>
                  <w:r w:rsidR="00E24ACD" w:rsidRPr="00E35F69">
                    <w:t xml:space="preserve"> per cent</w:t>
                  </w:r>
                  <w:r w:rsidR="00E24ACD">
                    <w:t xml:space="preserve">) after the large population decline recorded </w:t>
                  </w:r>
                  <w:r w:rsidRPr="003C044F">
                    <w:t>during the pandemic</w:t>
                  </w:r>
                  <w:r w:rsidR="00E24ACD">
                    <w:t xml:space="preserve">. The recovery was driven by overseas migration with Victoria attracting </w:t>
                  </w:r>
                  <w:r w:rsidR="00083006">
                    <w:t>a disproportionally</w:t>
                  </w:r>
                  <w:r w:rsidR="00E24ACD">
                    <w:t xml:space="preserve"> </w:t>
                  </w:r>
                  <w:r>
                    <w:t xml:space="preserve">large </w:t>
                  </w:r>
                  <w:r w:rsidR="00E24ACD">
                    <w:t>share (</w:t>
                  </w:r>
                  <w:r w:rsidR="00083006" w:rsidRPr="00401502">
                    <w:t>29</w:t>
                  </w:r>
                  <w:r w:rsidR="00E24ACD" w:rsidRPr="00E35F69">
                    <w:t xml:space="preserve"> per cent</w:t>
                  </w:r>
                  <w:r w:rsidR="00E24ACD">
                    <w:t xml:space="preserve">) of </w:t>
                  </w:r>
                  <w:r w:rsidR="00C80607">
                    <w:t>NOM</w:t>
                  </w:r>
                  <w:r w:rsidR="00E24ACD">
                    <w:t>.</w:t>
                  </w:r>
                  <w:r w:rsidR="008002A4">
                    <w:t xml:space="preserve"> 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225E2D3E" w14:textId="77777777" w:rsidR="00AE17D3" w:rsidRDefault="00AE17D3" w:rsidP="00AE17D3">
                  <w:pPr>
                    <w:spacing w:before="0" w:after="0"/>
                  </w:pPr>
                </w:p>
              </w:tc>
            </w:tr>
            <w:tr w:rsidR="00AE17D3" w14:paraId="52B59BFB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4CA62423" w14:textId="46CBC605" w:rsidR="00AE17D3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2" behindDoc="0" locked="0" layoutInCell="1" allowOverlap="1" wp14:anchorId="6645EACA" wp14:editId="7937C58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359665" cy="359665"/>
                        <wp:effectExtent l="0" t="0" r="2540" b="2540"/>
                        <wp:wrapSquare wrapText="bothSides"/>
                        <wp:docPr id="41" name="Picture 41" descr="A blue outline of a stat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A blue outline of a state&#10;&#10;Description automatically generated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Queensland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1CC528A9" w14:textId="20D56D25" w:rsidR="00AE17D3" w:rsidRDefault="00EB43DC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36C8D9F1" wp14:editId="636BFFF2">
                        <wp:extent cx="2141855" cy="981710"/>
                        <wp:effectExtent l="0" t="0" r="0" b="8890"/>
                        <wp:docPr id="17" name="Picture 17" descr="Shows Queensland population growth rate above the national growth rate in recent quarte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Shows Queensland population growth rate above the national growth rate in recent quarters.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7D3" w14:paraId="424F1171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1C2DDC0E" w14:textId="2971B933" w:rsidR="00AE17D3" w:rsidRDefault="003609E0" w:rsidP="00374CBA">
                  <w:pPr>
                    <w:pStyle w:val="Normalflat"/>
                  </w:pPr>
                  <w:r>
                    <w:t xml:space="preserve">Unlike other states, </w:t>
                  </w:r>
                  <w:r w:rsidR="00C80607">
                    <w:t xml:space="preserve">Queensland’s </w:t>
                  </w:r>
                  <w:r w:rsidR="008F1EA7">
                    <w:t xml:space="preserve">strong </w:t>
                  </w:r>
                  <w:r w:rsidR="00C80607">
                    <w:t>population growth (</w:t>
                  </w:r>
                  <w:r w:rsidR="00431E0C">
                    <w:t>2.</w:t>
                  </w:r>
                  <w:r w:rsidR="00CF0C20">
                    <w:t>7 </w:t>
                  </w:r>
                  <w:r w:rsidR="00CF0C20" w:rsidRPr="00E35F69">
                    <w:t>per</w:t>
                  </w:r>
                  <w:r w:rsidR="00CF0C20">
                    <w:t> </w:t>
                  </w:r>
                  <w:r w:rsidR="00C80607" w:rsidRPr="00E35F69">
                    <w:t>cent</w:t>
                  </w:r>
                  <w:r w:rsidR="00C80607">
                    <w:t xml:space="preserve">) is driven </w:t>
                  </w:r>
                  <w:r w:rsidR="00ED3E6D">
                    <w:t xml:space="preserve">not just by </w:t>
                  </w:r>
                  <w:r w:rsidR="00C80607">
                    <w:t>overseas migration (</w:t>
                  </w:r>
                  <w:r w:rsidR="00A3074B">
                    <w:t>88</w:t>
                  </w:r>
                  <w:r>
                    <w:t>,000</w:t>
                  </w:r>
                  <w:r w:rsidR="00C80607">
                    <w:t>)</w:t>
                  </w:r>
                  <w:r w:rsidR="00ED3E6D">
                    <w:t>, but also by relatively large contributions from</w:t>
                  </w:r>
                  <w:r w:rsidR="00C80607">
                    <w:t xml:space="preserve"> interstate migration (</w:t>
                  </w:r>
                  <w:r w:rsidR="00B70B32">
                    <w:t>33</w:t>
                  </w:r>
                  <w:r>
                    <w:t>,000</w:t>
                  </w:r>
                  <w:r w:rsidR="00C80607">
                    <w:t>) and natural increase (</w:t>
                  </w:r>
                  <w:r w:rsidR="00BE2F90">
                    <w:t>23</w:t>
                  </w:r>
                  <w:r>
                    <w:t>,000</w:t>
                  </w:r>
                  <w:r w:rsidR="00C80607">
                    <w:t>)</w:t>
                  </w:r>
                  <w:r>
                    <w:t>.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265FBFD5" w14:textId="77777777" w:rsidR="00AE17D3" w:rsidRDefault="00AE17D3" w:rsidP="00AE17D3">
                  <w:pPr>
                    <w:spacing w:before="0" w:after="0"/>
                  </w:pPr>
                </w:p>
              </w:tc>
            </w:tr>
            <w:tr w:rsidR="00AE17D3" w14:paraId="54AD8720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6E5CE554" w14:textId="16CEECCB" w:rsidR="00AE17D3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3" behindDoc="0" locked="0" layoutInCell="1" allowOverlap="1" wp14:anchorId="194E0341" wp14:editId="7242D1E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359665" cy="359665"/>
                        <wp:effectExtent l="0" t="0" r="2540" b="2540"/>
                        <wp:wrapSquare wrapText="bothSides"/>
                        <wp:docPr id="42" name="Picture 42" descr="A blue outline of a ma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A blue outline of a map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South Australia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7CD6BA14" w14:textId="597EF5CF" w:rsidR="00AE17D3" w:rsidRDefault="00EB43DC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76A8EB20" wp14:editId="714AC3B7">
                        <wp:extent cx="2141855" cy="981710"/>
                        <wp:effectExtent l="0" t="0" r="0" b="8890"/>
                        <wp:docPr id="18" name="Picture 18" descr="Shows South Australia population growth rate below the national growth rat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Shows South Australia population growth rate below the national growth rate.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7D3" w14:paraId="444200DA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2025CC31" w14:textId="14B6D68D" w:rsidR="00AE17D3" w:rsidRDefault="003744C8" w:rsidP="00374CBA">
                  <w:pPr>
                    <w:pStyle w:val="Normalflat"/>
                  </w:pPr>
                  <w:r>
                    <w:t>South Australia</w:t>
                  </w:r>
                  <w:r w:rsidR="00B41770">
                    <w:t>’s pop</w:t>
                  </w:r>
                  <w:r w:rsidR="0069324F">
                    <w:t xml:space="preserve">ulation </w:t>
                  </w:r>
                  <w:r>
                    <w:t xml:space="preserve">is </w:t>
                  </w:r>
                  <w:r w:rsidR="0069324F">
                    <w:t xml:space="preserve">growing </w:t>
                  </w:r>
                  <w:r w:rsidR="00EE7D61">
                    <w:t>at about the</w:t>
                  </w:r>
                  <w:r>
                    <w:t xml:space="preserve"> fastest </w:t>
                  </w:r>
                  <w:r w:rsidR="00EE7D61">
                    <w:t>rate</w:t>
                  </w:r>
                  <w:r>
                    <w:t xml:space="preserve"> (</w:t>
                  </w:r>
                  <w:r w:rsidR="00E4609F">
                    <w:t>1.7</w:t>
                  </w:r>
                  <w:r>
                    <w:rPr>
                      <w:b/>
                      <w:bCs/>
                      <w:color w:val="C00000"/>
                    </w:rPr>
                    <w:t> </w:t>
                  </w:r>
                  <w:r w:rsidR="0069324F" w:rsidRPr="00E35F69">
                    <w:t>per</w:t>
                  </w:r>
                  <w:r w:rsidR="0069324F">
                    <w:t> </w:t>
                  </w:r>
                  <w:r w:rsidRPr="00E35F69">
                    <w:t>cent</w:t>
                  </w:r>
                  <w:r>
                    <w:t xml:space="preserve">) </w:t>
                  </w:r>
                  <w:r w:rsidR="0003319B">
                    <w:t xml:space="preserve">since 1981 (when the </w:t>
                  </w:r>
                  <w:r>
                    <w:t xml:space="preserve">series </w:t>
                  </w:r>
                  <w:r w:rsidR="0003319B">
                    <w:t>began</w:t>
                  </w:r>
                  <w:r>
                    <w:t xml:space="preserve">), with the growth </w:t>
                  </w:r>
                  <w:r w:rsidR="001D0EE9" w:rsidRPr="004D60DA">
                    <w:t>predominantly</w:t>
                  </w:r>
                  <w:r w:rsidRPr="003744C8">
                    <w:rPr>
                      <w:b/>
                      <w:bCs/>
                      <w:color w:val="1E75BA" w:themeColor="accent2"/>
                    </w:rPr>
                    <w:t xml:space="preserve"> </w:t>
                  </w:r>
                  <w:r w:rsidR="001D0EE9">
                    <w:t>from</w:t>
                  </w:r>
                  <w:r>
                    <w:t xml:space="preserve"> </w:t>
                  </w:r>
                  <w:r w:rsidR="00A27E3A">
                    <w:t>NOM</w:t>
                  </w:r>
                  <w:r>
                    <w:t xml:space="preserve"> (</w:t>
                  </w:r>
                  <w:r w:rsidR="001101F9">
                    <w:t>29</w:t>
                  </w:r>
                  <w:r>
                    <w:t xml:space="preserve">,000). </w:t>
                  </w:r>
                  <w:r w:rsidR="000530E0">
                    <w:t>Net interstate migration (</w:t>
                  </w:r>
                  <w:r w:rsidR="00A27E3A">
                    <w:t>NIM</w:t>
                  </w:r>
                  <w:r w:rsidR="000530E0">
                    <w:t>)</w:t>
                  </w:r>
                  <w:r w:rsidR="00A27E3A">
                    <w:t>,</w:t>
                  </w:r>
                  <w:r>
                    <w:t xml:space="preserve"> has returned to</w:t>
                  </w:r>
                  <w:r w:rsidR="00A27E3A">
                    <w:t xml:space="preserve"> </w:t>
                  </w:r>
                  <w:r w:rsidR="00077EF1">
                    <w:t xml:space="preserve">its </w:t>
                  </w:r>
                  <w:r w:rsidR="00A27E3A">
                    <w:t>pre</w:t>
                  </w:r>
                  <w:r w:rsidR="002C403A">
                    <w:noBreakHyphen/>
                    <w:t>pandemic</w:t>
                  </w:r>
                  <w:r w:rsidR="007668A5">
                    <w:t xml:space="preserve"> </w:t>
                  </w:r>
                  <w:r w:rsidR="00A27E3A">
                    <w:t>trend of</w:t>
                  </w:r>
                  <w:r>
                    <w:t xml:space="preserve"> an outflow</w:t>
                  </w:r>
                  <w:r w:rsidR="00A27E3A">
                    <w:t xml:space="preserve"> (</w:t>
                  </w:r>
                  <w:r w:rsidR="00A27E3A" w:rsidRPr="00F20B54">
                    <w:t>-</w:t>
                  </w:r>
                  <w:r w:rsidR="00F20B54" w:rsidRPr="00F20B54">
                    <w:t>1</w:t>
                  </w:r>
                  <w:r w:rsidR="00A27E3A">
                    <w:t>,000).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6517270D" w14:textId="77777777" w:rsidR="00AE17D3" w:rsidRDefault="00AE17D3" w:rsidP="00AE17D3">
                  <w:pPr>
                    <w:spacing w:before="0" w:after="0"/>
                  </w:pPr>
                </w:p>
              </w:tc>
            </w:tr>
            <w:tr w:rsidR="008B0F01" w14:paraId="72BBB53C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074DCAEA" w14:textId="2D5D3E6D" w:rsidR="008B0F01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4" behindDoc="0" locked="0" layoutInCell="1" allowOverlap="1" wp14:anchorId="2C04C1D0" wp14:editId="046507A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1905</wp:posOffset>
                        </wp:positionV>
                        <wp:extent cx="359665" cy="359665"/>
                        <wp:effectExtent l="0" t="0" r="0" b="2540"/>
                        <wp:wrapSquare wrapText="bothSides"/>
                        <wp:docPr id="43" name="Picture 43" descr="A blue outline of a country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A blue outline of a country&#10;&#10;Description automatically generated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Western Australia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4E6E262F" w14:textId="47CA22BC" w:rsidR="008B0F01" w:rsidRDefault="00EB43DC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30A354F9" wp14:editId="1E8A67F9">
                        <wp:extent cx="2141855" cy="981710"/>
                        <wp:effectExtent l="0" t="0" r="0" b="8890"/>
                        <wp:docPr id="19" name="Picture 19" descr="Shows Western Australia population growth rate above the national growth rate in recent quarte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Shows Western Australia population growth rate above the national growth rate in recent quarters.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0F01" w14:paraId="0CBD2055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2624A8AC" w14:textId="481504AC" w:rsidR="008B0F01" w:rsidRDefault="00A27E3A" w:rsidP="00374CBA">
                  <w:pPr>
                    <w:pStyle w:val="Normalflat"/>
                  </w:pPr>
                  <w:r>
                    <w:t xml:space="preserve">Currently the fastest growing </w:t>
                  </w:r>
                  <w:r w:rsidR="002C6020">
                    <w:t>state</w:t>
                  </w:r>
                  <w:r>
                    <w:t xml:space="preserve"> (</w:t>
                  </w:r>
                  <w:r w:rsidR="00252C5C">
                    <w:t>3.3</w:t>
                  </w:r>
                  <w:r>
                    <w:rPr>
                      <w:b/>
                      <w:bCs/>
                      <w:color w:val="C00000"/>
                    </w:rPr>
                    <w:t> </w:t>
                  </w:r>
                  <w:r w:rsidRPr="00E35F69">
                    <w:t>per cent</w:t>
                  </w:r>
                  <w:r>
                    <w:t>), Western Australia has population growth comparable to levels seen during the mining investment boom around 2010</w:t>
                  </w:r>
                  <w:r w:rsidR="002C6020">
                    <w:t>. Both NOM (</w:t>
                  </w:r>
                  <w:r w:rsidR="00BD0B85">
                    <w:t>6</w:t>
                  </w:r>
                  <w:r w:rsidR="00DE0D7C">
                    <w:t>8</w:t>
                  </w:r>
                  <w:r w:rsidR="002C6020">
                    <w:t>,000) and NIM (</w:t>
                  </w:r>
                  <w:r w:rsidR="002B7E50">
                    <w:t>11</w:t>
                  </w:r>
                  <w:r w:rsidR="002C6020">
                    <w:t>,000) are driving the rapid</w:t>
                  </w:r>
                  <w:r w:rsidR="003C049A">
                    <w:t xml:space="preserve"> population</w:t>
                  </w:r>
                  <w:r w:rsidR="002C6020">
                    <w:t xml:space="preserve"> growth </w:t>
                  </w:r>
                  <w:r w:rsidR="00093601">
                    <w:t>as mining expands</w:t>
                  </w:r>
                  <w:r w:rsidR="002C6020">
                    <w:t>.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67679B49" w14:textId="77777777" w:rsidR="008B0F01" w:rsidRDefault="008B0F01" w:rsidP="00AE17D3">
                  <w:pPr>
                    <w:spacing w:before="0" w:after="0"/>
                  </w:pPr>
                </w:p>
              </w:tc>
            </w:tr>
            <w:tr w:rsidR="008B0F01" w14:paraId="3B3BBD41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4E8E0411" w14:textId="0F52C2B6" w:rsidR="008B0F01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5" behindDoc="0" locked="0" layoutInCell="1" allowOverlap="1" wp14:anchorId="3BAEBBAA" wp14:editId="2A95845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359665" cy="359665"/>
                        <wp:effectExtent l="0" t="0" r="0" b="2540"/>
                        <wp:wrapSquare wrapText="bothSides"/>
                        <wp:docPr id="44" name="Picture 44" descr="A blue and black pixelated imag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A blue and black pixelated image&#10;&#10;Description automatically generated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Tasmania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393ED9F1" w14:textId="09E453F2" w:rsidR="008B0F01" w:rsidRDefault="00934835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17752E81" wp14:editId="3C5F3DBC">
                        <wp:extent cx="2141855" cy="981710"/>
                        <wp:effectExtent l="0" t="0" r="0" b="8890"/>
                        <wp:docPr id="20" name="Picture 20" descr="Shows Tasmania population growth below the national growth rate in recent quarte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Shows Tasmania population growth below the national growth rate in recent quarters.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0F01" w14:paraId="423B10AB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7DD8441F" w14:textId="59DEE70E" w:rsidR="008B0F01" w:rsidRDefault="001D0EE9" w:rsidP="00374CBA">
                  <w:pPr>
                    <w:pStyle w:val="Normalflat"/>
                  </w:pPr>
                  <w:r>
                    <w:t>Tasmania has fallen</w:t>
                  </w:r>
                  <w:r w:rsidR="007668A5" w:rsidRPr="00FF2553">
                    <w:rPr>
                      <w:b/>
                      <w:bCs/>
                      <w:color w:val="1E75BA" w:themeColor="accent2"/>
                    </w:rPr>
                    <w:t xml:space="preserve"> </w:t>
                  </w:r>
                  <w:r w:rsidR="007668A5" w:rsidRPr="00AF153E">
                    <w:t xml:space="preserve">to </w:t>
                  </w:r>
                  <w:r w:rsidR="001607D6">
                    <w:t xml:space="preserve">be </w:t>
                  </w:r>
                  <w:r w:rsidR="007668A5" w:rsidRPr="00AF153E">
                    <w:t>the slowest growing state</w:t>
                  </w:r>
                  <w:r w:rsidR="007668A5" w:rsidRPr="0036510E">
                    <w:t xml:space="preserve"> </w:t>
                  </w:r>
                  <w:r w:rsidR="007668A5">
                    <w:t>in September 2023 (</w:t>
                  </w:r>
                  <w:r w:rsidR="00465EF7">
                    <w:t>0.3</w:t>
                  </w:r>
                  <w:r w:rsidR="007668A5" w:rsidRPr="006A7D59">
                    <w:rPr>
                      <w:b/>
                    </w:rPr>
                    <w:t> </w:t>
                  </w:r>
                  <w:r w:rsidR="007668A5" w:rsidRPr="00E35F69">
                    <w:t>per cent</w:t>
                  </w:r>
                  <w:r w:rsidR="007668A5">
                    <w:t>)</w:t>
                  </w:r>
                  <w:r>
                    <w:t xml:space="preserve"> from </w:t>
                  </w:r>
                  <w:r w:rsidR="007E41B5">
                    <w:t xml:space="preserve">the second </w:t>
                  </w:r>
                  <w:r>
                    <w:t xml:space="preserve">fastest </w:t>
                  </w:r>
                  <w:r w:rsidR="007E41B5">
                    <w:t xml:space="preserve">in </w:t>
                  </w:r>
                  <w:r w:rsidR="00766BBF" w:rsidRPr="008E5DD5">
                    <w:rPr>
                      <w:bCs/>
                    </w:rPr>
                    <w:t xml:space="preserve">September </w:t>
                  </w:r>
                  <w:r w:rsidR="007E41B5" w:rsidRPr="008E5DD5">
                    <w:rPr>
                      <w:bCs/>
                    </w:rPr>
                    <w:t>2019</w:t>
                  </w:r>
                  <w:r w:rsidR="007E41B5" w:rsidRPr="002F5DE2">
                    <w:t xml:space="preserve"> </w:t>
                  </w:r>
                  <w:r w:rsidR="007E41B5">
                    <w:t>(</w:t>
                  </w:r>
                  <w:r w:rsidR="00B433D9">
                    <w:t>1.</w:t>
                  </w:r>
                  <w:r w:rsidR="002E392A">
                    <w:t>8</w:t>
                  </w:r>
                  <w:r w:rsidR="007E41B5" w:rsidRPr="006A7D59">
                    <w:rPr>
                      <w:b/>
                    </w:rPr>
                    <w:t> </w:t>
                  </w:r>
                  <w:r w:rsidR="007E41B5" w:rsidRPr="00E35F69">
                    <w:t>per cent</w:t>
                  </w:r>
                  <w:r w:rsidR="007E41B5">
                    <w:t>)</w:t>
                  </w:r>
                  <w:r>
                    <w:t xml:space="preserve">. </w:t>
                  </w:r>
                  <w:r w:rsidR="00C31B00">
                    <w:t xml:space="preserve">NIM </w:t>
                  </w:r>
                  <w:r w:rsidR="008F4CE6">
                    <w:t xml:space="preserve">has recently returned to a </w:t>
                  </w:r>
                  <w:r w:rsidR="008F4CE6" w:rsidRPr="001908FF">
                    <w:t>net outflow</w:t>
                  </w:r>
                  <w:r w:rsidR="008F4CE6">
                    <w:t xml:space="preserve"> from Tasmania</w:t>
                  </w:r>
                  <w:r w:rsidR="00D423F3">
                    <w:t xml:space="preserve"> (-3,</w:t>
                  </w:r>
                  <w:r w:rsidR="00771B75">
                    <w:t>1</w:t>
                  </w:r>
                  <w:r w:rsidR="00D423F3">
                    <w:t>00)</w:t>
                  </w:r>
                  <w:r w:rsidR="008F4CE6">
                    <w:t>, driving the fall.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6CBA4D79" w14:textId="77777777" w:rsidR="008B0F01" w:rsidRDefault="008B0F01" w:rsidP="00AE17D3">
                  <w:pPr>
                    <w:spacing w:before="0" w:after="0"/>
                  </w:pPr>
                </w:p>
              </w:tc>
            </w:tr>
            <w:tr w:rsidR="008B0F01" w14:paraId="3DE2590E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6EFB57BF" w14:textId="16BCD8B0" w:rsidR="008B0F01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6" behindDoc="0" locked="0" layoutInCell="1" allowOverlap="1" wp14:anchorId="16F0D365" wp14:editId="0889A2B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3810</wp:posOffset>
                        </wp:positionV>
                        <wp:extent cx="359665" cy="359665"/>
                        <wp:effectExtent l="0" t="0" r="0" b="2540"/>
                        <wp:wrapSquare wrapText="bothSides"/>
                        <wp:docPr id="45" name="Picture 45" descr="A blue outline of a bottl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5" descr="A blue outline of a bottle&#10;&#10;Description automatically generated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Northern Territory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3B621C3E" w14:textId="2E63125B" w:rsidR="008B0F01" w:rsidRDefault="00934835" w:rsidP="000652E2">
                  <w:pPr>
                    <w:spacing w:after="40"/>
                  </w:pPr>
                  <w:r>
                    <w:rPr>
                      <w:noProof/>
                    </w:rPr>
                    <w:drawing>
                      <wp:inline distT="0" distB="0" distL="0" distR="0" wp14:anchorId="29C3F717" wp14:editId="5EF440F3">
                        <wp:extent cx="2141855" cy="981710"/>
                        <wp:effectExtent l="0" t="0" r="0" b="8890"/>
                        <wp:docPr id="21" name="Picture 21" descr="Shows the Northern Territory population growth rate below the national growth rat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Shows the Northern Territory population growth rate below the national growth rate.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0F01" w14:paraId="719CCCEF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2F7F4275" w14:textId="418829AE" w:rsidR="008B0F01" w:rsidRDefault="00FF2553" w:rsidP="00374CBA">
                  <w:pPr>
                    <w:pStyle w:val="Normalflat"/>
                  </w:pPr>
                  <w:r>
                    <w:t>The Northern Territory</w:t>
                  </w:r>
                  <w:r w:rsidR="0073793E">
                    <w:t>’s population growth (</w:t>
                  </w:r>
                  <w:r w:rsidR="0061779B">
                    <w:t>0.</w:t>
                  </w:r>
                  <w:r w:rsidR="0061779B" w:rsidRPr="00EB766D">
                    <w:t>7</w:t>
                  </w:r>
                  <w:r w:rsidR="0073793E" w:rsidRPr="00EB766D">
                    <w:rPr>
                      <w:b/>
                      <w:bCs/>
                    </w:rPr>
                    <w:t> </w:t>
                  </w:r>
                  <w:r w:rsidR="0073793E" w:rsidRPr="00EB766D">
                    <w:t>per</w:t>
                  </w:r>
                  <w:r w:rsidR="0073793E" w:rsidRPr="00E35F69">
                    <w:t xml:space="preserve"> cent</w:t>
                  </w:r>
                  <w:r w:rsidR="0073793E">
                    <w:t>)</w:t>
                  </w:r>
                  <w:r>
                    <w:t xml:space="preserve"> </w:t>
                  </w:r>
                  <w:r w:rsidR="008506A8">
                    <w:t xml:space="preserve">has been positive since </w:t>
                  </w:r>
                  <w:r w:rsidR="0016385C" w:rsidRPr="0016385C">
                    <w:t>December 2019</w:t>
                  </w:r>
                  <w:r w:rsidR="008506A8" w:rsidRPr="008506A8">
                    <w:t>,</w:t>
                  </w:r>
                  <w:r w:rsidR="008506A8" w:rsidRPr="00EB766D">
                    <w:rPr>
                      <w:b/>
                    </w:rPr>
                    <w:t xml:space="preserve"> </w:t>
                  </w:r>
                  <w:r w:rsidR="008506A8" w:rsidRPr="008506A8">
                    <w:t>after</w:t>
                  </w:r>
                  <w:r w:rsidR="008506A8" w:rsidRPr="00EB766D">
                    <w:rPr>
                      <w:b/>
                    </w:rPr>
                    <w:t xml:space="preserve"> </w:t>
                  </w:r>
                  <w:r w:rsidR="008506A8" w:rsidRPr="0016385C">
                    <w:t>6</w:t>
                  </w:r>
                  <w:r w:rsidR="008506A8" w:rsidRPr="00EB766D">
                    <w:rPr>
                      <w:b/>
                    </w:rPr>
                    <w:t xml:space="preserve"> </w:t>
                  </w:r>
                  <w:r w:rsidR="008506A8" w:rsidRPr="008506A8">
                    <w:t>quarters of population decline.</w:t>
                  </w:r>
                  <w:r w:rsidR="008506A8" w:rsidRPr="008506A8">
                    <w:rPr>
                      <w:b/>
                      <w:bCs/>
                    </w:rPr>
                    <w:t xml:space="preserve"> </w:t>
                  </w:r>
                  <w:r w:rsidR="008506A8" w:rsidRPr="008506A8">
                    <w:t xml:space="preserve">The NT’s </w:t>
                  </w:r>
                  <w:r w:rsidR="00261696">
                    <w:t>recent growth has been driven by NOM</w:t>
                  </w:r>
                  <w:r w:rsidR="0016385C">
                    <w:t xml:space="preserve"> (</w:t>
                  </w:r>
                  <w:r w:rsidR="004C74D2">
                    <w:t>3,200</w:t>
                  </w:r>
                  <w:r w:rsidR="0016385C">
                    <w:t>)</w:t>
                  </w:r>
                  <w:r w:rsidR="00463736">
                    <w:t xml:space="preserve"> and natural increase (</w:t>
                  </w:r>
                  <w:r w:rsidR="00021214">
                    <w:t>2,200</w:t>
                  </w:r>
                  <w:r w:rsidR="00463736">
                    <w:t>)</w:t>
                  </w:r>
                  <w:r w:rsidR="0038586E">
                    <w:t>,</w:t>
                  </w:r>
                  <w:r w:rsidR="00381021">
                    <w:t xml:space="preserve"> </w:t>
                  </w:r>
                  <w:r w:rsidR="00463736">
                    <w:t>with</w:t>
                  </w:r>
                  <w:r w:rsidR="00856E53">
                    <w:t xml:space="preserve"> </w:t>
                  </w:r>
                  <w:r w:rsidR="00852616">
                    <w:t xml:space="preserve">NIM </w:t>
                  </w:r>
                  <w:r w:rsidR="00A56645">
                    <w:t>(</w:t>
                  </w:r>
                  <w:r w:rsidR="00685AD5">
                    <w:t>-3,600</w:t>
                  </w:r>
                  <w:r w:rsidR="00A56645">
                    <w:t xml:space="preserve">) </w:t>
                  </w:r>
                  <w:r w:rsidR="000E02AB">
                    <w:t>lowering</w:t>
                  </w:r>
                  <w:r w:rsidR="00A56645">
                    <w:t xml:space="preserve"> growth</w:t>
                  </w:r>
                  <w:r w:rsidR="00852616">
                    <w:t>.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40254A36" w14:textId="77777777" w:rsidR="008B0F01" w:rsidRDefault="008B0F01" w:rsidP="00AE17D3">
                  <w:pPr>
                    <w:spacing w:before="0" w:after="0"/>
                  </w:pPr>
                </w:p>
              </w:tc>
            </w:tr>
            <w:tr w:rsidR="008B0F01" w14:paraId="39F3631E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276EEC6E" w14:textId="468126EE" w:rsidR="008B0F01" w:rsidRDefault="008B0F01" w:rsidP="00AF6F32">
                  <w:pPr>
                    <w:pStyle w:val="Heading7"/>
                  </w:pPr>
                  <w:r w:rsidRPr="00173011">
                    <w:rPr>
                      <w:noProof/>
                    </w:rPr>
                    <w:drawing>
                      <wp:anchor distT="0" distB="0" distL="114300" distR="114300" simplePos="0" relativeHeight="251658247" behindDoc="0" locked="0" layoutInCell="1" allowOverlap="1" wp14:anchorId="2B397886" wp14:editId="6969BA00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0</wp:posOffset>
                        </wp:positionV>
                        <wp:extent cx="359665" cy="359665"/>
                        <wp:effectExtent l="0" t="0" r="0" b="2540"/>
                        <wp:wrapSquare wrapText="bothSides"/>
                        <wp:docPr id="46" name="Picture 46" descr="A blue outline of a ma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A blue outline of a map&#10;&#10;Description automatically generated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665" cy="359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73011" w:rsidRPr="00173011">
                    <w:t>Australian Capital Territory</w:t>
                  </w:r>
                </w:p>
              </w:tc>
              <w:tc>
                <w:tcPr>
                  <w:tcW w:w="3458" w:type="dxa"/>
                  <w:gridSpan w:val="2"/>
                  <w:vMerge w:val="restart"/>
                  <w:shd w:val="clear" w:color="auto" w:fill="auto"/>
                </w:tcPr>
                <w:p w14:paraId="6570F853" w14:textId="303A3CF7" w:rsidR="008B0F01" w:rsidRDefault="00934835" w:rsidP="000652E2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 wp14:anchorId="45419018" wp14:editId="12C30EF6">
                        <wp:extent cx="2141855" cy="981710"/>
                        <wp:effectExtent l="0" t="0" r="0" b="8890"/>
                        <wp:docPr id="23" name="Picture 23" descr="Shows the ACT growth rate below the national growth rate in recent quarte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Shows the ACT growth rate below the national growth rate in recent quarters.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1855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0F01" w14:paraId="7A4F4899" w14:textId="77777777" w:rsidTr="00E868C8">
              <w:tblPrEx>
                <w:tblCellMar>
                  <w:left w:w="0" w:type="dxa"/>
                  <w:right w:w="85" w:type="dxa"/>
                </w:tblCellMar>
              </w:tblPrEx>
              <w:tc>
                <w:tcPr>
                  <w:tcW w:w="5580" w:type="dxa"/>
                  <w:gridSpan w:val="2"/>
                  <w:shd w:val="clear" w:color="auto" w:fill="auto"/>
                </w:tcPr>
                <w:p w14:paraId="492E3D01" w14:textId="2D1FF673" w:rsidR="008B0F01" w:rsidRDefault="008F4CE6" w:rsidP="00374CBA">
                  <w:pPr>
                    <w:pStyle w:val="Normalflat"/>
                  </w:pPr>
                  <w:r>
                    <w:t>The ACT</w:t>
                  </w:r>
                  <w:r w:rsidR="00F75A99">
                    <w:t>’s population growth</w:t>
                  </w:r>
                  <w:r>
                    <w:t xml:space="preserve"> </w:t>
                  </w:r>
                  <w:r w:rsidR="00D31BD9">
                    <w:t>(2.1</w:t>
                  </w:r>
                  <w:r w:rsidR="00D31BD9" w:rsidRPr="006A7D59">
                    <w:rPr>
                      <w:b/>
                    </w:rPr>
                    <w:t> </w:t>
                  </w:r>
                  <w:r w:rsidR="00D31BD9" w:rsidRPr="00E35F69">
                    <w:t>per cent</w:t>
                  </w:r>
                  <w:r w:rsidR="00D31BD9">
                    <w:t xml:space="preserve">) </w:t>
                  </w:r>
                  <w:r w:rsidR="007668A5">
                    <w:t xml:space="preserve">has recently fallen below the national </w:t>
                  </w:r>
                  <w:r w:rsidR="005A3989">
                    <w:t xml:space="preserve">average </w:t>
                  </w:r>
                  <w:r w:rsidR="007668A5">
                    <w:t xml:space="preserve">due to </w:t>
                  </w:r>
                  <w:r w:rsidR="007F7AB0">
                    <w:t>a small</w:t>
                  </w:r>
                  <w:r w:rsidR="007668A5">
                    <w:t xml:space="preserve"> NIM</w:t>
                  </w:r>
                  <w:r w:rsidR="007F7AB0">
                    <w:t xml:space="preserve"> outflow</w:t>
                  </w:r>
                  <w:r w:rsidR="008B1070">
                    <w:t xml:space="preserve"> (</w:t>
                  </w:r>
                  <w:r w:rsidR="004E235E">
                    <w:t>-</w:t>
                  </w:r>
                  <w:r w:rsidR="002B7E50" w:rsidRPr="002B7E50">
                    <w:t>1,8</w:t>
                  </w:r>
                  <w:r w:rsidR="004E235E">
                    <w:t>00</w:t>
                  </w:r>
                  <w:r w:rsidR="008B1070">
                    <w:t>). Historically</w:t>
                  </w:r>
                  <w:r w:rsidR="007F7AB0">
                    <w:t>, the ACT has grown</w:t>
                  </w:r>
                  <w:r w:rsidR="008B1070">
                    <w:t xml:space="preserve"> </w:t>
                  </w:r>
                  <w:r w:rsidR="007F7AB0">
                    <w:t>faster than</w:t>
                  </w:r>
                  <w:r w:rsidR="007149A4">
                    <w:t xml:space="preserve"> national average since 2014, </w:t>
                  </w:r>
                  <w:r w:rsidR="007F7AB0">
                    <w:t>due to strong NIM inflows</w:t>
                  </w:r>
                  <w:r w:rsidR="00F75A99">
                    <w:t xml:space="preserve">. </w:t>
                  </w:r>
                </w:p>
              </w:tc>
              <w:tc>
                <w:tcPr>
                  <w:tcW w:w="3458" w:type="dxa"/>
                  <w:gridSpan w:val="2"/>
                  <w:vMerge/>
                  <w:shd w:val="clear" w:color="auto" w:fill="auto"/>
                </w:tcPr>
                <w:p w14:paraId="0DE737AB" w14:textId="77777777" w:rsidR="008B0F01" w:rsidRDefault="008B0F01" w:rsidP="00AE17D3">
                  <w:pPr>
                    <w:spacing w:before="0" w:after="0"/>
                  </w:pPr>
                </w:p>
              </w:tc>
            </w:tr>
          </w:tbl>
          <w:p w14:paraId="66835BB1" w14:textId="3F42F069" w:rsidR="0060758B" w:rsidRPr="002D693B" w:rsidRDefault="0060758B" w:rsidP="009D27CD"/>
        </w:tc>
      </w:tr>
      <w:tr w:rsidR="006F4223" w:rsidRPr="0023709A" w14:paraId="3B016F96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14:paraId="635EA5DF" w14:textId="32666F95" w:rsidR="006F4223" w:rsidRDefault="006F4223" w:rsidP="006F4223">
            <w:pPr>
              <w:pStyle w:val="TableHeadingContinued"/>
            </w:pPr>
            <w:r>
              <w:lastRenderedPageBreak/>
              <w:t>Population and population growth</w:t>
            </w:r>
          </w:p>
          <w:tbl>
            <w:tblPr>
              <w:tblW w:w="8953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"/>
              <w:gridCol w:w="1328"/>
              <w:gridCol w:w="1325"/>
              <w:gridCol w:w="1200"/>
              <w:gridCol w:w="1453"/>
              <w:gridCol w:w="1328"/>
              <w:gridCol w:w="1326"/>
            </w:tblGrid>
            <w:tr w:rsidR="007E4139" w:rsidRPr="009C2B09" w14:paraId="2889AFBC" w14:textId="77777777" w:rsidTr="00E868C8">
              <w:trPr>
                <w:trHeight w:val="340"/>
                <w:jc w:val="center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vAlign w:val="center"/>
                  <w:hideMark/>
                </w:tcPr>
                <w:p w14:paraId="410E576B" w14:textId="50B66DE4" w:rsidR="007E4139" w:rsidRPr="00DC62D9" w:rsidRDefault="007E4139" w:rsidP="007E4139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State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vAlign w:val="center"/>
                  <w:hideMark/>
                </w:tcPr>
                <w:p w14:paraId="5E3C83ED" w14:textId="57117496" w:rsidR="007E4139" w:rsidRPr="00DC62D9" w:rsidRDefault="007E4139" w:rsidP="009C5F6F">
                  <w:pPr>
                    <w:pStyle w:val="TableSecondHeading"/>
                    <w:rPr>
                      <w:bCs w:val="0"/>
                    </w:rPr>
                  </w:pPr>
                  <w:r>
                    <w:t>ERP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E5225DB" w14:textId="53B271E3" w:rsidR="007E4139" w:rsidRPr="00BF1819" w:rsidRDefault="007E4139" w:rsidP="002A6526">
                  <w:pPr>
                    <w:pStyle w:val="TableSecondHeading"/>
                  </w:pPr>
                  <w:r w:rsidRPr="00BF1819">
                    <w:t>ERP Increase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78427CD" w14:textId="7FC7FD22" w:rsidR="007E4139" w:rsidRPr="00BF1819" w:rsidRDefault="007E4139" w:rsidP="002A6526">
                  <w:pPr>
                    <w:pStyle w:val="TableSecondHeading"/>
                  </w:pPr>
                  <w:r w:rsidRPr="00BF1819">
                    <w:t>ERP Increase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D72F3D5" w14:textId="3647023B" w:rsidR="007E4139" w:rsidRPr="00BF1819" w:rsidRDefault="007E4139" w:rsidP="002A6526">
                  <w:pPr>
                    <w:pStyle w:val="TableSecondHeading"/>
                  </w:pPr>
                  <w:r w:rsidRPr="00BF1819">
                    <w:t>Natural Increase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vAlign w:val="center"/>
                  <w:hideMark/>
                </w:tcPr>
                <w:p w14:paraId="15C0F3B3" w14:textId="5D2D5518" w:rsidR="007E4139" w:rsidRPr="00DC62D9" w:rsidRDefault="007E4139" w:rsidP="009C5F6F">
                  <w:pPr>
                    <w:pStyle w:val="TableSecondHeading"/>
                    <w:rPr>
                      <w:bCs w:val="0"/>
                    </w:rPr>
                  </w:pPr>
                  <w:r>
                    <w:t>NIM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bottom w:val="nil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14:paraId="2E30FDE9" w14:textId="6C800532" w:rsidR="007E4139" w:rsidRPr="00DC62D9" w:rsidDel="00306224" w:rsidRDefault="007E4139" w:rsidP="009C5F6F">
                  <w:pPr>
                    <w:pStyle w:val="TableSecondHeading"/>
                    <w:rPr>
                      <w:bCs w:val="0"/>
                    </w:rPr>
                  </w:pPr>
                  <w:r>
                    <w:t>NOM</w:t>
                  </w:r>
                </w:p>
              </w:tc>
            </w:tr>
            <w:tr w:rsidR="007E4139" w:rsidRPr="009C2B09" w14:paraId="0FE2B6DE" w14:textId="77777777" w:rsidTr="00E868C8">
              <w:trPr>
                <w:trHeight w:val="283"/>
                <w:jc w:val="center"/>
              </w:trPr>
              <w:tc>
                <w:tcPr>
                  <w:tcW w:w="98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vAlign w:val="bottom"/>
                </w:tcPr>
                <w:p w14:paraId="4CB37DD5" w14:textId="77777777" w:rsidR="007E4139" w:rsidRPr="00BF1819" w:rsidRDefault="007E4139" w:rsidP="007E4139">
                  <w:pPr>
                    <w:spacing w:before="40" w:after="40" w:line="276" w:lineRule="auto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vAlign w:val="center"/>
                </w:tcPr>
                <w:p w14:paraId="1CEF241B" w14:textId="6F2EE347" w:rsidR="007E4139" w:rsidRPr="00BF1819" w:rsidRDefault="007E4139" w:rsidP="0088700C">
                  <w:pPr>
                    <w:pStyle w:val="TableThirdHeading"/>
                  </w:pPr>
                  <w:r w:rsidRPr="00BF1819">
                    <w:t>30 Sept 2023</w:t>
                  </w:r>
                </w:p>
              </w:tc>
              <w:tc>
                <w:tcPr>
                  <w:tcW w:w="132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D48DD7A" w14:textId="1EE3E24B" w:rsidR="007E4139" w:rsidRPr="00BF1819" w:rsidRDefault="007E4139" w:rsidP="0088700C">
                  <w:pPr>
                    <w:pStyle w:val="TableThirdHeading"/>
                    <w:rPr>
                      <w:b/>
                      <w:bCs/>
                    </w:rPr>
                  </w:pPr>
                  <w:r w:rsidRPr="00BF1819">
                    <w:t>Since Sept 2022</w:t>
                  </w:r>
                </w:p>
              </w:tc>
              <w:tc>
                <w:tcPr>
                  <w:tcW w:w="1201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F65579B" w14:textId="4A7B1F82" w:rsidR="007E4139" w:rsidRPr="00BF1819" w:rsidRDefault="007E4139" w:rsidP="0088700C">
                  <w:pPr>
                    <w:pStyle w:val="TableThirdHeading"/>
                    <w:rPr>
                      <w:b/>
                      <w:bCs/>
                    </w:rPr>
                  </w:pPr>
                  <w:r w:rsidRPr="00BF1819">
                    <w:t>Annual %</w:t>
                  </w:r>
                </w:p>
              </w:tc>
              <w:tc>
                <w:tcPr>
                  <w:tcW w:w="145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DDE9752" w14:textId="04BC3A7A" w:rsidR="007E4139" w:rsidRPr="00BF1819" w:rsidRDefault="007E4139" w:rsidP="0088700C">
                  <w:pPr>
                    <w:pStyle w:val="TableThirdHeading"/>
                    <w:rPr>
                      <w:b/>
                      <w:bCs/>
                    </w:rPr>
                  </w:pPr>
                  <w:r w:rsidRPr="00BF1819">
                    <w:t>Annual</w:t>
                  </w:r>
                </w:p>
              </w:tc>
              <w:tc>
                <w:tcPr>
                  <w:tcW w:w="132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vAlign w:val="center"/>
                </w:tcPr>
                <w:p w14:paraId="1F5FFF9B" w14:textId="65F88B35" w:rsidR="007E4139" w:rsidRPr="00BF1819" w:rsidRDefault="007E4139" w:rsidP="0088700C">
                  <w:pPr>
                    <w:pStyle w:val="TableThirdHeading"/>
                  </w:pPr>
                  <w:r w:rsidRPr="00BF1819">
                    <w:t>Annual</w:t>
                  </w:r>
                </w:p>
              </w:tc>
              <w:tc>
                <w:tcPr>
                  <w:tcW w:w="1328" w:type="dxa"/>
                  <w:tcBorders>
                    <w:top w:val="nil"/>
                    <w:bottom w:val="single" w:sz="4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14:paraId="40DD967B" w14:textId="4970DD83" w:rsidR="007E4139" w:rsidRPr="00BF1819" w:rsidRDefault="007E4139" w:rsidP="0088700C">
                  <w:pPr>
                    <w:pStyle w:val="TableThirdHeading"/>
                  </w:pPr>
                  <w:r w:rsidRPr="00BF1819">
                    <w:t>Annual</w:t>
                  </w:r>
                </w:p>
              </w:tc>
            </w:tr>
            <w:tr w:rsidR="00201268" w:rsidRPr="009C2B09" w14:paraId="627C77FE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  <w:hideMark/>
                </w:tcPr>
                <w:p w14:paraId="45277BD7" w14:textId="77777777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B61F0">
                    <w:t>NSW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16C6B7F5" w14:textId="1CBCAA6F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8,395,000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29FF2CF" w14:textId="0CE31854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186,000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64B2803" w14:textId="045E6D00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2.3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A91C2C2" w14:textId="490D65A5" w:rsidR="00201268" w:rsidRPr="00BC1FD3" w:rsidRDefault="00201268" w:rsidP="000B61F0">
                  <w:pPr>
                    <w:pStyle w:val="Tabletext"/>
                  </w:pPr>
                  <w:r w:rsidRPr="00BC1FD3">
                    <w:t>33,000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608BE51A" w14:textId="7673FE50" w:rsidR="00201268" w:rsidRPr="00BC1FD3" w:rsidRDefault="00201268" w:rsidP="000B61F0">
                  <w:pPr>
                    <w:pStyle w:val="Tabletext"/>
                  </w:pPr>
                  <w:r w:rsidRPr="00BC1FD3">
                    <w:t>-33,200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1E11200" w14:textId="1ADA6737" w:rsidR="00201268" w:rsidRPr="00BC1FD3" w:rsidRDefault="00201268" w:rsidP="000B61F0">
                  <w:pPr>
                    <w:pStyle w:val="Tabletext"/>
                  </w:pPr>
                  <w:r w:rsidRPr="00BC1FD3">
                    <w:t>186,000</w:t>
                  </w:r>
                </w:p>
              </w:tc>
            </w:tr>
            <w:tr w:rsidR="00201268" w:rsidRPr="009C2B09" w14:paraId="6A6C94E1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tcMar>
                    <w:left w:w="28" w:type="dxa"/>
                  </w:tcMar>
                  <w:vAlign w:val="bottom"/>
                  <w:hideMark/>
                </w:tcPr>
                <w:p w14:paraId="5C143DFD" w14:textId="77777777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VIC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AF046" w14:textId="1D0D27CD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6,865,000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E6B8E5" w14:textId="7F29043C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193,000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DA08FD" w14:textId="5CC759B7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2.9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13309E" w14:textId="22013D37" w:rsidR="00201268" w:rsidRPr="00BC1FD3" w:rsidRDefault="00201268" w:rsidP="000B61F0">
                  <w:pPr>
                    <w:pStyle w:val="Tabletext"/>
                  </w:pPr>
                  <w:r w:rsidRPr="00BC1FD3">
                    <w:t>32,000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006D58" w14:textId="5AF03B3F" w:rsidR="00201268" w:rsidRPr="00BC1FD3" w:rsidRDefault="00201268" w:rsidP="000B61F0">
                  <w:pPr>
                    <w:pStyle w:val="Tabletext"/>
                  </w:pPr>
                  <w:r w:rsidRPr="00BC1FD3">
                    <w:t>-1,100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6FA07D" w14:textId="47B665E6" w:rsidR="00201268" w:rsidRPr="00BC1FD3" w:rsidRDefault="00201268" w:rsidP="000B61F0">
                  <w:pPr>
                    <w:pStyle w:val="Tabletext"/>
                  </w:pPr>
                  <w:r w:rsidRPr="00BC1FD3">
                    <w:t>162,000</w:t>
                  </w:r>
                </w:p>
              </w:tc>
            </w:tr>
            <w:tr w:rsidR="00201268" w:rsidRPr="009C2B09" w14:paraId="7E09D9AB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  <w:hideMark/>
                </w:tcPr>
                <w:p w14:paraId="629861CA" w14:textId="77777777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QLD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0AEC6B5C" w14:textId="506064F0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5,496,000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EB9B0C9" w14:textId="63947B10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144,000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6086486A" w14:textId="0A1142E8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2.7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4E803BE2" w14:textId="24962B64" w:rsidR="00201268" w:rsidRPr="00BC1FD3" w:rsidRDefault="00201268" w:rsidP="000B61F0">
                  <w:pPr>
                    <w:pStyle w:val="Tabletext"/>
                  </w:pPr>
                  <w:r w:rsidRPr="00BC1FD3">
                    <w:t>23,000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2ADF6E42" w14:textId="4D1DC736" w:rsidR="00201268" w:rsidRPr="00BC1FD3" w:rsidRDefault="00201268" w:rsidP="000B61F0">
                  <w:pPr>
                    <w:pStyle w:val="Tabletext"/>
                  </w:pPr>
                  <w:r w:rsidRPr="00BC1FD3">
                    <w:t>33,000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895988A" w14:textId="3B6FF5E2" w:rsidR="00201268" w:rsidRPr="00BC1FD3" w:rsidRDefault="00201268" w:rsidP="000B61F0">
                  <w:pPr>
                    <w:pStyle w:val="Tabletext"/>
                  </w:pPr>
                  <w:r w:rsidRPr="00BC1FD3">
                    <w:t>88,000</w:t>
                  </w:r>
                </w:p>
              </w:tc>
            </w:tr>
            <w:tr w:rsidR="00201268" w:rsidRPr="009C2B09" w14:paraId="3A2A9626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4A0E56AD" w14:textId="3C681E2F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SA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2010AD" w14:textId="11ED1C39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1,860,000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2C90EB" w14:textId="52420C06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31,000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C05991" w14:textId="0DA44A25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1.7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38F37B" w14:textId="300B6EF3" w:rsidR="00201268" w:rsidRPr="00BC1FD3" w:rsidRDefault="00201268" w:rsidP="000B61F0">
                  <w:pPr>
                    <w:pStyle w:val="Tabletext"/>
                  </w:pPr>
                  <w:r w:rsidRPr="00BC1FD3">
                    <w:t>3,200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E18D6D" w14:textId="0A704EF8" w:rsidR="00201268" w:rsidRPr="00BC1FD3" w:rsidRDefault="00201268" w:rsidP="000B61F0">
                  <w:pPr>
                    <w:pStyle w:val="Tabletext"/>
                  </w:pPr>
                  <w:r w:rsidRPr="00BC1FD3">
                    <w:t>-1,000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FB5CFA" w14:textId="5138A3F6" w:rsidR="00201268" w:rsidRPr="00BC1FD3" w:rsidRDefault="00201268" w:rsidP="000B61F0">
                  <w:pPr>
                    <w:pStyle w:val="Tabletext"/>
                  </w:pPr>
                  <w:r w:rsidRPr="00BC1FD3">
                    <w:t>29,000</w:t>
                  </w:r>
                </w:p>
              </w:tc>
            </w:tr>
            <w:tr w:rsidR="00201268" w:rsidRPr="009C2B09" w14:paraId="0DC541A2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bottom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</w:tcPr>
                <w:p w14:paraId="5F27A19F" w14:textId="673E45D8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WA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0E70420F" w14:textId="0391F83E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2,906,000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3A2DF24" w14:textId="4AD41BA5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94,000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A572991" w14:textId="103A8FBC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3.3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CE27014" w14:textId="41AC2F07" w:rsidR="00201268" w:rsidRPr="00BC1FD3" w:rsidRDefault="00201268" w:rsidP="000B61F0">
                  <w:pPr>
                    <w:pStyle w:val="Tabletext"/>
                  </w:pPr>
                  <w:r w:rsidRPr="00BC1FD3">
                    <w:t>15,000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35F25EEC" w14:textId="1192263C" w:rsidR="00201268" w:rsidRPr="00BC1FD3" w:rsidRDefault="00201268" w:rsidP="000B61F0">
                  <w:pPr>
                    <w:pStyle w:val="Tabletext"/>
                  </w:pPr>
                  <w:r w:rsidRPr="00BC1FD3">
                    <w:t>11,000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2E304B4B" w14:textId="04F6EB70" w:rsidR="00201268" w:rsidRPr="00BC1FD3" w:rsidRDefault="00201268" w:rsidP="000B61F0">
                  <w:pPr>
                    <w:pStyle w:val="Tabletext"/>
                  </w:pPr>
                  <w:r w:rsidRPr="00BC1FD3">
                    <w:t>68,000</w:t>
                  </w:r>
                </w:p>
              </w:tc>
            </w:tr>
            <w:tr w:rsidR="00201268" w:rsidRPr="009C2B09" w14:paraId="63BC525A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0712C736" w14:textId="20D4C83D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TAS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10FCC" w14:textId="1BBED8DB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573,000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77F340" w14:textId="46355E23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1,600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BBDF0E" w14:textId="692CE102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0.3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68D8C7" w14:textId="128D702E" w:rsidR="00201268" w:rsidRPr="00BC1FD3" w:rsidRDefault="00201268" w:rsidP="000B61F0">
                  <w:pPr>
                    <w:pStyle w:val="Tabletext"/>
                  </w:pPr>
                  <w:r w:rsidRPr="00BC1FD3">
                    <w:t>300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12915" w14:textId="2ED190BB" w:rsidR="00201268" w:rsidRPr="00BC1FD3" w:rsidRDefault="00201268" w:rsidP="000B61F0">
                  <w:pPr>
                    <w:pStyle w:val="Tabletext"/>
                  </w:pPr>
                  <w:r w:rsidRPr="00BC1FD3">
                    <w:t>-3,100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A1B57C" w14:textId="0FB2DDB7" w:rsidR="00201268" w:rsidRPr="00BC1FD3" w:rsidRDefault="00201268" w:rsidP="000B61F0">
                  <w:pPr>
                    <w:pStyle w:val="Tabletext"/>
                  </w:pPr>
                  <w:r w:rsidRPr="00BC1FD3">
                    <w:t>4,400</w:t>
                  </w:r>
                </w:p>
              </w:tc>
            </w:tr>
            <w:tr w:rsidR="00201268" w:rsidRPr="009C2B09" w14:paraId="7B773684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bottom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</w:tcPr>
                <w:p w14:paraId="329FE426" w14:textId="049C3DEA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NT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3B004412" w14:textId="1C80FEE2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252,000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4403E35" w14:textId="08692C5A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1,800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7F9F3EA8" w14:textId="5966ED03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0.7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B33B735" w14:textId="3EA31C9C" w:rsidR="00201268" w:rsidRPr="00BC1FD3" w:rsidRDefault="00201268" w:rsidP="000B61F0">
                  <w:pPr>
                    <w:pStyle w:val="Tabletext"/>
                  </w:pPr>
                  <w:r w:rsidRPr="00BC1FD3">
                    <w:t>2,200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2A082F9E" w14:textId="38AA33F8" w:rsidR="00201268" w:rsidRPr="00BC1FD3" w:rsidRDefault="00201268" w:rsidP="000B61F0">
                  <w:pPr>
                    <w:pStyle w:val="Tabletext"/>
                  </w:pPr>
                  <w:r w:rsidRPr="00BC1FD3">
                    <w:t>-3,600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7177F31" w14:textId="5BF06788" w:rsidR="00201268" w:rsidRPr="00BC1FD3" w:rsidRDefault="00201268" w:rsidP="000B61F0">
                  <w:pPr>
                    <w:pStyle w:val="Tabletext"/>
                  </w:pPr>
                  <w:r w:rsidRPr="00BC1FD3">
                    <w:t>3,200</w:t>
                  </w:r>
                </w:p>
              </w:tc>
            </w:tr>
            <w:tr w:rsidR="00201268" w:rsidRPr="009C2B09" w14:paraId="6DEB7FA2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  <w:hideMark/>
                </w:tcPr>
                <w:p w14:paraId="5AF078C5" w14:textId="77777777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ACT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55FCF3" w14:textId="428FAA31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469,000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D02994" w14:textId="45D71EAF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9,600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92F5CB" w14:textId="4C0548E0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2.1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4E74B0" w14:textId="57155094" w:rsidR="00201268" w:rsidRPr="00BC1FD3" w:rsidRDefault="00201268" w:rsidP="000B61F0">
                  <w:pPr>
                    <w:pStyle w:val="Tabletext"/>
                  </w:pPr>
                  <w:r w:rsidRPr="00BC1FD3">
                    <w:t>2,600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D5D8E2" w14:textId="7498895B" w:rsidR="00201268" w:rsidRPr="00BC1FD3" w:rsidRDefault="00201268" w:rsidP="000B61F0">
                  <w:pPr>
                    <w:pStyle w:val="Tabletext"/>
                  </w:pPr>
                  <w:r w:rsidRPr="00BC1FD3">
                    <w:t>-1,800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EE3171" w14:textId="30C0B322" w:rsidR="00201268" w:rsidRPr="00BC1FD3" w:rsidRDefault="00201268" w:rsidP="000B61F0">
                  <w:pPr>
                    <w:pStyle w:val="Tabletext"/>
                  </w:pPr>
                  <w:r w:rsidRPr="00BC1FD3">
                    <w:t>8,800</w:t>
                  </w:r>
                </w:p>
              </w:tc>
            </w:tr>
            <w:tr w:rsidR="00201268" w:rsidRPr="00E93E5D" w14:paraId="5A7323E8" w14:textId="77777777" w:rsidTr="00E868C8">
              <w:trPr>
                <w:trHeight w:val="204"/>
                <w:jc w:val="center"/>
              </w:trPr>
              <w:tc>
                <w:tcPr>
                  <w:tcW w:w="985" w:type="dxa"/>
                  <w:tcBorders>
                    <w:top w:val="nil"/>
                    <w:bottom w:val="single" w:sz="4" w:space="0" w:color="002C47" w:themeColor="accent1"/>
                  </w:tcBorders>
                  <w:shd w:val="clear" w:color="auto" w:fill="D2EDFF" w:themeFill="accent1" w:themeFillTint="1A"/>
                  <w:noWrap/>
                  <w:tcMar>
                    <w:left w:w="28" w:type="dxa"/>
                  </w:tcMar>
                  <w:vAlign w:val="bottom"/>
                  <w:hideMark/>
                </w:tcPr>
                <w:p w14:paraId="7E8C63E8" w14:textId="77777777" w:rsidR="00201268" w:rsidRPr="009C2B09" w:rsidRDefault="00201268" w:rsidP="000B61F0">
                  <w:pPr>
                    <w:pStyle w:val="TableColumnHeadingLeft"/>
                    <w:rPr>
                      <w:rFonts w:asciiTheme="minorHAnsi" w:eastAsia="Times New Roman" w:hAnsiTheme="minorHAnsi" w:cstheme="minorHAnsi"/>
                      <w:b w:val="0"/>
                      <w:bCs/>
                      <w:color w:val="000000"/>
                    </w:rPr>
                  </w:pPr>
                  <w:r w:rsidRPr="00033E27">
                    <w:t>Australia*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noWrap/>
                  <w:vAlign w:val="bottom"/>
                </w:tcPr>
                <w:p w14:paraId="6AE1B76F" w14:textId="1E97D9EA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26,822,000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vAlign w:val="bottom"/>
                </w:tcPr>
                <w:p w14:paraId="75DC30A4" w14:textId="68C0FCEF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660,000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vAlign w:val="bottom"/>
                </w:tcPr>
                <w:p w14:paraId="2D254313" w14:textId="4033D905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BC1FD3">
                    <w:t>2.5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vAlign w:val="bottom"/>
                </w:tcPr>
                <w:p w14:paraId="2D87F3B1" w14:textId="67C11C9F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362CE8">
                    <w:t>111</w:t>
                  </w:r>
                  <w:r w:rsidRPr="00BC1FD3">
                    <w:t>,000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noWrap/>
                  <w:vAlign w:val="bottom"/>
                </w:tcPr>
                <w:p w14:paraId="70471CC6" w14:textId="347F143F" w:rsidR="00201268" w:rsidRPr="00BC1FD3" w:rsidRDefault="00201268" w:rsidP="000B61F0">
                  <w:pPr>
                    <w:pStyle w:val="Tabletext"/>
                    <w:rPr>
                      <w:rFonts w:eastAsia="Times New Roman"/>
                      <w:lang w:eastAsia="en-AU"/>
                    </w:rPr>
                  </w:pPr>
                  <w:r w:rsidRPr="00362CE8">
                    <w:t>NA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D2EDFF" w:themeFill="accent1" w:themeFillTint="1A"/>
                  <w:vAlign w:val="bottom"/>
                </w:tcPr>
                <w:p w14:paraId="7327D715" w14:textId="6BA4FA50" w:rsidR="00201268" w:rsidRPr="000B61F0" w:rsidRDefault="00201268" w:rsidP="000B61F0">
                  <w:pPr>
                    <w:pStyle w:val="Tabletext"/>
                  </w:pPr>
                  <w:r w:rsidRPr="00362CE8">
                    <w:t>549</w:t>
                  </w:r>
                  <w:r w:rsidRPr="00BC1FD3">
                    <w:t>,000</w:t>
                  </w:r>
                </w:p>
              </w:tc>
            </w:tr>
          </w:tbl>
          <w:p w14:paraId="0E356F0C" w14:textId="0A56DE9D" w:rsidR="006F4223" w:rsidRDefault="006F4223" w:rsidP="004426B0">
            <w:pPr>
              <w:pStyle w:val="Bullet"/>
              <w:numPr>
                <w:ilvl w:val="0"/>
                <w:numId w:val="0"/>
              </w:numPr>
              <w:spacing w:before="40" w:after="360"/>
              <w:rPr>
                <w:sz w:val="16"/>
                <w:szCs w:val="16"/>
              </w:rPr>
            </w:pPr>
            <w:r w:rsidRPr="007C7EAD">
              <w:rPr>
                <w:sz w:val="16"/>
                <w:szCs w:val="16"/>
              </w:rPr>
              <w:t xml:space="preserve">* </w:t>
            </w:r>
            <w:r w:rsidR="007E4139">
              <w:rPr>
                <w:sz w:val="16"/>
                <w:szCs w:val="16"/>
              </w:rPr>
              <w:t>Includes other territories comprising Jervis Bay Territory, Christmas Island, the Cocos (Keeling) Islands and Norfolk Island.</w:t>
            </w:r>
          </w:p>
          <w:p w14:paraId="5969835D" w14:textId="23A18FE8" w:rsidR="006F4223" w:rsidRDefault="006F4223" w:rsidP="006F4223">
            <w:pPr>
              <w:pStyle w:val="TableHeadingContinued"/>
            </w:pPr>
            <w:r w:rsidRPr="00737787">
              <w:t>Upcoming population releases</w:t>
            </w: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8"/>
              <w:gridCol w:w="1357"/>
            </w:tblGrid>
            <w:tr w:rsidR="006F4223" w:rsidRPr="009C2B09" w14:paraId="73447157" w14:textId="77777777" w:rsidTr="00E868C8">
              <w:trPr>
                <w:trHeight w:val="271"/>
              </w:trPr>
              <w:tc>
                <w:tcPr>
                  <w:tcW w:w="0" w:type="auto"/>
                  <w:tcBorders>
                    <w:top w:val="single" w:sz="4" w:space="0" w:color="002C47" w:themeColor="accent1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3FE15BAE" w14:textId="77777777" w:rsidR="006F4223" w:rsidRPr="00DC62D9" w:rsidRDefault="006F4223" w:rsidP="006F4223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0" w:type="auto"/>
                  <w:tcBorders>
                    <w:top w:val="single" w:sz="4" w:space="0" w:color="002C47" w:themeColor="accent1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B583DB7" w14:textId="1648309E" w:rsidR="006F4223" w:rsidRPr="00DC62D9" w:rsidRDefault="006F4223" w:rsidP="006F4223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D76D2F" w:rsidRPr="009C2B09" w14:paraId="226075F0" w14:textId="77777777" w:rsidTr="00E868C8">
              <w:trPr>
                <w:trHeight w:val="204"/>
              </w:trPr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</w:tcPr>
                <w:p w14:paraId="5C2A7087" w14:textId="14844F8C" w:rsidR="00D76D2F" w:rsidRPr="00033E27" w:rsidRDefault="00B94251" w:rsidP="000B61F0">
                  <w:pPr>
                    <w:pStyle w:val="TableColumnHeadingLeft"/>
                  </w:pPr>
                  <w:r w:rsidRPr="00033E27">
                    <w:t xml:space="preserve">Overseas </w:t>
                  </w:r>
                  <w:r w:rsidR="00501235" w:rsidRPr="00033E27">
                    <w:t>m</w:t>
                  </w:r>
                  <w:r w:rsidRPr="00033E27">
                    <w:t>igration</w:t>
                  </w:r>
                  <w:r w:rsidR="003D2A45">
                    <w:t>, S</w:t>
                  </w:r>
                  <w:r w:rsidR="00E868C8">
                    <w:t>eptember 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632BCCE6" w14:textId="602AE63E" w:rsidR="00D76D2F" w:rsidRPr="00033E27" w:rsidRDefault="00A11527" w:rsidP="000B61F0">
                  <w:pPr>
                    <w:pStyle w:val="Tabletext"/>
                  </w:pPr>
                  <w:r w:rsidRPr="00033E27">
                    <w:t>21/03/2024</w:t>
                  </w:r>
                </w:p>
              </w:tc>
            </w:tr>
            <w:tr w:rsidR="006F4223" w:rsidRPr="009C2B09" w14:paraId="287A4F80" w14:textId="77777777" w:rsidTr="00E868C8">
              <w:trPr>
                <w:trHeight w:val="204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 w:themeFill="background1"/>
                  <w:noWrap/>
                  <w:tcMar>
                    <w:left w:w="28" w:type="dxa"/>
                  </w:tcMar>
                  <w:vAlign w:val="bottom"/>
                </w:tcPr>
                <w:p w14:paraId="23BD0AF9" w14:textId="6F3A17FA" w:rsidR="006F4223" w:rsidRPr="00033E27" w:rsidRDefault="00984420" w:rsidP="000B61F0">
                  <w:pPr>
                    <w:pStyle w:val="TableColumnHeadingLeft"/>
                  </w:pPr>
                  <w:r w:rsidRPr="00033E27">
                    <w:t>Regional population</w:t>
                  </w:r>
                  <w:r w:rsidR="00A1090F" w:rsidRPr="00033E27">
                    <w:t>, 2022-23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F20CD8B" w14:textId="27FCF980" w:rsidR="006F4223" w:rsidRPr="00033E27" w:rsidRDefault="00984420" w:rsidP="000B61F0">
                  <w:pPr>
                    <w:pStyle w:val="Tabletext"/>
                  </w:pPr>
                  <w:r w:rsidRPr="00033E27">
                    <w:t>26/03/2024</w:t>
                  </w:r>
                </w:p>
              </w:tc>
            </w:tr>
            <w:tr w:rsidR="000C640B" w:rsidRPr="009C2B09" w14:paraId="576EC3B1" w14:textId="77777777" w:rsidTr="00E868C8">
              <w:trPr>
                <w:trHeight w:val="204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</w:tcMar>
                  <w:vAlign w:val="bottom"/>
                </w:tcPr>
                <w:p w14:paraId="54250EB8" w14:textId="4B2D0B81" w:rsidR="000C640B" w:rsidRPr="00033E27" w:rsidRDefault="000C640B" w:rsidP="000B61F0">
                  <w:pPr>
                    <w:pStyle w:val="TableColumnHeadingLeft"/>
                  </w:pPr>
                  <w:r w:rsidRPr="00033E27">
                    <w:t>Provisional mortality, Jan – Dec 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bottom"/>
                </w:tcPr>
                <w:p w14:paraId="2CB28395" w14:textId="68BCB119" w:rsidR="000C640B" w:rsidRPr="00033E27" w:rsidRDefault="00CF015C" w:rsidP="000B61F0">
                  <w:pPr>
                    <w:pStyle w:val="Tabletext"/>
                  </w:pPr>
                  <w:r w:rsidRPr="00033E27">
                    <w:t>26/03/2024</w:t>
                  </w:r>
                </w:p>
              </w:tc>
            </w:tr>
            <w:tr w:rsidR="006F4223" w:rsidRPr="009C2B09" w14:paraId="695167E1" w14:textId="77777777" w:rsidTr="00E868C8">
              <w:trPr>
                <w:trHeight w:val="204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tcMar>
                    <w:left w:w="28" w:type="dxa"/>
                  </w:tcMar>
                  <w:vAlign w:val="bottom"/>
                </w:tcPr>
                <w:p w14:paraId="171348A1" w14:textId="5F270362" w:rsidR="006F4223" w:rsidRPr="00033E27" w:rsidRDefault="006F4223" w:rsidP="000B61F0">
                  <w:pPr>
                    <w:pStyle w:val="TableColumnHeadingLeft"/>
                  </w:pPr>
                  <w:r w:rsidRPr="00033E27">
                    <w:t>National, state and territory population</w:t>
                  </w:r>
                  <w:r w:rsidR="00C76BF8" w:rsidRPr="00033E27">
                    <w:t>,</w:t>
                  </w:r>
                  <w:r w:rsidRPr="00033E27">
                    <w:t xml:space="preserve"> </w:t>
                  </w:r>
                  <w:r w:rsidR="000B1F6F" w:rsidRPr="00033E27">
                    <w:t>December</w:t>
                  </w:r>
                  <w:r w:rsidRPr="00033E27">
                    <w:t xml:space="preserve"> 202</w:t>
                  </w:r>
                  <w:r w:rsidR="000B1F6F" w:rsidRPr="00033E27"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416F24" w14:textId="3582335B" w:rsidR="006F4223" w:rsidRPr="00033E27" w:rsidRDefault="006F4223" w:rsidP="000B61F0">
                  <w:pPr>
                    <w:pStyle w:val="Tabletext"/>
                  </w:pPr>
                  <w:r w:rsidRPr="00033E27">
                    <w:t>1</w:t>
                  </w:r>
                  <w:r w:rsidR="000B1F6F" w:rsidRPr="00033E27">
                    <w:t>3</w:t>
                  </w:r>
                  <w:r w:rsidRPr="00033E27">
                    <w:t>/0</w:t>
                  </w:r>
                  <w:r w:rsidR="000B1F6F" w:rsidRPr="00033E27">
                    <w:t>6</w:t>
                  </w:r>
                  <w:r w:rsidRPr="00033E27">
                    <w:t>/202</w:t>
                  </w:r>
                  <w:r w:rsidR="000B1F6F" w:rsidRPr="00033E27">
                    <w:t>4</w:t>
                  </w:r>
                </w:p>
              </w:tc>
            </w:tr>
          </w:tbl>
          <w:p w14:paraId="79D35219" w14:textId="77777777" w:rsidR="006F4223" w:rsidRPr="00834409" w:rsidRDefault="006F4223" w:rsidP="00F21FAB"/>
        </w:tc>
      </w:tr>
      <w:tr w:rsidR="00725216" w:rsidRPr="00D24DBE" w14:paraId="4AB1EC6E" w14:textId="77777777" w:rsidTr="003414DA">
        <w:trPr>
          <w:trHeight w:val="30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B4801F" w14:textId="683F73B5" w:rsidR="00725216" w:rsidRPr="006579A0" w:rsidRDefault="00725216" w:rsidP="00F21FAB">
            <w:pPr>
              <w:pStyle w:val="Heading3"/>
            </w:pPr>
            <w:r>
              <w:t>N</w:t>
            </w:r>
            <w:r w:rsidR="005D59BD">
              <w:t>otes</w:t>
            </w:r>
          </w:p>
          <w:p w14:paraId="57A4071E" w14:textId="199A4B96" w:rsidR="006901C6" w:rsidRPr="003414DA" w:rsidRDefault="00725216" w:rsidP="00F21FAB">
            <w:pPr>
              <w:rPr>
                <w:color w:val="4470A7"/>
              </w:rPr>
            </w:pPr>
            <w:r>
              <w:t xml:space="preserve">Further detail is available from the </w:t>
            </w:r>
            <w:hyperlink r:id="rId29" w:history="1">
              <w:r w:rsidRPr="00E553AE">
                <w:rPr>
                  <w:rStyle w:val="Hyperlink"/>
                </w:rPr>
                <w:t>Australian Bureau of Statistics</w:t>
              </w:r>
            </w:hyperlink>
          </w:p>
        </w:tc>
      </w:tr>
    </w:tbl>
    <w:p w14:paraId="2748F8F0" w14:textId="77777777" w:rsidR="00725216" w:rsidRDefault="00725216" w:rsidP="00A15497">
      <w:pPr>
        <w:rPr>
          <w:color w:val="000000"/>
        </w:rPr>
      </w:pPr>
    </w:p>
    <w:sectPr w:rsidR="00725216" w:rsidSect="002C602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276" w:right="1440" w:bottom="1276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12E" w14:textId="77777777" w:rsidR="00F6663F" w:rsidRDefault="00F6663F" w:rsidP="008F6A37">
      <w:r>
        <w:separator/>
      </w:r>
    </w:p>
  </w:endnote>
  <w:endnote w:type="continuationSeparator" w:id="0">
    <w:p w14:paraId="79250A5B" w14:textId="77777777" w:rsidR="00F6663F" w:rsidRDefault="00F6663F" w:rsidP="008F6A37">
      <w:r>
        <w:continuationSeparator/>
      </w:r>
    </w:p>
  </w:endnote>
  <w:endnote w:type="continuationNotice" w:id="1">
    <w:p w14:paraId="51311255" w14:textId="77777777" w:rsidR="00F6663F" w:rsidRDefault="00F66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E18A" w14:textId="77777777" w:rsidR="00F6663F" w:rsidRDefault="00F6663F" w:rsidP="008F6A37">
      <w:r>
        <w:separator/>
      </w:r>
    </w:p>
  </w:footnote>
  <w:footnote w:type="continuationSeparator" w:id="0">
    <w:p w14:paraId="1D70153E" w14:textId="77777777" w:rsidR="00F6663F" w:rsidRDefault="00F6663F" w:rsidP="008F6A37">
      <w:r>
        <w:continuationSeparator/>
      </w:r>
    </w:p>
  </w:footnote>
  <w:footnote w:type="continuationNotice" w:id="1">
    <w:p w14:paraId="3F9B3984" w14:textId="77777777" w:rsidR="00F6663F" w:rsidRDefault="00F66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7E5C01B2" w:rsidR="00F21FAB" w:rsidRPr="00763EB8" w:rsidRDefault="00F21FAB" w:rsidP="00763EB8">
    <w:pPr>
      <w:pStyle w:val="HeaderOdd"/>
      <w:rPr>
        <w:b w:val="0"/>
        <w:bCs/>
        <w:i/>
        <w:iCs/>
      </w:rPr>
    </w:pPr>
    <w:r w:rsidRPr="00B176CD">
      <w:rPr>
        <w:b w:val="0"/>
      </w:rPr>
      <w:t xml:space="preserve">Analysis of </w:t>
    </w:r>
    <w:r w:rsidRPr="00B176CD">
      <w:rPr>
        <w:b w:val="0"/>
        <w:i/>
      </w:rPr>
      <w:fldChar w:fldCharType="begin"/>
    </w:r>
    <w:r w:rsidRPr="00B176CD">
      <w:rPr>
        <w:b w:val="0"/>
        <w:i/>
      </w:rPr>
      <w:instrText xml:space="preserve"> REF _Ref74896474 \h  \* MERGEFORMAT </w:instrText>
    </w:r>
    <w:r w:rsidRPr="00B176CD">
      <w:rPr>
        <w:b w:val="0"/>
        <w:i/>
      </w:rPr>
    </w:r>
    <w:r w:rsidRPr="00B176CD">
      <w:rPr>
        <w:b w:val="0"/>
        <w:i/>
      </w:rPr>
      <w:fldChar w:fldCharType="separate"/>
    </w:r>
    <w:r w:rsidR="00297389" w:rsidRPr="00297389">
      <w:rPr>
        <w:b w:val="0"/>
        <w:i/>
      </w:rPr>
      <w:t xml:space="preserve">National, state and territory population, </w:t>
    </w:r>
    <w:r w:rsidRPr="00B176CD">
      <w:rPr>
        <w:b w:val="0"/>
        <w:i/>
      </w:rPr>
      <w:fldChar w:fldCharType="end"/>
    </w:r>
    <w:r w:rsidR="00B176CD" w:rsidRPr="00B176CD">
      <w:rPr>
        <w:b w:val="0"/>
        <w:bCs/>
        <w:i/>
        <w:iCs/>
      </w:rPr>
      <w:t>September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65280665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5" name="Picture 5" descr="Australia Government coat of arms: Centre for Pop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ustralia Government coat of arms: Centre for Popul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 w15:restartNumberingAfterBreak="0">
    <w:nsid w:val="216F5594"/>
    <w:multiLevelType w:val="multilevel"/>
    <w:tmpl w:val="F7843BE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6"/>
        </w:tabs>
        <w:ind w:left="1646" w:hanging="510"/>
      </w:pPr>
    </w:lvl>
    <w:lvl w:ilvl="4">
      <w:start w:val="1"/>
      <w:numFmt w:val="lowerLetter"/>
      <w:lvlText w:val="(%5)"/>
      <w:lvlJc w:val="left"/>
      <w:pPr>
        <w:tabs>
          <w:tab w:val="num" w:pos="2080"/>
        </w:tabs>
        <w:ind w:left="1930" w:hanging="510"/>
      </w:pPr>
    </w:lvl>
    <w:lvl w:ilvl="5">
      <w:start w:val="1"/>
      <w:numFmt w:val="lowerRoman"/>
      <w:lvlText w:val="(%6)"/>
      <w:lvlJc w:val="left"/>
      <w:pPr>
        <w:tabs>
          <w:tab w:val="num" w:pos="2364"/>
        </w:tabs>
        <w:ind w:left="2214" w:hanging="510"/>
      </w:pPr>
    </w:lvl>
    <w:lvl w:ilvl="6">
      <w:start w:val="1"/>
      <w:numFmt w:val="decimal"/>
      <w:lvlText w:val="%7."/>
      <w:lvlJc w:val="left"/>
      <w:pPr>
        <w:tabs>
          <w:tab w:val="num" w:pos="2648"/>
        </w:tabs>
        <w:ind w:left="2498" w:hanging="510"/>
      </w:pPr>
    </w:lvl>
    <w:lvl w:ilvl="7">
      <w:start w:val="1"/>
      <w:numFmt w:val="lowerLetter"/>
      <w:lvlText w:val="%8."/>
      <w:lvlJc w:val="left"/>
      <w:pPr>
        <w:tabs>
          <w:tab w:val="num" w:pos="2932"/>
        </w:tabs>
        <w:ind w:left="2782" w:hanging="510"/>
      </w:p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066" w:hanging="510"/>
      </w:pPr>
    </w:lvl>
  </w:abstractNum>
  <w:abstractNum w:abstractNumId="15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326A3C"/>
    <w:multiLevelType w:val="multilevel"/>
    <w:tmpl w:val="4EAEC0E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7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8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827C4"/>
    <w:multiLevelType w:val="multilevel"/>
    <w:tmpl w:val="7EC2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A02C0"/>
    <w:multiLevelType w:val="hybridMultilevel"/>
    <w:tmpl w:val="CB224C8E"/>
    <w:lvl w:ilvl="0" w:tplc="70DACDBC">
      <w:start w:val="1"/>
      <w:numFmt w:val="decimal"/>
      <w:pStyle w:val="Heading9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86320">
    <w:abstractNumId w:val="16"/>
  </w:num>
  <w:num w:numId="2" w16cid:durableId="1569029660">
    <w:abstractNumId w:val="16"/>
  </w:num>
  <w:num w:numId="3" w16cid:durableId="1570992340">
    <w:abstractNumId w:val="16"/>
  </w:num>
  <w:num w:numId="4" w16cid:durableId="772163356">
    <w:abstractNumId w:val="29"/>
  </w:num>
  <w:num w:numId="5" w16cid:durableId="1594239512">
    <w:abstractNumId w:val="9"/>
  </w:num>
  <w:num w:numId="6" w16cid:durableId="15542138">
    <w:abstractNumId w:val="7"/>
  </w:num>
  <w:num w:numId="7" w16cid:durableId="626736447">
    <w:abstractNumId w:val="6"/>
  </w:num>
  <w:num w:numId="8" w16cid:durableId="257249274">
    <w:abstractNumId w:val="5"/>
  </w:num>
  <w:num w:numId="9" w16cid:durableId="623534978">
    <w:abstractNumId w:val="4"/>
  </w:num>
  <w:num w:numId="10" w16cid:durableId="152528508">
    <w:abstractNumId w:val="8"/>
  </w:num>
  <w:num w:numId="11" w16cid:durableId="974720397">
    <w:abstractNumId w:val="3"/>
  </w:num>
  <w:num w:numId="12" w16cid:durableId="442459646">
    <w:abstractNumId w:val="2"/>
  </w:num>
  <w:num w:numId="13" w16cid:durableId="1744791784">
    <w:abstractNumId w:val="1"/>
  </w:num>
  <w:num w:numId="14" w16cid:durableId="1167087005">
    <w:abstractNumId w:val="0"/>
  </w:num>
  <w:num w:numId="15" w16cid:durableId="1429155461">
    <w:abstractNumId w:val="10"/>
  </w:num>
  <w:num w:numId="16" w16cid:durableId="222378824">
    <w:abstractNumId w:val="17"/>
  </w:num>
  <w:num w:numId="17" w16cid:durableId="1689716476">
    <w:abstractNumId w:val="26"/>
  </w:num>
  <w:num w:numId="18" w16cid:durableId="1064185981">
    <w:abstractNumId w:val="18"/>
  </w:num>
  <w:num w:numId="19" w16cid:durableId="1966236038">
    <w:abstractNumId w:val="12"/>
  </w:num>
  <w:num w:numId="20" w16cid:durableId="1110928488">
    <w:abstractNumId w:val="21"/>
  </w:num>
  <w:num w:numId="21" w16cid:durableId="1422413933">
    <w:abstractNumId w:val="13"/>
  </w:num>
  <w:num w:numId="22" w16cid:durableId="1125805582">
    <w:abstractNumId w:val="19"/>
  </w:num>
  <w:num w:numId="23" w16cid:durableId="1236630531">
    <w:abstractNumId w:val="11"/>
  </w:num>
  <w:num w:numId="24" w16cid:durableId="1596742392">
    <w:abstractNumId w:val="15"/>
  </w:num>
  <w:num w:numId="25" w16cid:durableId="564684980">
    <w:abstractNumId w:val="23"/>
  </w:num>
  <w:num w:numId="26" w16cid:durableId="650715732">
    <w:abstractNumId w:val="20"/>
  </w:num>
  <w:num w:numId="27" w16cid:durableId="775561485">
    <w:abstractNumId w:val="24"/>
  </w:num>
  <w:num w:numId="28" w16cid:durableId="144401807">
    <w:abstractNumId w:val="28"/>
  </w:num>
  <w:num w:numId="29" w16cid:durableId="541136601">
    <w:abstractNumId w:val="27"/>
  </w:num>
  <w:num w:numId="30" w16cid:durableId="1278176283">
    <w:abstractNumId w:val="22"/>
  </w:num>
  <w:num w:numId="31" w16cid:durableId="1397824607">
    <w:abstractNumId w:val="28"/>
  </w:num>
  <w:num w:numId="32" w16cid:durableId="898710479">
    <w:abstractNumId w:val="16"/>
  </w:num>
  <w:num w:numId="33" w16cid:durableId="302777751">
    <w:abstractNumId w:val="16"/>
  </w:num>
  <w:num w:numId="34" w16cid:durableId="1968001661">
    <w:abstractNumId w:val="16"/>
  </w:num>
  <w:num w:numId="35" w16cid:durableId="351148018">
    <w:abstractNumId w:val="28"/>
  </w:num>
  <w:num w:numId="36" w16cid:durableId="533542880">
    <w:abstractNumId w:val="28"/>
  </w:num>
  <w:num w:numId="37" w16cid:durableId="864253652">
    <w:abstractNumId w:val="28"/>
  </w:num>
  <w:num w:numId="38" w16cid:durableId="548226056">
    <w:abstractNumId w:val="16"/>
  </w:num>
  <w:num w:numId="39" w16cid:durableId="38137307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5382985">
    <w:abstractNumId w:val="16"/>
  </w:num>
  <w:num w:numId="41" w16cid:durableId="18921871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03767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11A6"/>
    <w:rsid w:val="000012EF"/>
    <w:rsid w:val="00001DE2"/>
    <w:rsid w:val="00001E99"/>
    <w:rsid w:val="000025C3"/>
    <w:rsid w:val="000030EB"/>
    <w:rsid w:val="0000515F"/>
    <w:rsid w:val="00005552"/>
    <w:rsid w:val="00005C33"/>
    <w:rsid w:val="00005FDD"/>
    <w:rsid w:val="000065E1"/>
    <w:rsid w:val="000075D6"/>
    <w:rsid w:val="000079CC"/>
    <w:rsid w:val="00007F32"/>
    <w:rsid w:val="00010F86"/>
    <w:rsid w:val="00011E58"/>
    <w:rsid w:val="00012D97"/>
    <w:rsid w:val="000133E5"/>
    <w:rsid w:val="0001357F"/>
    <w:rsid w:val="000135AD"/>
    <w:rsid w:val="000138FE"/>
    <w:rsid w:val="0001404F"/>
    <w:rsid w:val="00014692"/>
    <w:rsid w:val="00014B3E"/>
    <w:rsid w:val="00015712"/>
    <w:rsid w:val="00015B20"/>
    <w:rsid w:val="00017247"/>
    <w:rsid w:val="00017586"/>
    <w:rsid w:val="00017B1E"/>
    <w:rsid w:val="00017CCC"/>
    <w:rsid w:val="000205FD"/>
    <w:rsid w:val="00020BBC"/>
    <w:rsid w:val="00021214"/>
    <w:rsid w:val="000212AE"/>
    <w:rsid w:val="00021926"/>
    <w:rsid w:val="000219AA"/>
    <w:rsid w:val="00022396"/>
    <w:rsid w:val="00022B42"/>
    <w:rsid w:val="00022C7A"/>
    <w:rsid w:val="00023CBA"/>
    <w:rsid w:val="00024A4C"/>
    <w:rsid w:val="00024AE4"/>
    <w:rsid w:val="00024D0B"/>
    <w:rsid w:val="0002623C"/>
    <w:rsid w:val="000271D6"/>
    <w:rsid w:val="00027731"/>
    <w:rsid w:val="00027866"/>
    <w:rsid w:val="00027B4B"/>
    <w:rsid w:val="00027CE2"/>
    <w:rsid w:val="000302AC"/>
    <w:rsid w:val="00030C16"/>
    <w:rsid w:val="0003162D"/>
    <w:rsid w:val="00031F6B"/>
    <w:rsid w:val="000321E4"/>
    <w:rsid w:val="000328A3"/>
    <w:rsid w:val="00032ECC"/>
    <w:rsid w:val="000330A2"/>
    <w:rsid w:val="0003319B"/>
    <w:rsid w:val="00033D1C"/>
    <w:rsid w:val="00033E27"/>
    <w:rsid w:val="00035CCF"/>
    <w:rsid w:val="00036886"/>
    <w:rsid w:val="00036D31"/>
    <w:rsid w:val="00036FFE"/>
    <w:rsid w:val="00037412"/>
    <w:rsid w:val="00037D88"/>
    <w:rsid w:val="0004038D"/>
    <w:rsid w:val="00040405"/>
    <w:rsid w:val="000405D3"/>
    <w:rsid w:val="000409F3"/>
    <w:rsid w:val="00040A9A"/>
    <w:rsid w:val="00041286"/>
    <w:rsid w:val="000414ED"/>
    <w:rsid w:val="00041827"/>
    <w:rsid w:val="00041EA8"/>
    <w:rsid w:val="0004229C"/>
    <w:rsid w:val="00042388"/>
    <w:rsid w:val="0004496F"/>
    <w:rsid w:val="00044A6C"/>
    <w:rsid w:val="00044BD0"/>
    <w:rsid w:val="000452D8"/>
    <w:rsid w:val="00046C6D"/>
    <w:rsid w:val="00046DAC"/>
    <w:rsid w:val="0004718D"/>
    <w:rsid w:val="00047344"/>
    <w:rsid w:val="00047737"/>
    <w:rsid w:val="00047BA9"/>
    <w:rsid w:val="00047C49"/>
    <w:rsid w:val="000501A7"/>
    <w:rsid w:val="00050459"/>
    <w:rsid w:val="000507D3"/>
    <w:rsid w:val="00050CB4"/>
    <w:rsid w:val="0005144D"/>
    <w:rsid w:val="00051496"/>
    <w:rsid w:val="00051596"/>
    <w:rsid w:val="00052F12"/>
    <w:rsid w:val="000530E0"/>
    <w:rsid w:val="00053AFD"/>
    <w:rsid w:val="00053DE3"/>
    <w:rsid w:val="00053FF1"/>
    <w:rsid w:val="0005424F"/>
    <w:rsid w:val="0005471A"/>
    <w:rsid w:val="00054A4F"/>
    <w:rsid w:val="000551C7"/>
    <w:rsid w:val="000552BC"/>
    <w:rsid w:val="0005543A"/>
    <w:rsid w:val="0005568F"/>
    <w:rsid w:val="00056E4C"/>
    <w:rsid w:val="00057D34"/>
    <w:rsid w:val="0006007C"/>
    <w:rsid w:val="0006102C"/>
    <w:rsid w:val="00061D77"/>
    <w:rsid w:val="00063C82"/>
    <w:rsid w:val="0006413F"/>
    <w:rsid w:val="00064D04"/>
    <w:rsid w:val="00064FFA"/>
    <w:rsid w:val="000652E2"/>
    <w:rsid w:val="000656F3"/>
    <w:rsid w:val="000659D8"/>
    <w:rsid w:val="00065FAE"/>
    <w:rsid w:val="00067711"/>
    <w:rsid w:val="000702C0"/>
    <w:rsid w:val="00070328"/>
    <w:rsid w:val="00071DCB"/>
    <w:rsid w:val="00071F8E"/>
    <w:rsid w:val="00072506"/>
    <w:rsid w:val="0007257F"/>
    <w:rsid w:val="00072EE0"/>
    <w:rsid w:val="00073071"/>
    <w:rsid w:val="00073631"/>
    <w:rsid w:val="000741B6"/>
    <w:rsid w:val="0007513C"/>
    <w:rsid w:val="00075685"/>
    <w:rsid w:val="000758A8"/>
    <w:rsid w:val="00075F93"/>
    <w:rsid w:val="00076590"/>
    <w:rsid w:val="00076729"/>
    <w:rsid w:val="00077A3E"/>
    <w:rsid w:val="00077EF1"/>
    <w:rsid w:val="0008126B"/>
    <w:rsid w:val="0008139F"/>
    <w:rsid w:val="00081BE4"/>
    <w:rsid w:val="00081ED3"/>
    <w:rsid w:val="00082279"/>
    <w:rsid w:val="00082A8A"/>
    <w:rsid w:val="00083006"/>
    <w:rsid w:val="000833DC"/>
    <w:rsid w:val="00083BFF"/>
    <w:rsid w:val="00083F46"/>
    <w:rsid w:val="000853CB"/>
    <w:rsid w:val="00085DC2"/>
    <w:rsid w:val="00085F2A"/>
    <w:rsid w:val="00086227"/>
    <w:rsid w:val="00086D09"/>
    <w:rsid w:val="00087EEB"/>
    <w:rsid w:val="00090520"/>
    <w:rsid w:val="00090C0C"/>
    <w:rsid w:val="00090DB8"/>
    <w:rsid w:val="000912C7"/>
    <w:rsid w:val="00091390"/>
    <w:rsid w:val="00091623"/>
    <w:rsid w:val="00091FA3"/>
    <w:rsid w:val="00093601"/>
    <w:rsid w:val="00093D99"/>
    <w:rsid w:val="00093E21"/>
    <w:rsid w:val="00094A06"/>
    <w:rsid w:val="00096136"/>
    <w:rsid w:val="000967BC"/>
    <w:rsid w:val="000969F9"/>
    <w:rsid w:val="00096E34"/>
    <w:rsid w:val="000A04DF"/>
    <w:rsid w:val="000A130F"/>
    <w:rsid w:val="000A16B0"/>
    <w:rsid w:val="000A1830"/>
    <w:rsid w:val="000A20CA"/>
    <w:rsid w:val="000A2E8D"/>
    <w:rsid w:val="000A327B"/>
    <w:rsid w:val="000A380C"/>
    <w:rsid w:val="000A5DC5"/>
    <w:rsid w:val="000A666B"/>
    <w:rsid w:val="000A68C4"/>
    <w:rsid w:val="000A709B"/>
    <w:rsid w:val="000A77D4"/>
    <w:rsid w:val="000B0593"/>
    <w:rsid w:val="000B0624"/>
    <w:rsid w:val="000B065B"/>
    <w:rsid w:val="000B0BAB"/>
    <w:rsid w:val="000B0D4B"/>
    <w:rsid w:val="000B1461"/>
    <w:rsid w:val="000B1F6F"/>
    <w:rsid w:val="000B2141"/>
    <w:rsid w:val="000B257A"/>
    <w:rsid w:val="000B2BC3"/>
    <w:rsid w:val="000B2D54"/>
    <w:rsid w:val="000B36A2"/>
    <w:rsid w:val="000B3A3A"/>
    <w:rsid w:val="000B43F7"/>
    <w:rsid w:val="000B4C4B"/>
    <w:rsid w:val="000B4DBA"/>
    <w:rsid w:val="000B5DD3"/>
    <w:rsid w:val="000B61F0"/>
    <w:rsid w:val="000B6715"/>
    <w:rsid w:val="000B6F15"/>
    <w:rsid w:val="000B7131"/>
    <w:rsid w:val="000B7540"/>
    <w:rsid w:val="000C055A"/>
    <w:rsid w:val="000C0689"/>
    <w:rsid w:val="000C0786"/>
    <w:rsid w:val="000C0F7D"/>
    <w:rsid w:val="000C1031"/>
    <w:rsid w:val="000C1DC4"/>
    <w:rsid w:val="000C2212"/>
    <w:rsid w:val="000C2BBD"/>
    <w:rsid w:val="000C3C87"/>
    <w:rsid w:val="000C50B1"/>
    <w:rsid w:val="000C558C"/>
    <w:rsid w:val="000C5C34"/>
    <w:rsid w:val="000C63A0"/>
    <w:rsid w:val="000C640B"/>
    <w:rsid w:val="000C6E0D"/>
    <w:rsid w:val="000C6F4C"/>
    <w:rsid w:val="000C7258"/>
    <w:rsid w:val="000C77E3"/>
    <w:rsid w:val="000C7AA0"/>
    <w:rsid w:val="000C7B60"/>
    <w:rsid w:val="000D0233"/>
    <w:rsid w:val="000D02FF"/>
    <w:rsid w:val="000D077B"/>
    <w:rsid w:val="000D09B4"/>
    <w:rsid w:val="000D0D25"/>
    <w:rsid w:val="000D0E89"/>
    <w:rsid w:val="000D1ADE"/>
    <w:rsid w:val="000D2084"/>
    <w:rsid w:val="000D2106"/>
    <w:rsid w:val="000D22AE"/>
    <w:rsid w:val="000D2870"/>
    <w:rsid w:val="000D3CFB"/>
    <w:rsid w:val="000D4B22"/>
    <w:rsid w:val="000D63F6"/>
    <w:rsid w:val="000D6D09"/>
    <w:rsid w:val="000D7A4D"/>
    <w:rsid w:val="000D7CC0"/>
    <w:rsid w:val="000D7E77"/>
    <w:rsid w:val="000D7FCC"/>
    <w:rsid w:val="000E02AB"/>
    <w:rsid w:val="000E05FE"/>
    <w:rsid w:val="000E0979"/>
    <w:rsid w:val="000E1075"/>
    <w:rsid w:val="000E123E"/>
    <w:rsid w:val="000E1A9D"/>
    <w:rsid w:val="000E1BCE"/>
    <w:rsid w:val="000E227F"/>
    <w:rsid w:val="000E2658"/>
    <w:rsid w:val="000E283D"/>
    <w:rsid w:val="000E29D7"/>
    <w:rsid w:val="000E304B"/>
    <w:rsid w:val="000E3153"/>
    <w:rsid w:val="000E3CD8"/>
    <w:rsid w:val="000E3E0C"/>
    <w:rsid w:val="000E525B"/>
    <w:rsid w:val="000E545C"/>
    <w:rsid w:val="000E6358"/>
    <w:rsid w:val="000E67CC"/>
    <w:rsid w:val="000E68E6"/>
    <w:rsid w:val="000E7DBE"/>
    <w:rsid w:val="000F0031"/>
    <w:rsid w:val="000F04C1"/>
    <w:rsid w:val="000F14E1"/>
    <w:rsid w:val="000F1959"/>
    <w:rsid w:val="000F1A5D"/>
    <w:rsid w:val="000F1F16"/>
    <w:rsid w:val="000F27C0"/>
    <w:rsid w:val="000F2B5C"/>
    <w:rsid w:val="000F36E2"/>
    <w:rsid w:val="000F59B1"/>
    <w:rsid w:val="000F60AE"/>
    <w:rsid w:val="000F60CF"/>
    <w:rsid w:val="000F6912"/>
    <w:rsid w:val="000F696F"/>
    <w:rsid w:val="001009E5"/>
    <w:rsid w:val="001023A5"/>
    <w:rsid w:val="001028A9"/>
    <w:rsid w:val="001039A8"/>
    <w:rsid w:val="00103EF6"/>
    <w:rsid w:val="00104B3E"/>
    <w:rsid w:val="001057A6"/>
    <w:rsid w:val="00105FB8"/>
    <w:rsid w:val="0010710F"/>
    <w:rsid w:val="001079C6"/>
    <w:rsid w:val="001101F9"/>
    <w:rsid w:val="00110225"/>
    <w:rsid w:val="00111D2E"/>
    <w:rsid w:val="00111EDC"/>
    <w:rsid w:val="00112C5E"/>
    <w:rsid w:val="0011308D"/>
    <w:rsid w:val="001140DF"/>
    <w:rsid w:val="0011504D"/>
    <w:rsid w:val="00115A4B"/>
    <w:rsid w:val="00115E42"/>
    <w:rsid w:val="001162ED"/>
    <w:rsid w:val="0011643A"/>
    <w:rsid w:val="00116FB0"/>
    <w:rsid w:val="001172BD"/>
    <w:rsid w:val="0011783C"/>
    <w:rsid w:val="0012002C"/>
    <w:rsid w:val="00120035"/>
    <w:rsid w:val="00120861"/>
    <w:rsid w:val="001211DA"/>
    <w:rsid w:val="00122073"/>
    <w:rsid w:val="00122466"/>
    <w:rsid w:val="00122485"/>
    <w:rsid w:val="00123B17"/>
    <w:rsid w:val="00123C50"/>
    <w:rsid w:val="00123CB8"/>
    <w:rsid w:val="001247BB"/>
    <w:rsid w:val="00124FB3"/>
    <w:rsid w:val="00125E46"/>
    <w:rsid w:val="00126350"/>
    <w:rsid w:val="00126AD0"/>
    <w:rsid w:val="00127600"/>
    <w:rsid w:val="001300CF"/>
    <w:rsid w:val="001305FF"/>
    <w:rsid w:val="00130B13"/>
    <w:rsid w:val="00130EE4"/>
    <w:rsid w:val="0013289F"/>
    <w:rsid w:val="00132E80"/>
    <w:rsid w:val="0013385B"/>
    <w:rsid w:val="00133E61"/>
    <w:rsid w:val="001340D1"/>
    <w:rsid w:val="0013468F"/>
    <w:rsid w:val="00134A0C"/>
    <w:rsid w:val="00134A95"/>
    <w:rsid w:val="00134F16"/>
    <w:rsid w:val="00135022"/>
    <w:rsid w:val="0013602D"/>
    <w:rsid w:val="0013766B"/>
    <w:rsid w:val="001405F5"/>
    <w:rsid w:val="001418C5"/>
    <w:rsid w:val="00142119"/>
    <w:rsid w:val="00142FC9"/>
    <w:rsid w:val="0014336B"/>
    <w:rsid w:val="00143824"/>
    <w:rsid w:val="00144E19"/>
    <w:rsid w:val="001452FF"/>
    <w:rsid w:val="0014580B"/>
    <w:rsid w:val="00145A5C"/>
    <w:rsid w:val="00145A68"/>
    <w:rsid w:val="0014608C"/>
    <w:rsid w:val="0014651C"/>
    <w:rsid w:val="00146B9B"/>
    <w:rsid w:val="00146CBB"/>
    <w:rsid w:val="00146ED9"/>
    <w:rsid w:val="0014700D"/>
    <w:rsid w:val="001474A6"/>
    <w:rsid w:val="00150047"/>
    <w:rsid w:val="00150552"/>
    <w:rsid w:val="00150BD4"/>
    <w:rsid w:val="00151397"/>
    <w:rsid w:val="00153143"/>
    <w:rsid w:val="00153BE8"/>
    <w:rsid w:val="00153E9E"/>
    <w:rsid w:val="001540C3"/>
    <w:rsid w:val="00154658"/>
    <w:rsid w:val="0015476A"/>
    <w:rsid w:val="001548EE"/>
    <w:rsid w:val="00155DCB"/>
    <w:rsid w:val="00156BD7"/>
    <w:rsid w:val="00157000"/>
    <w:rsid w:val="00157EB6"/>
    <w:rsid w:val="0016052C"/>
    <w:rsid w:val="001607D6"/>
    <w:rsid w:val="00160818"/>
    <w:rsid w:val="00160A10"/>
    <w:rsid w:val="00160A53"/>
    <w:rsid w:val="00161373"/>
    <w:rsid w:val="0016196B"/>
    <w:rsid w:val="00161E5E"/>
    <w:rsid w:val="00162CEC"/>
    <w:rsid w:val="0016385C"/>
    <w:rsid w:val="00163E60"/>
    <w:rsid w:val="0016418B"/>
    <w:rsid w:val="001642AD"/>
    <w:rsid w:val="00164728"/>
    <w:rsid w:val="00164BB5"/>
    <w:rsid w:val="00166D3E"/>
    <w:rsid w:val="00167034"/>
    <w:rsid w:val="00167155"/>
    <w:rsid w:val="0016769B"/>
    <w:rsid w:val="00170425"/>
    <w:rsid w:val="00171B99"/>
    <w:rsid w:val="00171E3C"/>
    <w:rsid w:val="001724D2"/>
    <w:rsid w:val="00172C89"/>
    <w:rsid w:val="00173011"/>
    <w:rsid w:val="001732A4"/>
    <w:rsid w:val="0017330F"/>
    <w:rsid w:val="001737E2"/>
    <w:rsid w:val="00174140"/>
    <w:rsid w:val="00174442"/>
    <w:rsid w:val="001747B9"/>
    <w:rsid w:val="00175012"/>
    <w:rsid w:val="001750BD"/>
    <w:rsid w:val="0017622D"/>
    <w:rsid w:val="001769AE"/>
    <w:rsid w:val="0017717F"/>
    <w:rsid w:val="001774F6"/>
    <w:rsid w:val="00177515"/>
    <w:rsid w:val="00180561"/>
    <w:rsid w:val="001805F5"/>
    <w:rsid w:val="00180671"/>
    <w:rsid w:val="001820CF"/>
    <w:rsid w:val="00182FB6"/>
    <w:rsid w:val="001831C2"/>
    <w:rsid w:val="00183BFB"/>
    <w:rsid w:val="00184350"/>
    <w:rsid w:val="001844D9"/>
    <w:rsid w:val="00186406"/>
    <w:rsid w:val="001869A8"/>
    <w:rsid w:val="00186C61"/>
    <w:rsid w:val="0018731D"/>
    <w:rsid w:val="00187B28"/>
    <w:rsid w:val="00187C81"/>
    <w:rsid w:val="00187E5F"/>
    <w:rsid w:val="00187EAE"/>
    <w:rsid w:val="00190720"/>
    <w:rsid w:val="001908FF"/>
    <w:rsid w:val="00190976"/>
    <w:rsid w:val="00190A0A"/>
    <w:rsid w:val="00192757"/>
    <w:rsid w:val="00193924"/>
    <w:rsid w:val="00194E8F"/>
    <w:rsid w:val="0019527B"/>
    <w:rsid w:val="001954D8"/>
    <w:rsid w:val="00195AD5"/>
    <w:rsid w:val="00197182"/>
    <w:rsid w:val="001A0A6D"/>
    <w:rsid w:val="001A1254"/>
    <w:rsid w:val="001A141D"/>
    <w:rsid w:val="001A1529"/>
    <w:rsid w:val="001A18A3"/>
    <w:rsid w:val="001A18D0"/>
    <w:rsid w:val="001A24B0"/>
    <w:rsid w:val="001A362E"/>
    <w:rsid w:val="001A3C82"/>
    <w:rsid w:val="001A419F"/>
    <w:rsid w:val="001A4E5B"/>
    <w:rsid w:val="001A5CE2"/>
    <w:rsid w:val="001A6954"/>
    <w:rsid w:val="001A6A9D"/>
    <w:rsid w:val="001B02BF"/>
    <w:rsid w:val="001B0934"/>
    <w:rsid w:val="001B09E9"/>
    <w:rsid w:val="001B0EDA"/>
    <w:rsid w:val="001B0EE4"/>
    <w:rsid w:val="001B135A"/>
    <w:rsid w:val="001B2240"/>
    <w:rsid w:val="001B275D"/>
    <w:rsid w:val="001B2923"/>
    <w:rsid w:val="001B39E5"/>
    <w:rsid w:val="001B44BB"/>
    <w:rsid w:val="001B4F41"/>
    <w:rsid w:val="001B5195"/>
    <w:rsid w:val="001B690A"/>
    <w:rsid w:val="001C0205"/>
    <w:rsid w:val="001C0224"/>
    <w:rsid w:val="001C04AA"/>
    <w:rsid w:val="001C0F70"/>
    <w:rsid w:val="001C122B"/>
    <w:rsid w:val="001C1F5B"/>
    <w:rsid w:val="001C21B6"/>
    <w:rsid w:val="001C2C63"/>
    <w:rsid w:val="001C2DAA"/>
    <w:rsid w:val="001C38B5"/>
    <w:rsid w:val="001C3F30"/>
    <w:rsid w:val="001C3FCB"/>
    <w:rsid w:val="001C4150"/>
    <w:rsid w:val="001C47ED"/>
    <w:rsid w:val="001C56A1"/>
    <w:rsid w:val="001C5D9E"/>
    <w:rsid w:val="001C6454"/>
    <w:rsid w:val="001C64B6"/>
    <w:rsid w:val="001C6682"/>
    <w:rsid w:val="001C6A41"/>
    <w:rsid w:val="001C6E25"/>
    <w:rsid w:val="001C7ACF"/>
    <w:rsid w:val="001C7FBB"/>
    <w:rsid w:val="001D0043"/>
    <w:rsid w:val="001D0EE9"/>
    <w:rsid w:val="001D1B56"/>
    <w:rsid w:val="001D259D"/>
    <w:rsid w:val="001D338F"/>
    <w:rsid w:val="001D3415"/>
    <w:rsid w:val="001D443E"/>
    <w:rsid w:val="001D5A3A"/>
    <w:rsid w:val="001D67E6"/>
    <w:rsid w:val="001D6A41"/>
    <w:rsid w:val="001D76C7"/>
    <w:rsid w:val="001E17A9"/>
    <w:rsid w:val="001E20B9"/>
    <w:rsid w:val="001E236E"/>
    <w:rsid w:val="001E2699"/>
    <w:rsid w:val="001E2E52"/>
    <w:rsid w:val="001E2EF3"/>
    <w:rsid w:val="001E35BF"/>
    <w:rsid w:val="001E3C73"/>
    <w:rsid w:val="001E4318"/>
    <w:rsid w:val="001E532C"/>
    <w:rsid w:val="001E5F1B"/>
    <w:rsid w:val="001E6CC0"/>
    <w:rsid w:val="001E6FC9"/>
    <w:rsid w:val="001E735B"/>
    <w:rsid w:val="001E7C09"/>
    <w:rsid w:val="001E7D44"/>
    <w:rsid w:val="001F0FA7"/>
    <w:rsid w:val="001F1463"/>
    <w:rsid w:val="001F190E"/>
    <w:rsid w:val="001F21A7"/>
    <w:rsid w:val="001F31D3"/>
    <w:rsid w:val="001F417D"/>
    <w:rsid w:val="001F44D7"/>
    <w:rsid w:val="001F45FE"/>
    <w:rsid w:val="001F4F80"/>
    <w:rsid w:val="001F4FAE"/>
    <w:rsid w:val="001F563F"/>
    <w:rsid w:val="001F5838"/>
    <w:rsid w:val="001F5AAD"/>
    <w:rsid w:val="001F5C62"/>
    <w:rsid w:val="001F61C7"/>
    <w:rsid w:val="001F62EA"/>
    <w:rsid w:val="001F67C7"/>
    <w:rsid w:val="001F6AFA"/>
    <w:rsid w:val="001F6BFB"/>
    <w:rsid w:val="001F6FDE"/>
    <w:rsid w:val="001F7C99"/>
    <w:rsid w:val="00200393"/>
    <w:rsid w:val="00201268"/>
    <w:rsid w:val="00201F7A"/>
    <w:rsid w:val="0020396E"/>
    <w:rsid w:val="002046A2"/>
    <w:rsid w:val="00205108"/>
    <w:rsid w:val="00205A38"/>
    <w:rsid w:val="00205B07"/>
    <w:rsid w:val="002065A9"/>
    <w:rsid w:val="002065FF"/>
    <w:rsid w:val="002076B7"/>
    <w:rsid w:val="0021002C"/>
    <w:rsid w:val="00210163"/>
    <w:rsid w:val="00211119"/>
    <w:rsid w:val="0021212C"/>
    <w:rsid w:val="002121A2"/>
    <w:rsid w:val="0021232B"/>
    <w:rsid w:val="002123E7"/>
    <w:rsid w:val="002127C8"/>
    <w:rsid w:val="0021322F"/>
    <w:rsid w:val="00213F70"/>
    <w:rsid w:val="002141ED"/>
    <w:rsid w:val="0021431E"/>
    <w:rsid w:val="00214B71"/>
    <w:rsid w:val="00214FF7"/>
    <w:rsid w:val="002159EE"/>
    <w:rsid w:val="00215C3B"/>
    <w:rsid w:val="002161F5"/>
    <w:rsid w:val="002162F7"/>
    <w:rsid w:val="00216923"/>
    <w:rsid w:val="00216FAD"/>
    <w:rsid w:val="002206EC"/>
    <w:rsid w:val="00220979"/>
    <w:rsid w:val="00221231"/>
    <w:rsid w:val="002212BA"/>
    <w:rsid w:val="00222388"/>
    <w:rsid w:val="002237C5"/>
    <w:rsid w:val="00223844"/>
    <w:rsid w:val="00223EE9"/>
    <w:rsid w:val="002240CA"/>
    <w:rsid w:val="00225574"/>
    <w:rsid w:val="002265F6"/>
    <w:rsid w:val="00226D0F"/>
    <w:rsid w:val="00227857"/>
    <w:rsid w:val="00227BA1"/>
    <w:rsid w:val="00230525"/>
    <w:rsid w:val="00230721"/>
    <w:rsid w:val="00230A6D"/>
    <w:rsid w:val="00230E3C"/>
    <w:rsid w:val="00230EB4"/>
    <w:rsid w:val="00232AA7"/>
    <w:rsid w:val="00232CAB"/>
    <w:rsid w:val="00233638"/>
    <w:rsid w:val="0023398A"/>
    <w:rsid w:val="00233AC7"/>
    <w:rsid w:val="00233BBC"/>
    <w:rsid w:val="00234E8B"/>
    <w:rsid w:val="00235026"/>
    <w:rsid w:val="00235115"/>
    <w:rsid w:val="00235548"/>
    <w:rsid w:val="0023583C"/>
    <w:rsid w:val="00235CD5"/>
    <w:rsid w:val="002362C1"/>
    <w:rsid w:val="00236C31"/>
    <w:rsid w:val="00237025"/>
    <w:rsid w:val="0023709A"/>
    <w:rsid w:val="00237879"/>
    <w:rsid w:val="0023795B"/>
    <w:rsid w:val="002379D1"/>
    <w:rsid w:val="002406D2"/>
    <w:rsid w:val="0024076E"/>
    <w:rsid w:val="0024148F"/>
    <w:rsid w:val="002415C0"/>
    <w:rsid w:val="002424CA"/>
    <w:rsid w:val="00242910"/>
    <w:rsid w:val="00243540"/>
    <w:rsid w:val="0024418F"/>
    <w:rsid w:val="00244526"/>
    <w:rsid w:val="00244AD2"/>
    <w:rsid w:val="00245B70"/>
    <w:rsid w:val="00245C98"/>
    <w:rsid w:val="002464C2"/>
    <w:rsid w:val="0024662A"/>
    <w:rsid w:val="00246651"/>
    <w:rsid w:val="00246D26"/>
    <w:rsid w:val="0024753F"/>
    <w:rsid w:val="00247742"/>
    <w:rsid w:val="00247B6B"/>
    <w:rsid w:val="002501D7"/>
    <w:rsid w:val="0025079E"/>
    <w:rsid w:val="00250DCD"/>
    <w:rsid w:val="00251371"/>
    <w:rsid w:val="0025184D"/>
    <w:rsid w:val="002524AF"/>
    <w:rsid w:val="002526C9"/>
    <w:rsid w:val="00252C5C"/>
    <w:rsid w:val="002530D6"/>
    <w:rsid w:val="0025338A"/>
    <w:rsid w:val="0025375E"/>
    <w:rsid w:val="002557BB"/>
    <w:rsid w:val="00255930"/>
    <w:rsid w:val="00256CAD"/>
    <w:rsid w:val="002574D6"/>
    <w:rsid w:val="00257970"/>
    <w:rsid w:val="00257D71"/>
    <w:rsid w:val="00260DDC"/>
    <w:rsid w:val="00261696"/>
    <w:rsid w:val="00261BF6"/>
    <w:rsid w:val="002622FF"/>
    <w:rsid w:val="00262C4C"/>
    <w:rsid w:val="00262EAC"/>
    <w:rsid w:val="002643CA"/>
    <w:rsid w:val="00266069"/>
    <w:rsid w:val="002664CC"/>
    <w:rsid w:val="002668C3"/>
    <w:rsid w:val="00266D4A"/>
    <w:rsid w:val="0027100C"/>
    <w:rsid w:val="00271647"/>
    <w:rsid w:val="00272D51"/>
    <w:rsid w:val="00273D24"/>
    <w:rsid w:val="00274848"/>
    <w:rsid w:val="00275259"/>
    <w:rsid w:val="002752A3"/>
    <w:rsid w:val="00275740"/>
    <w:rsid w:val="0027594D"/>
    <w:rsid w:val="00275A41"/>
    <w:rsid w:val="00275C6D"/>
    <w:rsid w:val="00275F75"/>
    <w:rsid w:val="00277157"/>
    <w:rsid w:val="00277CFD"/>
    <w:rsid w:val="00277DCD"/>
    <w:rsid w:val="00281D74"/>
    <w:rsid w:val="00281F3D"/>
    <w:rsid w:val="00282EF8"/>
    <w:rsid w:val="002830CF"/>
    <w:rsid w:val="00283A37"/>
    <w:rsid w:val="00284A62"/>
    <w:rsid w:val="00284FDF"/>
    <w:rsid w:val="002857B3"/>
    <w:rsid w:val="0028692E"/>
    <w:rsid w:val="00286932"/>
    <w:rsid w:val="00286A42"/>
    <w:rsid w:val="00286A4D"/>
    <w:rsid w:val="0028704A"/>
    <w:rsid w:val="002878EC"/>
    <w:rsid w:val="00287AF8"/>
    <w:rsid w:val="00287D12"/>
    <w:rsid w:val="002906E1"/>
    <w:rsid w:val="00290E40"/>
    <w:rsid w:val="00291018"/>
    <w:rsid w:val="00291085"/>
    <w:rsid w:val="0029115C"/>
    <w:rsid w:val="002919A7"/>
    <w:rsid w:val="00291D2F"/>
    <w:rsid w:val="00292672"/>
    <w:rsid w:val="002929EF"/>
    <w:rsid w:val="00292A28"/>
    <w:rsid w:val="00292C3E"/>
    <w:rsid w:val="00292EFE"/>
    <w:rsid w:val="0029385A"/>
    <w:rsid w:val="00293BC3"/>
    <w:rsid w:val="00293C4B"/>
    <w:rsid w:val="002950F4"/>
    <w:rsid w:val="0029630B"/>
    <w:rsid w:val="00297389"/>
    <w:rsid w:val="002A1B98"/>
    <w:rsid w:val="002A230D"/>
    <w:rsid w:val="002A2AB7"/>
    <w:rsid w:val="002A34AB"/>
    <w:rsid w:val="002A3510"/>
    <w:rsid w:val="002A359B"/>
    <w:rsid w:val="002A4563"/>
    <w:rsid w:val="002A5513"/>
    <w:rsid w:val="002A6526"/>
    <w:rsid w:val="002A6B6B"/>
    <w:rsid w:val="002A7689"/>
    <w:rsid w:val="002A7A20"/>
    <w:rsid w:val="002A7B22"/>
    <w:rsid w:val="002A7BB1"/>
    <w:rsid w:val="002B02D4"/>
    <w:rsid w:val="002B09EB"/>
    <w:rsid w:val="002B0AA3"/>
    <w:rsid w:val="002B0CAC"/>
    <w:rsid w:val="002B1C86"/>
    <w:rsid w:val="002B1D66"/>
    <w:rsid w:val="002B1DF1"/>
    <w:rsid w:val="002B280E"/>
    <w:rsid w:val="002B2964"/>
    <w:rsid w:val="002B30F5"/>
    <w:rsid w:val="002B3C49"/>
    <w:rsid w:val="002B40ED"/>
    <w:rsid w:val="002B4E90"/>
    <w:rsid w:val="002B5824"/>
    <w:rsid w:val="002B62E7"/>
    <w:rsid w:val="002B64C7"/>
    <w:rsid w:val="002B684F"/>
    <w:rsid w:val="002B6A32"/>
    <w:rsid w:val="002B6E4D"/>
    <w:rsid w:val="002B707C"/>
    <w:rsid w:val="002B71EE"/>
    <w:rsid w:val="002B7253"/>
    <w:rsid w:val="002B7722"/>
    <w:rsid w:val="002B7E50"/>
    <w:rsid w:val="002C03D9"/>
    <w:rsid w:val="002C0477"/>
    <w:rsid w:val="002C0D7D"/>
    <w:rsid w:val="002C286A"/>
    <w:rsid w:val="002C28E8"/>
    <w:rsid w:val="002C2B82"/>
    <w:rsid w:val="002C2D5A"/>
    <w:rsid w:val="002C31CA"/>
    <w:rsid w:val="002C3975"/>
    <w:rsid w:val="002C3C78"/>
    <w:rsid w:val="002C403A"/>
    <w:rsid w:val="002C44D6"/>
    <w:rsid w:val="002C5180"/>
    <w:rsid w:val="002C553B"/>
    <w:rsid w:val="002C5E97"/>
    <w:rsid w:val="002C6020"/>
    <w:rsid w:val="002C60A0"/>
    <w:rsid w:val="002C63F8"/>
    <w:rsid w:val="002C6601"/>
    <w:rsid w:val="002C7623"/>
    <w:rsid w:val="002C7D64"/>
    <w:rsid w:val="002D01D9"/>
    <w:rsid w:val="002D087A"/>
    <w:rsid w:val="002D0D59"/>
    <w:rsid w:val="002D11C8"/>
    <w:rsid w:val="002D150C"/>
    <w:rsid w:val="002D1B39"/>
    <w:rsid w:val="002D1DDD"/>
    <w:rsid w:val="002D4219"/>
    <w:rsid w:val="002D4BDD"/>
    <w:rsid w:val="002D4EB4"/>
    <w:rsid w:val="002D5196"/>
    <w:rsid w:val="002D5A22"/>
    <w:rsid w:val="002D5D79"/>
    <w:rsid w:val="002D5EB1"/>
    <w:rsid w:val="002D693B"/>
    <w:rsid w:val="002D6D10"/>
    <w:rsid w:val="002D6F6A"/>
    <w:rsid w:val="002D76D9"/>
    <w:rsid w:val="002D7D99"/>
    <w:rsid w:val="002E0261"/>
    <w:rsid w:val="002E0B70"/>
    <w:rsid w:val="002E1020"/>
    <w:rsid w:val="002E1867"/>
    <w:rsid w:val="002E20C1"/>
    <w:rsid w:val="002E290A"/>
    <w:rsid w:val="002E2FAA"/>
    <w:rsid w:val="002E35A8"/>
    <w:rsid w:val="002E392A"/>
    <w:rsid w:val="002E399C"/>
    <w:rsid w:val="002E5512"/>
    <w:rsid w:val="002E57F5"/>
    <w:rsid w:val="002E5932"/>
    <w:rsid w:val="002E62D0"/>
    <w:rsid w:val="002E6546"/>
    <w:rsid w:val="002E6582"/>
    <w:rsid w:val="002E6DD2"/>
    <w:rsid w:val="002E7CC2"/>
    <w:rsid w:val="002F0233"/>
    <w:rsid w:val="002F0470"/>
    <w:rsid w:val="002F0ECB"/>
    <w:rsid w:val="002F1C20"/>
    <w:rsid w:val="002F1DE2"/>
    <w:rsid w:val="002F1F4D"/>
    <w:rsid w:val="002F1FE1"/>
    <w:rsid w:val="002F2739"/>
    <w:rsid w:val="002F301B"/>
    <w:rsid w:val="002F323C"/>
    <w:rsid w:val="002F41F9"/>
    <w:rsid w:val="002F4FAD"/>
    <w:rsid w:val="002F5258"/>
    <w:rsid w:val="002F5DE2"/>
    <w:rsid w:val="002F6749"/>
    <w:rsid w:val="002F6B5A"/>
    <w:rsid w:val="002F6DCC"/>
    <w:rsid w:val="002F77A5"/>
    <w:rsid w:val="002F7BDD"/>
    <w:rsid w:val="00300477"/>
    <w:rsid w:val="00300886"/>
    <w:rsid w:val="003013FF"/>
    <w:rsid w:val="0030289A"/>
    <w:rsid w:val="00302A94"/>
    <w:rsid w:val="00303A2D"/>
    <w:rsid w:val="003045A9"/>
    <w:rsid w:val="00304A0B"/>
    <w:rsid w:val="0030530F"/>
    <w:rsid w:val="0030553F"/>
    <w:rsid w:val="00307534"/>
    <w:rsid w:val="00307A40"/>
    <w:rsid w:val="00307BAF"/>
    <w:rsid w:val="00312AAA"/>
    <w:rsid w:val="00316BE3"/>
    <w:rsid w:val="00317903"/>
    <w:rsid w:val="00317D6E"/>
    <w:rsid w:val="0032020E"/>
    <w:rsid w:val="00320334"/>
    <w:rsid w:val="003207E9"/>
    <w:rsid w:val="00321194"/>
    <w:rsid w:val="00321D40"/>
    <w:rsid w:val="00322476"/>
    <w:rsid w:val="00323571"/>
    <w:rsid w:val="00324CAB"/>
    <w:rsid w:val="00324F30"/>
    <w:rsid w:val="00325741"/>
    <w:rsid w:val="0032583A"/>
    <w:rsid w:val="003264C1"/>
    <w:rsid w:val="003266FB"/>
    <w:rsid w:val="0032741E"/>
    <w:rsid w:val="00327907"/>
    <w:rsid w:val="00330482"/>
    <w:rsid w:val="00332006"/>
    <w:rsid w:val="00332318"/>
    <w:rsid w:val="00333FC5"/>
    <w:rsid w:val="003348F5"/>
    <w:rsid w:val="00334A9C"/>
    <w:rsid w:val="00335CE8"/>
    <w:rsid w:val="003369A9"/>
    <w:rsid w:val="00336E85"/>
    <w:rsid w:val="00337692"/>
    <w:rsid w:val="003377B7"/>
    <w:rsid w:val="00337A47"/>
    <w:rsid w:val="00340672"/>
    <w:rsid w:val="00340F60"/>
    <w:rsid w:val="003413C9"/>
    <w:rsid w:val="003414DA"/>
    <w:rsid w:val="00341522"/>
    <w:rsid w:val="00341E00"/>
    <w:rsid w:val="00342ED2"/>
    <w:rsid w:val="003431ED"/>
    <w:rsid w:val="0034464F"/>
    <w:rsid w:val="00344B69"/>
    <w:rsid w:val="00344BF7"/>
    <w:rsid w:val="00344F8C"/>
    <w:rsid w:val="003455DE"/>
    <w:rsid w:val="00345DFE"/>
    <w:rsid w:val="0034649E"/>
    <w:rsid w:val="003478BF"/>
    <w:rsid w:val="00347F56"/>
    <w:rsid w:val="003500CF"/>
    <w:rsid w:val="00351A5B"/>
    <w:rsid w:val="003520B0"/>
    <w:rsid w:val="0035224B"/>
    <w:rsid w:val="00353131"/>
    <w:rsid w:val="003532C3"/>
    <w:rsid w:val="00353758"/>
    <w:rsid w:val="003540F3"/>
    <w:rsid w:val="003542DB"/>
    <w:rsid w:val="00354BA3"/>
    <w:rsid w:val="003551C2"/>
    <w:rsid w:val="003558C3"/>
    <w:rsid w:val="0035639A"/>
    <w:rsid w:val="00357168"/>
    <w:rsid w:val="00357348"/>
    <w:rsid w:val="0035760E"/>
    <w:rsid w:val="003600B6"/>
    <w:rsid w:val="003609E0"/>
    <w:rsid w:val="00361FDE"/>
    <w:rsid w:val="00362537"/>
    <w:rsid w:val="003631DA"/>
    <w:rsid w:val="00363EBB"/>
    <w:rsid w:val="0036408E"/>
    <w:rsid w:val="00364843"/>
    <w:rsid w:val="0036510E"/>
    <w:rsid w:val="00365126"/>
    <w:rsid w:val="00365653"/>
    <w:rsid w:val="00365E78"/>
    <w:rsid w:val="00366737"/>
    <w:rsid w:val="0037086D"/>
    <w:rsid w:val="003711FC"/>
    <w:rsid w:val="0037217C"/>
    <w:rsid w:val="00372559"/>
    <w:rsid w:val="0037274D"/>
    <w:rsid w:val="0037292D"/>
    <w:rsid w:val="00372DAC"/>
    <w:rsid w:val="00373556"/>
    <w:rsid w:val="0037393C"/>
    <w:rsid w:val="00373E60"/>
    <w:rsid w:val="003744C8"/>
    <w:rsid w:val="00374CBA"/>
    <w:rsid w:val="003750C0"/>
    <w:rsid w:val="003751C6"/>
    <w:rsid w:val="00375D73"/>
    <w:rsid w:val="00375E47"/>
    <w:rsid w:val="0037622C"/>
    <w:rsid w:val="00376300"/>
    <w:rsid w:val="00376DC2"/>
    <w:rsid w:val="00376F09"/>
    <w:rsid w:val="003770CC"/>
    <w:rsid w:val="00380184"/>
    <w:rsid w:val="0038054F"/>
    <w:rsid w:val="00380648"/>
    <w:rsid w:val="00380833"/>
    <w:rsid w:val="00381021"/>
    <w:rsid w:val="00381743"/>
    <w:rsid w:val="00381B77"/>
    <w:rsid w:val="00381C48"/>
    <w:rsid w:val="00382357"/>
    <w:rsid w:val="003826CF"/>
    <w:rsid w:val="00382E6B"/>
    <w:rsid w:val="00383DE4"/>
    <w:rsid w:val="0038462C"/>
    <w:rsid w:val="00384FCD"/>
    <w:rsid w:val="003854FA"/>
    <w:rsid w:val="0038586E"/>
    <w:rsid w:val="00385A95"/>
    <w:rsid w:val="003861E9"/>
    <w:rsid w:val="003876C3"/>
    <w:rsid w:val="00390CBA"/>
    <w:rsid w:val="00390E85"/>
    <w:rsid w:val="0039153E"/>
    <w:rsid w:val="003920D3"/>
    <w:rsid w:val="0039237A"/>
    <w:rsid w:val="00392DB4"/>
    <w:rsid w:val="00393ABA"/>
    <w:rsid w:val="00393C8B"/>
    <w:rsid w:val="0039451F"/>
    <w:rsid w:val="00394E0D"/>
    <w:rsid w:val="0039634C"/>
    <w:rsid w:val="003977AD"/>
    <w:rsid w:val="00397B49"/>
    <w:rsid w:val="003A06BD"/>
    <w:rsid w:val="003A1707"/>
    <w:rsid w:val="003A1D34"/>
    <w:rsid w:val="003A2DCA"/>
    <w:rsid w:val="003A2E1D"/>
    <w:rsid w:val="003A3315"/>
    <w:rsid w:val="003A3DD6"/>
    <w:rsid w:val="003A5CFB"/>
    <w:rsid w:val="003A6431"/>
    <w:rsid w:val="003A6C59"/>
    <w:rsid w:val="003A748B"/>
    <w:rsid w:val="003A74B1"/>
    <w:rsid w:val="003A7ABE"/>
    <w:rsid w:val="003A7D49"/>
    <w:rsid w:val="003A7FFE"/>
    <w:rsid w:val="003B06DE"/>
    <w:rsid w:val="003B1D90"/>
    <w:rsid w:val="003B2FF2"/>
    <w:rsid w:val="003B3F62"/>
    <w:rsid w:val="003B46D1"/>
    <w:rsid w:val="003B47F5"/>
    <w:rsid w:val="003B5839"/>
    <w:rsid w:val="003B5E40"/>
    <w:rsid w:val="003B630C"/>
    <w:rsid w:val="003B702A"/>
    <w:rsid w:val="003B715A"/>
    <w:rsid w:val="003B7580"/>
    <w:rsid w:val="003B7A56"/>
    <w:rsid w:val="003C01A4"/>
    <w:rsid w:val="003C044F"/>
    <w:rsid w:val="003C049A"/>
    <w:rsid w:val="003C0F55"/>
    <w:rsid w:val="003C14AE"/>
    <w:rsid w:val="003C1FFC"/>
    <w:rsid w:val="003C2104"/>
    <w:rsid w:val="003C263E"/>
    <w:rsid w:val="003C3161"/>
    <w:rsid w:val="003C3E27"/>
    <w:rsid w:val="003C4330"/>
    <w:rsid w:val="003C4F37"/>
    <w:rsid w:val="003C63DE"/>
    <w:rsid w:val="003C759F"/>
    <w:rsid w:val="003C7671"/>
    <w:rsid w:val="003C78D9"/>
    <w:rsid w:val="003D148A"/>
    <w:rsid w:val="003D2529"/>
    <w:rsid w:val="003D2A45"/>
    <w:rsid w:val="003D2D28"/>
    <w:rsid w:val="003D3445"/>
    <w:rsid w:val="003D3A1B"/>
    <w:rsid w:val="003D4110"/>
    <w:rsid w:val="003D4771"/>
    <w:rsid w:val="003D47BF"/>
    <w:rsid w:val="003D4EDD"/>
    <w:rsid w:val="003D5125"/>
    <w:rsid w:val="003D5324"/>
    <w:rsid w:val="003D5BD6"/>
    <w:rsid w:val="003D78B4"/>
    <w:rsid w:val="003D7915"/>
    <w:rsid w:val="003D7D5A"/>
    <w:rsid w:val="003E02F0"/>
    <w:rsid w:val="003E039B"/>
    <w:rsid w:val="003E05ED"/>
    <w:rsid w:val="003E0640"/>
    <w:rsid w:val="003E1B45"/>
    <w:rsid w:val="003E1B5F"/>
    <w:rsid w:val="003E224B"/>
    <w:rsid w:val="003E25C5"/>
    <w:rsid w:val="003E5E43"/>
    <w:rsid w:val="003E6FB9"/>
    <w:rsid w:val="003E7414"/>
    <w:rsid w:val="003E7951"/>
    <w:rsid w:val="003F00FC"/>
    <w:rsid w:val="003F04D2"/>
    <w:rsid w:val="003F0895"/>
    <w:rsid w:val="003F1886"/>
    <w:rsid w:val="003F242A"/>
    <w:rsid w:val="003F2541"/>
    <w:rsid w:val="003F3B05"/>
    <w:rsid w:val="003F3B1F"/>
    <w:rsid w:val="003F3F0B"/>
    <w:rsid w:val="003F422B"/>
    <w:rsid w:val="003F473C"/>
    <w:rsid w:val="003F4900"/>
    <w:rsid w:val="003F4E64"/>
    <w:rsid w:val="003F5859"/>
    <w:rsid w:val="003F5DC8"/>
    <w:rsid w:val="003F60A7"/>
    <w:rsid w:val="003F63AA"/>
    <w:rsid w:val="003F6E43"/>
    <w:rsid w:val="003F73DF"/>
    <w:rsid w:val="00400071"/>
    <w:rsid w:val="00400199"/>
    <w:rsid w:val="00400285"/>
    <w:rsid w:val="00400A8C"/>
    <w:rsid w:val="00400C70"/>
    <w:rsid w:val="00401037"/>
    <w:rsid w:val="0040135C"/>
    <w:rsid w:val="004013F4"/>
    <w:rsid w:val="00401502"/>
    <w:rsid w:val="004018D7"/>
    <w:rsid w:val="00401FAD"/>
    <w:rsid w:val="00402BBA"/>
    <w:rsid w:val="004033FC"/>
    <w:rsid w:val="00403CA5"/>
    <w:rsid w:val="0040438A"/>
    <w:rsid w:val="00404954"/>
    <w:rsid w:val="00405536"/>
    <w:rsid w:val="004056DC"/>
    <w:rsid w:val="00405AD5"/>
    <w:rsid w:val="0040724C"/>
    <w:rsid w:val="00410B21"/>
    <w:rsid w:val="00411B13"/>
    <w:rsid w:val="00411DD0"/>
    <w:rsid w:val="00411E49"/>
    <w:rsid w:val="0041251D"/>
    <w:rsid w:val="00412652"/>
    <w:rsid w:val="00415429"/>
    <w:rsid w:val="00416322"/>
    <w:rsid w:val="004175A1"/>
    <w:rsid w:val="00417AB5"/>
    <w:rsid w:val="00420363"/>
    <w:rsid w:val="004205AF"/>
    <w:rsid w:val="004212AE"/>
    <w:rsid w:val="0042164F"/>
    <w:rsid w:val="004216C8"/>
    <w:rsid w:val="00422130"/>
    <w:rsid w:val="004227A6"/>
    <w:rsid w:val="00423191"/>
    <w:rsid w:val="0042323D"/>
    <w:rsid w:val="004232BE"/>
    <w:rsid w:val="004256C1"/>
    <w:rsid w:val="00425A1A"/>
    <w:rsid w:val="00425F0D"/>
    <w:rsid w:val="00426162"/>
    <w:rsid w:val="004263DB"/>
    <w:rsid w:val="0042650B"/>
    <w:rsid w:val="0042763C"/>
    <w:rsid w:val="004305B9"/>
    <w:rsid w:val="00430CA0"/>
    <w:rsid w:val="00431D30"/>
    <w:rsid w:val="00431E0C"/>
    <w:rsid w:val="00431E1F"/>
    <w:rsid w:val="00431FE2"/>
    <w:rsid w:val="004320AD"/>
    <w:rsid w:val="00432225"/>
    <w:rsid w:val="00432A34"/>
    <w:rsid w:val="004331C1"/>
    <w:rsid w:val="00433F32"/>
    <w:rsid w:val="00434E8C"/>
    <w:rsid w:val="004359BB"/>
    <w:rsid w:val="00436463"/>
    <w:rsid w:val="00436B09"/>
    <w:rsid w:val="00436FE5"/>
    <w:rsid w:val="0043774A"/>
    <w:rsid w:val="0044091A"/>
    <w:rsid w:val="00440B04"/>
    <w:rsid w:val="00441AEB"/>
    <w:rsid w:val="004426B0"/>
    <w:rsid w:val="00442A45"/>
    <w:rsid w:val="00442ADD"/>
    <w:rsid w:val="00442D6E"/>
    <w:rsid w:val="00443036"/>
    <w:rsid w:val="004431B7"/>
    <w:rsid w:val="00443238"/>
    <w:rsid w:val="004435D8"/>
    <w:rsid w:val="00443DBF"/>
    <w:rsid w:val="00445CD9"/>
    <w:rsid w:val="00445D3B"/>
    <w:rsid w:val="004464EF"/>
    <w:rsid w:val="00446EBE"/>
    <w:rsid w:val="00447A2A"/>
    <w:rsid w:val="00447B0D"/>
    <w:rsid w:val="00447EDC"/>
    <w:rsid w:val="004503FC"/>
    <w:rsid w:val="00450BCE"/>
    <w:rsid w:val="00451046"/>
    <w:rsid w:val="00451C6F"/>
    <w:rsid w:val="00451D85"/>
    <w:rsid w:val="0045209B"/>
    <w:rsid w:val="00453087"/>
    <w:rsid w:val="004547F8"/>
    <w:rsid w:val="00454CC6"/>
    <w:rsid w:val="004551E8"/>
    <w:rsid w:val="00455B85"/>
    <w:rsid w:val="00455D7E"/>
    <w:rsid w:val="004560D4"/>
    <w:rsid w:val="00456D2C"/>
    <w:rsid w:val="004572A3"/>
    <w:rsid w:val="0045794D"/>
    <w:rsid w:val="0046058D"/>
    <w:rsid w:val="00460A49"/>
    <w:rsid w:val="0046136D"/>
    <w:rsid w:val="00461A48"/>
    <w:rsid w:val="00461D8E"/>
    <w:rsid w:val="00462BC2"/>
    <w:rsid w:val="00463005"/>
    <w:rsid w:val="00463736"/>
    <w:rsid w:val="0046456E"/>
    <w:rsid w:val="00464994"/>
    <w:rsid w:val="00465C90"/>
    <w:rsid w:val="00465EF7"/>
    <w:rsid w:val="00466237"/>
    <w:rsid w:val="00466ADA"/>
    <w:rsid w:val="00466ECA"/>
    <w:rsid w:val="004671F2"/>
    <w:rsid w:val="004706AF"/>
    <w:rsid w:val="004711B6"/>
    <w:rsid w:val="004719E1"/>
    <w:rsid w:val="004723BA"/>
    <w:rsid w:val="004723DA"/>
    <w:rsid w:val="004724A0"/>
    <w:rsid w:val="0047374F"/>
    <w:rsid w:val="00474B27"/>
    <w:rsid w:val="0047532A"/>
    <w:rsid w:val="00475B7C"/>
    <w:rsid w:val="00476030"/>
    <w:rsid w:val="00476B5A"/>
    <w:rsid w:val="0047744B"/>
    <w:rsid w:val="0047768D"/>
    <w:rsid w:val="004806B9"/>
    <w:rsid w:val="004807DE"/>
    <w:rsid w:val="00480947"/>
    <w:rsid w:val="00481C54"/>
    <w:rsid w:val="0048209E"/>
    <w:rsid w:val="004820B2"/>
    <w:rsid w:val="0048224B"/>
    <w:rsid w:val="00482FE6"/>
    <w:rsid w:val="00482FED"/>
    <w:rsid w:val="0048321B"/>
    <w:rsid w:val="0048322D"/>
    <w:rsid w:val="00484CB6"/>
    <w:rsid w:val="0048560C"/>
    <w:rsid w:val="00485686"/>
    <w:rsid w:val="00485FF1"/>
    <w:rsid w:val="00487258"/>
    <w:rsid w:val="00487CB6"/>
    <w:rsid w:val="00490182"/>
    <w:rsid w:val="004903F0"/>
    <w:rsid w:val="00491076"/>
    <w:rsid w:val="00491C72"/>
    <w:rsid w:val="00491D91"/>
    <w:rsid w:val="00491E2A"/>
    <w:rsid w:val="004927CF"/>
    <w:rsid w:val="00493780"/>
    <w:rsid w:val="004944CF"/>
    <w:rsid w:val="0049554E"/>
    <w:rsid w:val="0049623E"/>
    <w:rsid w:val="00496D90"/>
    <w:rsid w:val="004A16F0"/>
    <w:rsid w:val="004A1D45"/>
    <w:rsid w:val="004A1FB4"/>
    <w:rsid w:val="004A2853"/>
    <w:rsid w:val="004A46B0"/>
    <w:rsid w:val="004A6A96"/>
    <w:rsid w:val="004A6BC4"/>
    <w:rsid w:val="004A6ECE"/>
    <w:rsid w:val="004A6FE6"/>
    <w:rsid w:val="004A7907"/>
    <w:rsid w:val="004A7C54"/>
    <w:rsid w:val="004B0501"/>
    <w:rsid w:val="004B0FEA"/>
    <w:rsid w:val="004B1AC7"/>
    <w:rsid w:val="004B1B13"/>
    <w:rsid w:val="004B2A8C"/>
    <w:rsid w:val="004B31F7"/>
    <w:rsid w:val="004B32ED"/>
    <w:rsid w:val="004B468B"/>
    <w:rsid w:val="004B4A75"/>
    <w:rsid w:val="004B523D"/>
    <w:rsid w:val="004B5358"/>
    <w:rsid w:val="004B53AF"/>
    <w:rsid w:val="004B543A"/>
    <w:rsid w:val="004B5CAC"/>
    <w:rsid w:val="004B74D7"/>
    <w:rsid w:val="004C0E9F"/>
    <w:rsid w:val="004C18AD"/>
    <w:rsid w:val="004C197D"/>
    <w:rsid w:val="004C1B5E"/>
    <w:rsid w:val="004C2B7A"/>
    <w:rsid w:val="004C313B"/>
    <w:rsid w:val="004C38EA"/>
    <w:rsid w:val="004C39AC"/>
    <w:rsid w:val="004C4949"/>
    <w:rsid w:val="004C4F86"/>
    <w:rsid w:val="004C5A79"/>
    <w:rsid w:val="004C5DA2"/>
    <w:rsid w:val="004C6199"/>
    <w:rsid w:val="004C65AC"/>
    <w:rsid w:val="004C67A8"/>
    <w:rsid w:val="004C6A7D"/>
    <w:rsid w:val="004C6A81"/>
    <w:rsid w:val="004C6AEA"/>
    <w:rsid w:val="004C74D2"/>
    <w:rsid w:val="004D0109"/>
    <w:rsid w:val="004D06C2"/>
    <w:rsid w:val="004D09AA"/>
    <w:rsid w:val="004D0BBB"/>
    <w:rsid w:val="004D1E83"/>
    <w:rsid w:val="004D200E"/>
    <w:rsid w:val="004D3386"/>
    <w:rsid w:val="004D4588"/>
    <w:rsid w:val="004D4642"/>
    <w:rsid w:val="004D46FB"/>
    <w:rsid w:val="004D471F"/>
    <w:rsid w:val="004D4C0B"/>
    <w:rsid w:val="004D5E45"/>
    <w:rsid w:val="004D60DA"/>
    <w:rsid w:val="004D69A3"/>
    <w:rsid w:val="004D756A"/>
    <w:rsid w:val="004E01B2"/>
    <w:rsid w:val="004E02EF"/>
    <w:rsid w:val="004E0562"/>
    <w:rsid w:val="004E0A18"/>
    <w:rsid w:val="004E0CC5"/>
    <w:rsid w:val="004E1632"/>
    <w:rsid w:val="004E1C71"/>
    <w:rsid w:val="004E1F0F"/>
    <w:rsid w:val="004E2245"/>
    <w:rsid w:val="004E235E"/>
    <w:rsid w:val="004E3A0A"/>
    <w:rsid w:val="004E3BAF"/>
    <w:rsid w:val="004E44CC"/>
    <w:rsid w:val="004E4AB7"/>
    <w:rsid w:val="004E596F"/>
    <w:rsid w:val="004E63F6"/>
    <w:rsid w:val="004E6492"/>
    <w:rsid w:val="004E6D11"/>
    <w:rsid w:val="004E76BF"/>
    <w:rsid w:val="004E7812"/>
    <w:rsid w:val="004E7FC1"/>
    <w:rsid w:val="004F06B4"/>
    <w:rsid w:val="004F0727"/>
    <w:rsid w:val="004F0C24"/>
    <w:rsid w:val="004F1094"/>
    <w:rsid w:val="004F2278"/>
    <w:rsid w:val="004F2363"/>
    <w:rsid w:val="004F2D38"/>
    <w:rsid w:val="004F3183"/>
    <w:rsid w:val="004F34F6"/>
    <w:rsid w:val="004F3723"/>
    <w:rsid w:val="004F3876"/>
    <w:rsid w:val="004F3C32"/>
    <w:rsid w:val="004F427D"/>
    <w:rsid w:val="004F4E43"/>
    <w:rsid w:val="004F4FDD"/>
    <w:rsid w:val="004F55F6"/>
    <w:rsid w:val="004F7499"/>
    <w:rsid w:val="004F7D42"/>
    <w:rsid w:val="00500AD4"/>
    <w:rsid w:val="00500E7E"/>
    <w:rsid w:val="00501163"/>
    <w:rsid w:val="00501235"/>
    <w:rsid w:val="00501E3E"/>
    <w:rsid w:val="005020A2"/>
    <w:rsid w:val="00502A6D"/>
    <w:rsid w:val="00502D7B"/>
    <w:rsid w:val="00502F29"/>
    <w:rsid w:val="0050325F"/>
    <w:rsid w:val="005034AC"/>
    <w:rsid w:val="005035E6"/>
    <w:rsid w:val="00504383"/>
    <w:rsid w:val="00504AC0"/>
    <w:rsid w:val="00504C70"/>
    <w:rsid w:val="00504F21"/>
    <w:rsid w:val="005055A7"/>
    <w:rsid w:val="005060E0"/>
    <w:rsid w:val="005063B8"/>
    <w:rsid w:val="00507574"/>
    <w:rsid w:val="00507DC7"/>
    <w:rsid w:val="00507E46"/>
    <w:rsid w:val="0051172B"/>
    <w:rsid w:val="005122FD"/>
    <w:rsid w:val="00513254"/>
    <w:rsid w:val="00513619"/>
    <w:rsid w:val="00513950"/>
    <w:rsid w:val="0051477F"/>
    <w:rsid w:val="0051489F"/>
    <w:rsid w:val="0051509F"/>
    <w:rsid w:val="005152E5"/>
    <w:rsid w:val="00515427"/>
    <w:rsid w:val="00515C51"/>
    <w:rsid w:val="00516060"/>
    <w:rsid w:val="005163B4"/>
    <w:rsid w:val="005166AD"/>
    <w:rsid w:val="005168E7"/>
    <w:rsid w:val="00516F2E"/>
    <w:rsid w:val="00517686"/>
    <w:rsid w:val="00517F9D"/>
    <w:rsid w:val="0052050F"/>
    <w:rsid w:val="005211B9"/>
    <w:rsid w:val="005212C3"/>
    <w:rsid w:val="0052145D"/>
    <w:rsid w:val="00521793"/>
    <w:rsid w:val="00521C62"/>
    <w:rsid w:val="005220D1"/>
    <w:rsid w:val="00523E0B"/>
    <w:rsid w:val="00524093"/>
    <w:rsid w:val="0052457D"/>
    <w:rsid w:val="00524840"/>
    <w:rsid w:val="00525699"/>
    <w:rsid w:val="005262CC"/>
    <w:rsid w:val="0052728F"/>
    <w:rsid w:val="0052768A"/>
    <w:rsid w:val="00527E02"/>
    <w:rsid w:val="00527FAF"/>
    <w:rsid w:val="0053040C"/>
    <w:rsid w:val="00530A29"/>
    <w:rsid w:val="00530B8C"/>
    <w:rsid w:val="00531115"/>
    <w:rsid w:val="005311F4"/>
    <w:rsid w:val="005313F8"/>
    <w:rsid w:val="00532145"/>
    <w:rsid w:val="0053218E"/>
    <w:rsid w:val="00532759"/>
    <w:rsid w:val="00532BEE"/>
    <w:rsid w:val="005330EA"/>
    <w:rsid w:val="00533ECA"/>
    <w:rsid w:val="00534574"/>
    <w:rsid w:val="00534A06"/>
    <w:rsid w:val="00534ECC"/>
    <w:rsid w:val="005353B4"/>
    <w:rsid w:val="00535D32"/>
    <w:rsid w:val="0053619E"/>
    <w:rsid w:val="0053664F"/>
    <w:rsid w:val="00537E9D"/>
    <w:rsid w:val="00540E0B"/>
    <w:rsid w:val="00540F12"/>
    <w:rsid w:val="005410FC"/>
    <w:rsid w:val="0054122E"/>
    <w:rsid w:val="00541245"/>
    <w:rsid w:val="0054139E"/>
    <w:rsid w:val="00541715"/>
    <w:rsid w:val="0054284C"/>
    <w:rsid w:val="00542F60"/>
    <w:rsid w:val="005433F9"/>
    <w:rsid w:val="0054356B"/>
    <w:rsid w:val="00543800"/>
    <w:rsid w:val="00544573"/>
    <w:rsid w:val="00545883"/>
    <w:rsid w:val="00545FAC"/>
    <w:rsid w:val="005461A1"/>
    <w:rsid w:val="005470AB"/>
    <w:rsid w:val="0054727A"/>
    <w:rsid w:val="005477D3"/>
    <w:rsid w:val="00547850"/>
    <w:rsid w:val="005501E3"/>
    <w:rsid w:val="00550342"/>
    <w:rsid w:val="00550753"/>
    <w:rsid w:val="00550E41"/>
    <w:rsid w:val="00551C1B"/>
    <w:rsid w:val="00552451"/>
    <w:rsid w:val="00552D3D"/>
    <w:rsid w:val="00553293"/>
    <w:rsid w:val="0055406A"/>
    <w:rsid w:val="0055552C"/>
    <w:rsid w:val="00555C4A"/>
    <w:rsid w:val="00556113"/>
    <w:rsid w:val="00556908"/>
    <w:rsid w:val="00556CE2"/>
    <w:rsid w:val="00556DB5"/>
    <w:rsid w:val="005579B8"/>
    <w:rsid w:val="0056006C"/>
    <w:rsid w:val="00560401"/>
    <w:rsid w:val="005606A1"/>
    <w:rsid w:val="005606E9"/>
    <w:rsid w:val="00560732"/>
    <w:rsid w:val="00560889"/>
    <w:rsid w:val="00560BBC"/>
    <w:rsid w:val="0056128B"/>
    <w:rsid w:val="0056146C"/>
    <w:rsid w:val="0056171F"/>
    <w:rsid w:val="00562260"/>
    <w:rsid w:val="0056226B"/>
    <w:rsid w:val="0056255E"/>
    <w:rsid w:val="00562704"/>
    <w:rsid w:val="00562915"/>
    <w:rsid w:val="00562946"/>
    <w:rsid w:val="00562A8F"/>
    <w:rsid w:val="00562C70"/>
    <w:rsid w:val="005630EA"/>
    <w:rsid w:val="00563395"/>
    <w:rsid w:val="00563515"/>
    <w:rsid w:val="0056354C"/>
    <w:rsid w:val="00563552"/>
    <w:rsid w:val="00564F33"/>
    <w:rsid w:val="0056611C"/>
    <w:rsid w:val="00566E43"/>
    <w:rsid w:val="00566EC4"/>
    <w:rsid w:val="005709C8"/>
    <w:rsid w:val="0057167F"/>
    <w:rsid w:val="00573F2A"/>
    <w:rsid w:val="00574651"/>
    <w:rsid w:val="005752FB"/>
    <w:rsid w:val="00575656"/>
    <w:rsid w:val="00575B24"/>
    <w:rsid w:val="00575F70"/>
    <w:rsid w:val="005763F7"/>
    <w:rsid w:val="00576D7B"/>
    <w:rsid w:val="00577162"/>
    <w:rsid w:val="005776CD"/>
    <w:rsid w:val="00580129"/>
    <w:rsid w:val="005808AA"/>
    <w:rsid w:val="00581D1C"/>
    <w:rsid w:val="00581EA7"/>
    <w:rsid w:val="0058272E"/>
    <w:rsid w:val="00583823"/>
    <w:rsid w:val="00583A6A"/>
    <w:rsid w:val="00583B2D"/>
    <w:rsid w:val="00584720"/>
    <w:rsid w:val="00586647"/>
    <w:rsid w:val="00586A17"/>
    <w:rsid w:val="0058746B"/>
    <w:rsid w:val="00590175"/>
    <w:rsid w:val="00590B84"/>
    <w:rsid w:val="00590CDB"/>
    <w:rsid w:val="00591A94"/>
    <w:rsid w:val="00591D0C"/>
    <w:rsid w:val="00591E8F"/>
    <w:rsid w:val="00592562"/>
    <w:rsid w:val="00592F47"/>
    <w:rsid w:val="0059471F"/>
    <w:rsid w:val="005947D8"/>
    <w:rsid w:val="00595444"/>
    <w:rsid w:val="00596A22"/>
    <w:rsid w:val="00596E7B"/>
    <w:rsid w:val="005A0005"/>
    <w:rsid w:val="005A0038"/>
    <w:rsid w:val="005A0ABD"/>
    <w:rsid w:val="005A0B35"/>
    <w:rsid w:val="005A272D"/>
    <w:rsid w:val="005A2937"/>
    <w:rsid w:val="005A2F15"/>
    <w:rsid w:val="005A3989"/>
    <w:rsid w:val="005A3A4F"/>
    <w:rsid w:val="005A4856"/>
    <w:rsid w:val="005A4891"/>
    <w:rsid w:val="005A4B78"/>
    <w:rsid w:val="005A51A9"/>
    <w:rsid w:val="005A56FC"/>
    <w:rsid w:val="005A5838"/>
    <w:rsid w:val="005A60B2"/>
    <w:rsid w:val="005A6ED8"/>
    <w:rsid w:val="005A74B5"/>
    <w:rsid w:val="005B0324"/>
    <w:rsid w:val="005B0EDA"/>
    <w:rsid w:val="005B1EB3"/>
    <w:rsid w:val="005B2A7E"/>
    <w:rsid w:val="005B347F"/>
    <w:rsid w:val="005B3F5A"/>
    <w:rsid w:val="005B43CA"/>
    <w:rsid w:val="005B4DFC"/>
    <w:rsid w:val="005B56DD"/>
    <w:rsid w:val="005B5888"/>
    <w:rsid w:val="005B64A4"/>
    <w:rsid w:val="005B6FCD"/>
    <w:rsid w:val="005B74A2"/>
    <w:rsid w:val="005C0D05"/>
    <w:rsid w:val="005C0DCD"/>
    <w:rsid w:val="005C15BD"/>
    <w:rsid w:val="005C2132"/>
    <w:rsid w:val="005C2327"/>
    <w:rsid w:val="005C33DD"/>
    <w:rsid w:val="005C3612"/>
    <w:rsid w:val="005C385A"/>
    <w:rsid w:val="005C3889"/>
    <w:rsid w:val="005C3E0D"/>
    <w:rsid w:val="005C4011"/>
    <w:rsid w:val="005C4800"/>
    <w:rsid w:val="005C606E"/>
    <w:rsid w:val="005C6849"/>
    <w:rsid w:val="005C6A65"/>
    <w:rsid w:val="005C6E7A"/>
    <w:rsid w:val="005C7473"/>
    <w:rsid w:val="005C7730"/>
    <w:rsid w:val="005C7B6A"/>
    <w:rsid w:val="005D01C3"/>
    <w:rsid w:val="005D04BB"/>
    <w:rsid w:val="005D06AA"/>
    <w:rsid w:val="005D07CB"/>
    <w:rsid w:val="005D197F"/>
    <w:rsid w:val="005D1A1B"/>
    <w:rsid w:val="005D24A1"/>
    <w:rsid w:val="005D3B05"/>
    <w:rsid w:val="005D3D6F"/>
    <w:rsid w:val="005D445D"/>
    <w:rsid w:val="005D5662"/>
    <w:rsid w:val="005D5752"/>
    <w:rsid w:val="005D59BD"/>
    <w:rsid w:val="005D5CC8"/>
    <w:rsid w:val="005D6768"/>
    <w:rsid w:val="005D6939"/>
    <w:rsid w:val="005D75B6"/>
    <w:rsid w:val="005D7743"/>
    <w:rsid w:val="005D798F"/>
    <w:rsid w:val="005D7E76"/>
    <w:rsid w:val="005E1020"/>
    <w:rsid w:val="005E14CF"/>
    <w:rsid w:val="005E209E"/>
    <w:rsid w:val="005E2D69"/>
    <w:rsid w:val="005E32E5"/>
    <w:rsid w:val="005E363E"/>
    <w:rsid w:val="005E396D"/>
    <w:rsid w:val="005E49D9"/>
    <w:rsid w:val="005E58EF"/>
    <w:rsid w:val="005E62C9"/>
    <w:rsid w:val="005E6F5E"/>
    <w:rsid w:val="005E75CA"/>
    <w:rsid w:val="005E765B"/>
    <w:rsid w:val="005E792E"/>
    <w:rsid w:val="005E7E57"/>
    <w:rsid w:val="005F016D"/>
    <w:rsid w:val="005F042E"/>
    <w:rsid w:val="005F0E96"/>
    <w:rsid w:val="005F1051"/>
    <w:rsid w:val="005F1701"/>
    <w:rsid w:val="005F199B"/>
    <w:rsid w:val="005F55A2"/>
    <w:rsid w:val="005F5A05"/>
    <w:rsid w:val="005F5ABA"/>
    <w:rsid w:val="005F6069"/>
    <w:rsid w:val="005F63FE"/>
    <w:rsid w:val="005F6499"/>
    <w:rsid w:val="005F67D1"/>
    <w:rsid w:val="006001CF"/>
    <w:rsid w:val="00600ADD"/>
    <w:rsid w:val="00600DE8"/>
    <w:rsid w:val="00601733"/>
    <w:rsid w:val="006022CE"/>
    <w:rsid w:val="00602445"/>
    <w:rsid w:val="00602503"/>
    <w:rsid w:val="00602CF4"/>
    <w:rsid w:val="00602EA0"/>
    <w:rsid w:val="006047AC"/>
    <w:rsid w:val="00605990"/>
    <w:rsid w:val="00606702"/>
    <w:rsid w:val="00606A95"/>
    <w:rsid w:val="00607303"/>
    <w:rsid w:val="00607448"/>
    <w:rsid w:val="0060758B"/>
    <w:rsid w:val="006075E2"/>
    <w:rsid w:val="00610743"/>
    <w:rsid w:val="006110E2"/>
    <w:rsid w:val="00611202"/>
    <w:rsid w:val="00612870"/>
    <w:rsid w:val="006129E0"/>
    <w:rsid w:val="00612A6C"/>
    <w:rsid w:val="00614026"/>
    <w:rsid w:val="00614070"/>
    <w:rsid w:val="00614088"/>
    <w:rsid w:val="0061451D"/>
    <w:rsid w:val="00614F0E"/>
    <w:rsid w:val="006154B0"/>
    <w:rsid w:val="00615D10"/>
    <w:rsid w:val="00616341"/>
    <w:rsid w:val="00616494"/>
    <w:rsid w:val="00616CEC"/>
    <w:rsid w:val="00616D71"/>
    <w:rsid w:val="0061779B"/>
    <w:rsid w:val="006179F8"/>
    <w:rsid w:val="006210DA"/>
    <w:rsid w:val="00621310"/>
    <w:rsid w:val="00621790"/>
    <w:rsid w:val="00622365"/>
    <w:rsid w:val="00622646"/>
    <w:rsid w:val="00622667"/>
    <w:rsid w:val="00622A8D"/>
    <w:rsid w:val="00623077"/>
    <w:rsid w:val="006238EC"/>
    <w:rsid w:val="00623DB4"/>
    <w:rsid w:val="00624574"/>
    <w:rsid w:val="0062490B"/>
    <w:rsid w:val="00624B5A"/>
    <w:rsid w:val="00624C59"/>
    <w:rsid w:val="00626060"/>
    <w:rsid w:val="006263EE"/>
    <w:rsid w:val="006264E9"/>
    <w:rsid w:val="00626AFC"/>
    <w:rsid w:val="0062778B"/>
    <w:rsid w:val="006301E4"/>
    <w:rsid w:val="00630529"/>
    <w:rsid w:val="00630CC8"/>
    <w:rsid w:val="006317B5"/>
    <w:rsid w:val="00632131"/>
    <w:rsid w:val="00632E0A"/>
    <w:rsid w:val="00633548"/>
    <w:rsid w:val="006357CC"/>
    <w:rsid w:val="00635BCC"/>
    <w:rsid w:val="006366DA"/>
    <w:rsid w:val="006370A9"/>
    <w:rsid w:val="00637B1F"/>
    <w:rsid w:val="006403A5"/>
    <w:rsid w:val="00640B92"/>
    <w:rsid w:val="00640C2F"/>
    <w:rsid w:val="00640CA6"/>
    <w:rsid w:val="00641342"/>
    <w:rsid w:val="00641A0F"/>
    <w:rsid w:val="00642176"/>
    <w:rsid w:val="00642BE8"/>
    <w:rsid w:val="00643E14"/>
    <w:rsid w:val="006458CD"/>
    <w:rsid w:val="00645E63"/>
    <w:rsid w:val="00645EFF"/>
    <w:rsid w:val="00645F4A"/>
    <w:rsid w:val="006468BB"/>
    <w:rsid w:val="00647678"/>
    <w:rsid w:val="00651011"/>
    <w:rsid w:val="00651210"/>
    <w:rsid w:val="006513DE"/>
    <w:rsid w:val="00651727"/>
    <w:rsid w:val="006528FC"/>
    <w:rsid w:val="00653C15"/>
    <w:rsid w:val="00654C78"/>
    <w:rsid w:val="00656425"/>
    <w:rsid w:val="006579A0"/>
    <w:rsid w:val="00657F8A"/>
    <w:rsid w:val="0066047C"/>
    <w:rsid w:val="00660828"/>
    <w:rsid w:val="00660B67"/>
    <w:rsid w:val="00661C31"/>
    <w:rsid w:val="00661EDA"/>
    <w:rsid w:val="00663C24"/>
    <w:rsid w:val="00663FE2"/>
    <w:rsid w:val="0066407B"/>
    <w:rsid w:val="00664729"/>
    <w:rsid w:val="00664A8F"/>
    <w:rsid w:val="0066539C"/>
    <w:rsid w:val="006653AE"/>
    <w:rsid w:val="006669AF"/>
    <w:rsid w:val="00667209"/>
    <w:rsid w:val="006676FD"/>
    <w:rsid w:val="00667BEF"/>
    <w:rsid w:val="00670A32"/>
    <w:rsid w:val="00671AC6"/>
    <w:rsid w:val="00671AFD"/>
    <w:rsid w:val="00674A4F"/>
    <w:rsid w:val="00674C5C"/>
    <w:rsid w:val="00675013"/>
    <w:rsid w:val="00675B6D"/>
    <w:rsid w:val="006767BD"/>
    <w:rsid w:val="00676F89"/>
    <w:rsid w:val="006779D8"/>
    <w:rsid w:val="00677C03"/>
    <w:rsid w:val="00677FFE"/>
    <w:rsid w:val="0068008D"/>
    <w:rsid w:val="00680452"/>
    <w:rsid w:val="0068162F"/>
    <w:rsid w:val="00681CD5"/>
    <w:rsid w:val="0068242E"/>
    <w:rsid w:val="00683429"/>
    <w:rsid w:val="006834DE"/>
    <w:rsid w:val="0068370F"/>
    <w:rsid w:val="00684085"/>
    <w:rsid w:val="0068420A"/>
    <w:rsid w:val="006849F1"/>
    <w:rsid w:val="00684C03"/>
    <w:rsid w:val="00685326"/>
    <w:rsid w:val="006856D7"/>
    <w:rsid w:val="00685856"/>
    <w:rsid w:val="00685886"/>
    <w:rsid w:val="00685AD5"/>
    <w:rsid w:val="00685EE6"/>
    <w:rsid w:val="006863E1"/>
    <w:rsid w:val="00686845"/>
    <w:rsid w:val="0068737B"/>
    <w:rsid w:val="0068770F"/>
    <w:rsid w:val="00687A7B"/>
    <w:rsid w:val="00687BC6"/>
    <w:rsid w:val="006901C6"/>
    <w:rsid w:val="006904FF"/>
    <w:rsid w:val="00690549"/>
    <w:rsid w:val="00690D8D"/>
    <w:rsid w:val="006910AB"/>
    <w:rsid w:val="006912A0"/>
    <w:rsid w:val="00691619"/>
    <w:rsid w:val="00691847"/>
    <w:rsid w:val="00691EDC"/>
    <w:rsid w:val="00692645"/>
    <w:rsid w:val="00692771"/>
    <w:rsid w:val="00692913"/>
    <w:rsid w:val="00692B90"/>
    <w:rsid w:val="00692C29"/>
    <w:rsid w:val="00692CCE"/>
    <w:rsid w:val="0069324F"/>
    <w:rsid w:val="00693993"/>
    <w:rsid w:val="0069435E"/>
    <w:rsid w:val="006945A0"/>
    <w:rsid w:val="00694A0F"/>
    <w:rsid w:val="00694B10"/>
    <w:rsid w:val="00694C37"/>
    <w:rsid w:val="0069596C"/>
    <w:rsid w:val="00696B02"/>
    <w:rsid w:val="0069785D"/>
    <w:rsid w:val="00697D56"/>
    <w:rsid w:val="006A0231"/>
    <w:rsid w:val="006A0428"/>
    <w:rsid w:val="006A1463"/>
    <w:rsid w:val="006A28A0"/>
    <w:rsid w:val="006A298B"/>
    <w:rsid w:val="006A2BC3"/>
    <w:rsid w:val="006A2F4F"/>
    <w:rsid w:val="006A3DBE"/>
    <w:rsid w:val="006A435C"/>
    <w:rsid w:val="006A5224"/>
    <w:rsid w:val="006A58B9"/>
    <w:rsid w:val="006A6A87"/>
    <w:rsid w:val="006A74CE"/>
    <w:rsid w:val="006A7D59"/>
    <w:rsid w:val="006B05E7"/>
    <w:rsid w:val="006B061F"/>
    <w:rsid w:val="006B1110"/>
    <w:rsid w:val="006B18F6"/>
    <w:rsid w:val="006B19C9"/>
    <w:rsid w:val="006B1FB8"/>
    <w:rsid w:val="006B22A8"/>
    <w:rsid w:val="006B257F"/>
    <w:rsid w:val="006B30E9"/>
    <w:rsid w:val="006B4767"/>
    <w:rsid w:val="006B4E90"/>
    <w:rsid w:val="006B5086"/>
    <w:rsid w:val="006B533A"/>
    <w:rsid w:val="006B5943"/>
    <w:rsid w:val="006B62E1"/>
    <w:rsid w:val="006B731B"/>
    <w:rsid w:val="006B7414"/>
    <w:rsid w:val="006C0987"/>
    <w:rsid w:val="006C2B23"/>
    <w:rsid w:val="006C2D81"/>
    <w:rsid w:val="006C417A"/>
    <w:rsid w:val="006C4875"/>
    <w:rsid w:val="006C4A85"/>
    <w:rsid w:val="006C5F6F"/>
    <w:rsid w:val="006C638C"/>
    <w:rsid w:val="006C63DE"/>
    <w:rsid w:val="006C6BB0"/>
    <w:rsid w:val="006C761C"/>
    <w:rsid w:val="006C7A81"/>
    <w:rsid w:val="006D19E6"/>
    <w:rsid w:val="006D1BAD"/>
    <w:rsid w:val="006D2412"/>
    <w:rsid w:val="006D2518"/>
    <w:rsid w:val="006D3873"/>
    <w:rsid w:val="006D388E"/>
    <w:rsid w:val="006D3D24"/>
    <w:rsid w:val="006D66A4"/>
    <w:rsid w:val="006D6C31"/>
    <w:rsid w:val="006D78FA"/>
    <w:rsid w:val="006D7BD2"/>
    <w:rsid w:val="006E12FF"/>
    <w:rsid w:val="006E2A16"/>
    <w:rsid w:val="006E2BE3"/>
    <w:rsid w:val="006E2D65"/>
    <w:rsid w:val="006E3193"/>
    <w:rsid w:val="006E32B5"/>
    <w:rsid w:val="006E518F"/>
    <w:rsid w:val="006E643E"/>
    <w:rsid w:val="006E768F"/>
    <w:rsid w:val="006F1154"/>
    <w:rsid w:val="006F1767"/>
    <w:rsid w:val="006F2015"/>
    <w:rsid w:val="006F2478"/>
    <w:rsid w:val="006F2DB4"/>
    <w:rsid w:val="006F3246"/>
    <w:rsid w:val="006F3308"/>
    <w:rsid w:val="006F36EF"/>
    <w:rsid w:val="006F3A88"/>
    <w:rsid w:val="006F3F34"/>
    <w:rsid w:val="006F4223"/>
    <w:rsid w:val="006F4659"/>
    <w:rsid w:val="006F49C3"/>
    <w:rsid w:val="006F4CCF"/>
    <w:rsid w:val="006F4F36"/>
    <w:rsid w:val="006F5629"/>
    <w:rsid w:val="006F7048"/>
    <w:rsid w:val="006F726E"/>
    <w:rsid w:val="0070184E"/>
    <w:rsid w:val="00701AF3"/>
    <w:rsid w:val="00701EC5"/>
    <w:rsid w:val="007021BF"/>
    <w:rsid w:val="0070296C"/>
    <w:rsid w:val="00702C84"/>
    <w:rsid w:val="007037FC"/>
    <w:rsid w:val="0070388B"/>
    <w:rsid w:val="00704125"/>
    <w:rsid w:val="00704F10"/>
    <w:rsid w:val="007053AE"/>
    <w:rsid w:val="007055E6"/>
    <w:rsid w:val="00706F04"/>
    <w:rsid w:val="00706FDC"/>
    <w:rsid w:val="00707C5B"/>
    <w:rsid w:val="0071158B"/>
    <w:rsid w:val="00711CF7"/>
    <w:rsid w:val="00711D07"/>
    <w:rsid w:val="00711EA2"/>
    <w:rsid w:val="007125C2"/>
    <w:rsid w:val="00712F33"/>
    <w:rsid w:val="007137D3"/>
    <w:rsid w:val="00713D91"/>
    <w:rsid w:val="00714281"/>
    <w:rsid w:val="00714812"/>
    <w:rsid w:val="007149A4"/>
    <w:rsid w:val="00715F88"/>
    <w:rsid w:val="007166F3"/>
    <w:rsid w:val="007171AE"/>
    <w:rsid w:val="0071770B"/>
    <w:rsid w:val="00720557"/>
    <w:rsid w:val="00720B5D"/>
    <w:rsid w:val="00720E18"/>
    <w:rsid w:val="00721D9C"/>
    <w:rsid w:val="00721E28"/>
    <w:rsid w:val="00722185"/>
    <w:rsid w:val="007222AC"/>
    <w:rsid w:val="00722C5A"/>
    <w:rsid w:val="0072327E"/>
    <w:rsid w:val="00723DB1"/>
    <w:rsid w:val="00724311"/>
    <w:rsid w:val="00724625"/>
    <w:rsid w:val="00725216"/>
    <w:rsid w:val="0072579C"/>
    <w:rsid w:val="00725EFC"/>
    <w:rsid w:val="00725F91"/>
    <w:rsid w:val="007261C9"/>
    <w:rsid w:val="007262E5"/>
    <w:rsid w:val="007263D6"/>
    <w:rsid w:val="00726FFB"/>
    <w:rsid w:val="00730F9D"/>
    <w:rsid w:val="00731797"/>
    <w:rsid w:val="007321EE"/>
    <w:rsid w:val="00732375"/>
    <w:rsid w:val="00732D37"/>
    <w:rsid w:val="00732E1E"/>
    <w:rsid w:val="007331F6"/>
    <w:rsid w:val="007331FC"/>
    <w:rsid w:val="00733259"/>
    <w:rsid w:val="007334EE"/>
    <w:rsid w:val="00733BF0"/>
    <w:rsid w:val="0073417F"/>
    <w:rsid w:val="0073430E"/>
    <w:rsid w:val="007345EA"/>
    <w:rsid w:val="00734CC6"/>
    <w:rsid w:val="00734F5A"/>
    <w:rsid w:val="0073520B"/>
    <w:rsid w:val="0073529B"/>
    <w:rsid w:val="00735369"/>
    <w:rsid w:val="007362B4"/>
    <w:rsid w:val="0073775E"/>
    <w:rsid w:val="00737787"/>
    <w:rsid w:val="007377FD"/>
    <w:rsid w:val="00737921"/>
    <w:rsid w:val="0073793E"/>
    <w:rsid w:val="007403BF"/>
    <w:rsid w:val="00741CCA"/>
    <w:rsid w:val="00741CCD"/>
    <w:rsid w:val="00742228"/>
    <w:rsid w:val="00742B87"/>
    <w:rsid w:val="00742BC0"/>
    <w:rsid w:val="00743156"/>
    <w:rsid w:val="00743827"/>
    <w:rsid w:val="007440B0"/>
    <w:rsid w:val="007447BD"/>
    <w:rsid w:val="00744B20"/>
    <w:rsid w:val="00745F3D"/>
    <w:rsid w:val="007464C1"/>
    <w:rsid w:val="00747C31"/>
    <w:rsid w:val="0075088C"/>
    <w:rsid w:val="00751B0F"/>
    <w:rsid w:val="0075208B"/>
    <w:rsid w:val="0075220D"/>
    <w:rsid w:val="007522A2"/>
    <w:rsid w:val="007531AC"/>
    <w:rsid w:val="00753839"/>
    <w:rsid w:val="0075405C"/>
    <w:rsid w:val="007546D6"/>
    <w:rsid w:val="00754A76"/>
    <w:rsid w:val="0075511A"/>
    <w:rsid w:val="007551FB"/>
    <w:rsid w:val="00755364"/>
    <w:rsid w:val="007553F0"/>
    <w:rsid w:val="00756702"/>
    <w:rsid w:val="00756761"/>
    <w:rsid w:val="007569A7"/>
    <w:rsid w:val="007572A6"/>
    <w:rsid w:val="007575A1"/>
    <w:rsid w:val="00757B06"/>
    <w:rsid w:val="00760EC7"/>
    <w:rsid w:val="00761204"/>
    <w:rsid w:val="00761231"/>
    <w:rsid w:val="007613D0"/>
    <w:rsid w:val="00761B9D"/>
    <w:rsid w:val="00761FF3"/>
    <w:rsid w:val="007622C8"/>
    <w:rsid w:val="0076249E"/>
    <w:rsid w:val="00762C5C"/>
    <w:rsid w:val="007634BF"/>
    <w:rsid w:val="00763CD0"/>
    <w:rsid w:val="00763EB8"/>
    <w:rsid w:val="00763FC9"/>
    <w:rsid w:val="0076462D"/>
    <w:rsid w:val="00764F7A"/>
    <w:rsid w:val="00766198"/>
    <w:rsid w:val="0076649A"/>
    <w:rsid w:val="007666A9"/>
    <w:rsid w:val="007668A5"/>
    <w:rsid w:val="00766BBF"/>
    <w:rsid w:val="00766C00"/>
    <w:rsid w:val="00767414"/>
    <w:rsid w:val="007676DD"/>
    <w:rsid w:val="00767A00"/>
    <w:rsid w:val="00771AF2"/>
    <w:rsid w:val="00771B75"/>
    <w:rsid w:val="0077259D"/>
    <w:rsid w:val="00772FB4"/>
    <w:rsid w:val="00773027"/>
    <w:rsid w:val="00773563"/>
    <w:rsid w:val="0077398A"/>
    <w:rsid w:val="00774851"/>
    <w:rsid w:val="00775370"/>
    <w:rsid w:val="00775AB4"/>
    <w:rsid w:val="00775DE1"/>
    <w:rsid w:val="0077774E"/>
    <w:rsid w:val="00777C0B"/>
    <w:rsid w:val="00781150"/>
    <w:rsid w:val="00781DF9"/>
    <w:rsid w:val="007828E0"/>
    <w:rsid w:val="0078346F"/>
    <w:rsid w:val="007835B6"/>
    <w:rsid w:val="0078375C"/>
    <w:rsid w:val="00783C6E"/>
    <w:rsid w:val="007847A7"/>
    <w:rsid w:val="0078556D"/>
    <w:rsid w:val="007865BE"/>
    <w:rsid w:val="00786ED6"/>
    <w:rsid w:val="00787B4A"/>
    <w:rsid w:val="00787BD7"/>
    <w:rsid w:val="00790D40"/>
    <w:rsid w:val="00790EA3"/>
    <w:rsid w:val="00791460"/>
    <w:rsid w:val="00791744"/>
    <w:rsid w:val="00791A7A"/>
    <w:rsid w:val="00791C9A"/>
    <w:rsid w:val="00791E2D"/>
    <w:rsid w:val="007926DC"/>
    <w:rsid w:val="00792849"/>
    <w:rsid w:val="00792A98"/>
    <w:rsid w:val="00792B9D"/>
    <w:rsid w:val="00792C05"/>
    <w:rsid w:val="00793E37"/>
    <w:rsid w:val="00793E60"/>
    <w:rsid w:val="00793EA1"/>
    <w:rsid w:val="00793EB3"/>
    <w:rsid w:val="0079455D"/>
    <w:rsid w:val="0079513D"/>
    <w:rsid w:val="00795BE6"/>
    <w:rsid w:val="007966C8"/>
    <w:rsid w:val="007A080A"/>
    <w:rsid w:val="007A1352"/>
    <w:rsid w:val="007A154B"/>
    <w:rsid w:val="007A1AB1"/>
    <w:rsid w:val="007A3381"/>
    <w:rsid w:val="007A5739"/>
    <w:rsid w:val="007A65D2"/>
    <w:rsid w:val="007B1185"/>
    <w:rsid w:val="007B13E9"/>
    <w:rsid w:val="007B244A"/>
    <w:rsid w:val="007B25E8"/>
    <w:rsid w:val="007B28F1"/>
    <w:rsid w:val="007B390E"/>
    <w:rsid w:val="007B411E"/>
    <w:rsid w:val="007B423E"/>
    <w:rsid w:val="007B446B"/>
    <w:rsid w:val="007B4FB4"/>
    <w:rsid w:val="007B545A"/>
    <w:rsid w:val="007C0193"/>
    <w:rsid w:val="007C116A"/>
    <w:rsid w:val="007C1429"/>
    <w:rsid w:val="007C1C56"/>
    <w:rsid w:val="007C1EE6"/>
    <w:rsid w:val="007C2FED"/>
    <w:rsid w:val="007C3B8E"/>
    <w:rsid w:val="007C3E5F"/>
    <w:rsid w:val="007C4068"/>
    <w:rsid w:val="007C40A0"/>
    <w:rsid w:val="007C4E46"/>
    <w:rsid w:val="007C5639"/>
    <w:rsid w:val="007C745D"/>
    <w:rsid w:val="007C7E67"/>
    <w:rsid w:val="007D072E"/>
    <w:rsid w:val="007D435D"/>
    <w:rsid w:val="007D4C47"/>
    <w:rsid w:val="007D6062"/>
    <w:rsid w:val="007D636B"/>
    <w:rsid w:val="007D6738"/>
    <w:rsid w:val="007D6BF6"/>
    <w:rsid w:val="007D76A1"/>
    <w:rsid w:val="007D7BD3"/>
    <w:rsid w:val="007E0422"/>
    <w:rsid w:val="007E072A"/>
    <w:rsid w:val="007E0789"/>
    <w:rsid w:val="007E21C1"/>
    <w:rsid w:val="007E2901"/>
    <w:rsid w:val="007E2D43"/>
    <w:rsid w:val="007E4139"/>
    <w:rsid w:val="007E41B5"/>
    <w:rsid w:val="007E4C4E"/>
    <w:rsid w:val="007E4ECC"/>
    <w:rsid w:val="007E50DE"/>
    <w:rsid w:val="007E51C4"/>
    <w:rsid w:val="007E5C75"/>
    <w:rsid w:val="007E74A1"/>
    <w:rsid w:val="007E765D"/>
    <w:rsid w:val="007F1263"/>
    <w:rsid w:val="007F31EF"/>
    <w:rsid w:val="007F37AE"/>
    <w:rsid w:val="007F477D"/>
    <w:rsid w:val="007F5697"/>
    <w:rsid w:val="007F6255"/>
    <w:rsid w:val="007F6E23"/>
    <w:rsid w:val="007F73BB"/>
    <w:rsid w:val="007F75F0"/>
    <w:rsid w:val="007F7AB0"/>
    <w:rsid w:val="008002A4"/>
    <w:rsid w:val="00800B84"/>
    <w:rsid w:val="00800F6D"/>
    <w:rsid w:val="00801461"/>
    <w:rsid w:val="0080146C"/>
    <w:rsid w:val="00801FB5"/>
    <w:rsid w:val="00802036"/>
    <w:rsid w:val="00802824"/>
    <w:rsid w:val="00804227"/>
    <w:rsid w:val="00804C84"/>
    <w:rsid w:val="00804CB1"/>
    <w:rsid w:val="00804E7A"/>
    <w:rsid w:val="008064D4"/>
    <w:rsid w:val="008068B1"/>
    <w:rsid w:val="0080784E"/>
    <w:rsid w:val="0081029A"/>
    <w:rsid w:val="0081051C"/>
    <w:rsid w:val="00811903"/>
    <w:rsid w:val="008120E9"/>
    <w:rsid w:val="008125C8"/>
    <w:rsid w:val="00812992"/>
    <w:rsid w:val="00812B97"/>
    <w:rsid w:val="00812C51"/>
    <w:rsid w:val="008134CA"/>
    <w:rsid w:val="008144E1"/>
    <w:rsid w:val="00815AE9"/>
    <w:rsid w:val="00815B9B"/>
    <w:rsid w:val="00815D89"/>
    <w:rsid w:val="00815FD8"/>
    <w:rsid w:val="008167AC"/>
    <w:rsid w:val="00816894"/>
    <w:rsid w:val="00816A93"/>
    <w:rsid w:val="00816B22"/>
    <w:rsid w:val="00816E99"/>
    <w:rsid w:val="00816EA2"/>
    <w:rsid w:val="00817317"/>
    <w:rsid w:val="0081792F"/>
    <w:rsid w:val="0082060D"/>
    <w:rsid w:val="00824CD2"/>
    <w:rsid w:val="008253F3"/>
    <w:rsid w:val="0082543B"/>
    <w:rsid w:val="00825857"/>
    <w:rsid w:val="008259CA"/>
    <w:rsid w:val="00825A1C"/>
    <w:rsid w:val="00825EA7"/>
    <w:rsid w:val="008266A6"/>
    <w:rsid w:val="00826B87"/>
    <w:rsid w:val="0082725C"/>
    <w:rsid w:val="0082728E"/>
    <w:rsid w:val="0082762B"/>
    <w:rsid w:val="00830C2A"/>
    <w:rsid w:val="008319D7"/>
    <w:rsid w:val="00831E4E"/>
    <w:rsid w:val="00831ED3"/>
    <w:rsid w:val="008334CA"/>
    <w:rsid w:val="0083395D"/>
    <w:rsid w:val="00834409"/>
    <w:rsid w:val="008348BA"/>
    <w:rsid w:val="008354A4"/>
    <w:rsid w:val="00835A96"/>
    <w:rsid w:val="00836BE3"/>
    <w:rsid w:val="008377B4"/>
    <w:rsid w:val="00840827"/>
    <w:rsid w:val="00840B64"/>
    <w:rsid w:val="008411EF"/>
    <w:rsid w:val="008414E4"/>
    <w:rsid w:val="00842388"/>
    <w:rsid w:val="008430B9"/>
    <w:rsid w:val="008432D6"/>
    <w:rsid w:val="008438AD"/>
    <w:rsid w:val="00844075"/>
    <w:rsid w:val="00844C8B"/>
    <w:rsid w:val="00844EA1"/>
    <w:rsid w:val="00845DF0"/>
    <w:rsid w:val="00846AD4"/>
    <w:rsid w:val="00846C73"/>
    <w:rsid w:val="008503F6"/>
    <w:rsid w:val="008506A8"/>
    <w:rsid w:val="00850D87"/>
    <w:rsid w:val="0085111C"/>
    <w:rsid w:val="00851925"/>
    <w:rsid w:val="00852284"/>
    <w:rsid w:val="00852616"/>
    <w:rsid w:val="008528F8"/>
    <w:rsid w:val="008534E3"/>
    <w:rsid w:val="008537F6"/>
    <w:rsid w:val="00854DF4"/>
    <w:rsid w:val="00854FFD"/>
    <w:rsid w:val="00855122"/>
    <w:rsid w:val="008551EA"/>
    <w:rsid w:val="008566D8"/>
    <w:rsid w:val="00856E53"/>
    <w:rsid w:val="00856E74"/>
    <w:rsid w:val="008579FA"/>
    <w:rsid w:val="0086041C"/>
    <w:rsid w:val="00860CAD"/>
    <w:rsid w:val="0086127A"/>
    <w:rsid w:val="00861946"/>
    <w:rsid w:val="00861B9F"/>
    <w:rsid w:val="00862857"/>
    <w:rsid w:val="008628B5"/>
    <w:rsid w:val="00862912"/>
    <w:rsid w:val="00864BAB"/>
    <w:rsid w:val="00865061"/>
    <w:rsid w:val="00865731"/>
    <w:rsid w:val="008657D5"/>
    <w:rsid w:val="008663B5"/>
    <w:rsid w:val="00866B97"/>
    <w:rsid w:val="00866C6C"/>
    <w:rsid w:val="00866C8A"/>
    <w:rsid w:val="008671FB"/>
    <w:rsid w:val="008673E2"/>
    <w:rsid w:val="00867744"/>
    <w:rsid w:val="0087048A"/>
    <w:rsid w:val="0087064F"/>
    <w:rsid w:val="00870C89"/>
    <w:rsid w:val="0087108A"/>
    <w:rsid w:val="0087207B"/>
    <w:rsid w:val="00872E4F"/>
    <w:rsid w:val="00873E21"/>
    <w:rsid w:val="00875208"/>
    <w:rsid w:val="00875577"/>
    <w:rsid w:val="00875E64"/>
    <w:rsid w:val="00876539"/>
    <w:rsid w:val="00877066"/>
    <w:rsid w:val="0087712A"/>
    <w:rsid w:val="008778B1"/>
    <w:rsid w:val="00880C01"/>
    <w:rsid w:val="00881EA8"/>
    <w:rsid w:val="0088251F"/>
    <w:rsid w:val="008828C9"/>
    <w:rsid w:val="0088375A"/>
    <w:rsid w:val="008852F9"/>
    <w:rsid w:val="00885894"/>
    <w:rsid w:val="00885AD0"/>
    <w:rsid w:val="00886DCF"/>
    <w:rsid w:val="0088700C"/>
    <w:rsid w:val="0088702B"/>
    <w:rsid w:val="00887B7F"/>
    <w:rsid w:val="00887FC5"/>
    <w:rsid w:val="00891964"/>
    <w:rsid w:val="008927AA"/>
    <w:rsid w:val="00892CCB"/>
    <w:rsid w:val="00892E8E"/>
    <w:rsid w:val="00894841"/>
    <w:rsid w:val="00894A5B"/>
    <w:rsid w:val="00895417"/>
    <w:rsid w:val="008955D6"/>
    <w:rsid w:val="0089641D"/>
    <w:rsid w:val="00896C7B"/>
    <w:rsid w:val="00896E13"/>
    <w:rsid w:val="00896FE7"/>
    <w:rsid w:val="00897D62"/>
    <w:rsid w:val="008A0193"/>
    <w:rsid w:val="008A0660"/>
    <w:rsid w:val="008A12DF"/>
    <w:rsid w:val="008A130F"/>
    <w:rsid w:val="008A1465"/>
    <w:rsid w:val="008A1AED"/>
    <w:rsid w:val="008A1CB2"/>
    <w:rsid w:val="008A21C0"/>
    <w:rsid w:val="008A31F6"/>
    <w:rsid w:val="008A37FD"/>
    <w:rsid w:val="008A3ADA"/>
    <w:rsid w:val="008A4106"/>
    <w:rsid w:val="008A4660"/>
    <w:rsid w:val="008A5B6C"/>
    <w:rsid w:val="008A6100"/>
    <w:rsid w:val="008A6BB3"/>
    <w:rsid w:val="008A6BC3"/>
    <w:rsid w:val="008A7180"/>
    <w:rsid w:val="008A71D8"/>
    <w:rsid w:val="008B07DC"/>
    <w:rsid w:val="008B0F01"/>
    <w:rsid w:val="008B1070"/>
    <w:rsid w:val="008B12A5"/>
    <w:rsid w:val="008B2711"/>
    <w:rsid w:val="008B2B78"/>
    <w:rsid w:val="008B4977"/>
    <w:rsid w:val="008B4A6F"/>
    <w:rsid w:val="008B5AF4"/>
    <w:rsid w:val="008B70F6"/>
    <w:rsid w:val="008B7556"/>
    <w:rsid w:val="008B76FB"/>
    <w:rsid w:val="008C0026"/>
    <w:rsid w:val="008C0E0C"/>
    <w:rsid w:val="008C1702"/>
    <w:rsid w:val="008C2038"/>
    <w:rsid w:val="008C22FE"/>
    <w:rsid w:val="008C321C"/>
    <w:rsid w:val="008C3336"/>
    <w:rsid w:val="008C3ABA"/>
    <w:rsid w:val="008C5155"/>
    <w:rsid w:val="008C5AEE"/>
    <w:rsid w:val="008C5E93"/>
    <w:rsid w:val="008C60D2"/>
    <w:rsid w:val="008C6B04"/>
    <w:rsid w:val="008C6C08"/>
    <w:rsid w:val="008C6C1B"/>
    <w:rsid w:val="008C6F3E"/>
    <w:rsid w:val="008C7635"/>
    <w:rsid w:val="008C76FC"/>
    <w:rsid w:val="008C7FBD"/>
    <w:rsid w:val="008C7FFA"/>
    <w:rsid w:val="008D0ABD"/>
    <w:rsid w:val="008D1AF6"/>
    <w:rsid w:val="008D215F"/>
    <w:rsid w:val="008D2D6C"/>
    <w:rsid w:val="008D2F7F"/>
    <w:rsid w:val="008D2FCB"/>
    <w:rsid w:val="008D36E2"/>
    <w:rsid w:val="008D378D"/>
    <w:rsid w:val="008D3A36"/>
    <w:rsid w:val="008D3F5B"/>
    <w:rsid w:val="008D4D57"/>
    <w:rsid w:val="008D5237"/>
    <w:rsid w:val="008D5695"/>
    <w:rsid w:val="008D5CD8"/>
    <w:rsid w:val="008D5F1B"/>
    <w:rsid w:val="008D6F01"/>
    <w:rsid w:val="008D7C09"/>
    <w:rsid w:val="008D7CA9"/>
    <w:rsid w:val="008E0014"/>
    <w:rsid w:val="008E01AB"/>
    <w:rsid w:val="008E1539"/>
    <w:rsid w:val="008E1687"/>
    <w:rsid w:val="008E176C"/>
    <w:rsid w:val="008E1D4E"/>
    <w:rsid w:val="008E1FD3"/>
    <w:rsid w:val="008E2D10"/>
    <w:rsid w:val="008E2FAB"/>
    <w:rsid w:val="008E3664"/>
    <w:rsid w:val="008E41C6"/>
    <w:rsid w:val="008E4A6C"/>
    <w:rsid w:val="008E4B5F"/>
    <w:rsid w:val="008E58A4"/>
    <w:rsid w:val="008E5DD5"/>
    <w:rsid w:val="008E71A6"/>
    <w:rsid w:val="008E779D"/>
    <w:rsid w:val="008F00CD"/>
    <w:rsid w:val="008F1790"/>
    <w:rsid w:val="008F1EA7"/>
    <w:rsid w:val="008F24C6"/>
    <w:rsid w:val="008F2720"/>
    <w:rsid w:val="008F2ACC"/>
    <w:rsid w:val="008F38FB"/>
    <w:rsid w:val="008F3A03"/>
    <w:rsid w:val="008F3E7F"/>
    <w:rsid w:val="008F3EEE"/>
    <w:rsid w:val="008F4CE6"/>
    <w:rsid w:val="008F4EAA"/>
    <w:rsid w:val="008F5083"/>
    <w:rsid w:val="008F58C6"/>
    <w:rsid w:val="008F6A37"/>
    <w:rsid w:val="008F6BF4"/>
    <w:rsid w:val="008F73F0"/>
    <w:rsid w:val="008F785D"/>
    <w:rsid w:val="008F7DF0"/>
    <w:rsid w:val="008F7E9C"/>
    <w:rsid w:val="008F7FA9"/>
    <w:rsid w:val="00900E15"/>
    <w:rsid w:val="00900E6C"/>
    <w:rsid w:val="00901055"/>
    <w:rsid w:val="00901CF0"/>
    <w:rsid w:val="00901CF1"/>
    <w:rsid w:val="00902539"/>
    <w:rsid w:val="00902A40"/>
    <w:rsid w:val="009033B3"/>
    <w:rsid w:val="009033F7"/>
    <w:rsid w:val="00904DA3"/>
    <w:rsid w:val="0090605A"/>
    <w:rsid w:val="00906496"/>
    <w:rsid w:val="009064B8"/>
    <w:rsid w:val="009064D6"/>
    <w:rsid w:val="009065A3"/>
    <w:rsid w:val="00910346"/>
    <w:rsid w:val="00910EA4"/>
    <w:rsid w:val="00910EB7"/>
    <w:rsid w:val="00911166"/>
    <w:rsid w:val="00911325"/>
    <w:rsid w:val="00912B73"/>
    <w:rsid w:val="00912B87"/>
    <w:rsid w:val="00913488"/>
    <w:rsid w:val="00913A33"/>
    <w:rsid w:val="00913F02"/>
    <w:rsid w:val="009159CA"/>
    <w:rsid w:val="00916CCF"/>
    <w:rsid w:val="00916E92"/>
    <w:rsid w:val="009171FE"/>
    <w:rsid w:val="0092086C"/>
    <w:rsid w:val="00921947"/>
    <w:rsid w:val="009220D8"/>
    <w:rsid w:val="00922FB5"/>
    <w:rsid w:val="00923309"/>
    <w:rsid w:val="00924741"/>
    <w:rsid w:val="00924825"/>
    <w:rsid w:val="009255A7"/>
    <w:rsid w:val="009264C1"/>
    <w:rsid w:val="009268F1"/>
    <w:rsid w:val="00927637"/>
    <w:rsid w:val="00927C2A"/>
    <w:rsid w:val="009305BD"/>
    <w:rsid w:val="009305F1"/>
    <w:rsid w:val="00931485"/>
    <w:rsid w:val="00931867"/>
    <w:rsid w:val="0093353F"/>
    <w:rsid w:val="009336FC"/>
    <w:rsid w:val="00933C47"/>
    <w:rsid w:val="00934102"/>
    <w:rsid w:val="00934491"/>
    <w:rsid w:val="009346A4"/>
    <w:rsid w:val="00934835"/>
    <w:rsid w:val="009348C4"/>
    <w:rsid w:val="009351C8"/>
    <w:rsid w:val="00935205"/>
    <w:rsid w:val="00935940"/>
    <w:rsid w:val="00935E86"/>
    <w:rsid w:val="0093655B"/>
    <w:rsid w:val="0093682D"/>
    <w:rsid w:val="0093776F"/>
    <w:rsid w:val="00937BC3"/>
    <w:rsid w:val="00937E6A"/>
    <w:rsid w:val="00940D51"/>
    <w:rsid w:val="0094175A"/>
    <w:rsid w:val="009417CD"/>
    <w:rsid w:val="00941EAA"/>
    <w:rsid w:val="009433EE"/>
    <w:rsid w:val="00943626"/>
    <w:rsid w:val="00943754"/>
    <w:rsid w:val="0094441A"/>
    <w:rsid w:val="00945123"/>
    <w:rsid w:val="00945AA7"/>
    <w:rsid w:val="00945E30"/>
    <w:rsid w:val="00945EA3"/>
    <w:rsid w:val="00945F3E"/>
    <w:rsid w:val="00946672"/>
    <w:rsid w:val="009467B9"/>
    <w:rsid w:val="00947956"/>
    <w:rsid w:val="00947A14"/>
    <w:rsid w:val="00947E57"/>
    <w:rsid w:val="00950F36"/>
    <w:rsid w:val="00951C1A"/>
    <w:rsid w:val="00952A4C"/>
    <w:rsid w:val="00953A4F"/>
    <w:rsid w:val="00953BFB"/>
    <w:rsid w:val="00956EC0"/>
    <w:rsid w:val="00956FBC"/>
    <w:rsid w:val="00957951"/>
    <w:rsid w:val="00957B3F"/>
    <w:rsid w:val="00957DBC"/>
    <w:rsid w:val="00963B98"/>
    <w:rsid w:val="00964293"/>
    <w:rsid w:val="009642CB"/>
    <w:rsid w:val="00966184"/>
    <w:rsid w:val="00966D09"/>
    <w:rsid w:val="00966D5B"/>
    <w:rsid w:val="00966E3C"/>
    <w:rsid w:val="00966FC9"/>
    <w:rsid w:val="0096704E"/>
    <w:rsid w:val="00967D45"/>
    <w:rsid w:val="00971B44"/>
    <w:rsid w:val="00971B69"/>
    <w:rsid w:val="00971C24"/>
    <w:rsid w:val="009729ED"/>
    <w:rsid w:val="00973216"/>
    <w:rsid w:val="00973670"/>
    <w:rsid w:val="00973742"/>
    <w:rsid w:val="00973758"/>
    <w:rsid w:val="0097559A"/>
    <w:rsid w:val="009755B2"/>
    <w:rsid w:val="00975685"/>
    <w:rsid w:val="00975BC4"/>
    <w:rsid w:val="00975CF0"/>
    <w:rsid w:val="009765ED"/>
    <w:rsid w:val="0097662C"/>
    <w:rsid w:val="009768AD"/>
    <w:rsid w:val="0097778D"/>
    <w:rsid w:val="00977B24"/>
    <w:rsid w:val="00977DC6"/>
    <w:rsid w:val="009806F9"/>
    <w:rsid w:val="00981298"/>
    <w:rsid w:val="009820F8"/>
    <w:rsid w:val="0098238E"/>
    <w:rsid w:val="00982826"/>
    <w:rsid w:val="00982BB6"/>
    <w:rsid w:val="00982DDC"/>
    <w:rsid w:val="00982E94"/>
    <w:rsid w:val="00982F07"/>
    <w:rsid w:val="009839DD"/>
    <w:rsid w:val="00983D55"/>
    <w:rsid w:val="00984420"/>
    <w:rsid w:val="00984A49"/>
    <w:rsid w:val="00985424"/>
    <w:rsid w:val="0098560F"/>
    <w:rsid w:val="00985AE0"/>
    <w:rsid w:val="0098677F"/>
    <w:rsid w:val="0098744B"/>
    <w:rsid w:val="00987C1E"/>
    <w:rsid w:val="00990F4F"/>
    <w:rsid w:val="00992E8C"/>
    <w:rsid w:val="009947C8"/>
    <w:rsid w:val="009947E7"/>
    <w:rsid w:val="00994DD6"/>
    <w:rsid w:val="009950BE"/>
    <w:rsid w:val="00995434"/>
    <w:rsid w:val="00995774"/>
    <w:rsid w:val="00995CE8"/>
    <w:rsid w:val="00996016"/>
    <w:rsid w:val="0099628C"/>
    <w:rsid w:val="009965F5"/>
    <w:rsid w:val="009966B7"/>
    <w:rsid w:val="00997D47"/>
    <w:rsid w:val="009A04BC"/>
    <w:rsid w:val="009A1098"/>
    <w:rsid w:val="009A12BE"/>
    <w:rsid w:val="009A23FB"/>
    <w:rsid w:val="009A24B4"/>
    <w:rsid w:val="009A2AFF"/>
    <w:rsid w:val="009A3FAB"/>
    <w:rsid w:val="009A64EA"/>
    <w:rsid w:val="009A6918"/>
    <w:rsid w:val="009A6C3E"/>
    <w:rsid w:val="009A70C5"/>
    <w:rsid w:val="009A71C9"/>
    <w:rsid w:val="009B049A"/>
    <w:rsid w:val="009B0C03"/>
    <w:rsid w:val="009B11ED"/>
    <w:rsid w:val="009B180D"/>
    <w:rsid w:val="009B270B"/>
    <w:rsid w:val="009B34DE"/>
    <w:rsid w:val="009B3992"/>
    <w:rsid w:val="009B4A4D"/>
    <w:rsid w:val="009B5932"/>
    <w:rsid w:val="009B6D04"/>
    <w:rsid w:val="009B7467"/>
    <w:rsid w:val="009B777C"/>
    <w:rsid w:val="009B7A14"/>
    <w:rsid w:val="009C1279"/>
    <w:rsid w:val="009C180E"/>
    <w:rsid w:val="009C18FF"/>
    <w:rsid w:val="009C1C29"/>
    <w:rsid w:val="009C1F07"/>
    <w:rsid w:val="009C2B09"/>
    <w:rsid w:val="009C368D"/>
    <w:rsid w:val="009C3C53"/>
    <w:rsid w:val="009C3EBF"/>
    <w:rsid w:val="009C503B"/>
    <w:rsid w:val="009C5C2C"/>
    <w:rsid w:val="009C5EF9"/>
    <w:rsid w:val="009C5F6F"/>
    <w:rsid w:val="009C6508"/>
    <w:rsid w:val="009C6C28"/>
    <w:rsid w:val="009C7A7A"/>
    <w:rsid w:val="009C7DD6"/>
    <w:rsid w:val="009D0275"/>
    <w:rsid w:val="009D17E2"/>
    <w:rsid w:val="009D1983"/>
    <w:rsid w:val="009D1B93"/>
    <w:rsid w:val="009D2264"/>
    <w:rsid w:val="009D26A4"/>
    <w:rsid w:val="009D27CD"/>
    <w:rsid w:val="009D3510"/>
    <w:rsid w:val="009D3AF8"/>
    <w:rsid w:val="009D3B86"/>
    <w:rsid w:val="009D3FBE"/>
    <w:rsid w:val="009D46EF"/>
    <w:rsid w:val="009D4C30"/>
    <w:rsid w:val="009D5509"/>
    <w:rsid w:val="009D6ADD"/>
    <w:rsid w:val="009D7F35"/>
    <w:rsid w:val="009E166B"/>
    <w:rsid w:val="009E17B6"/>
    <w:rsid w:val="009E31EC"/>
    <w:rsid w:val="009E4059"/>
    <w:rsid w:val="009E4211"/>
    <w:rsid w:val="009E511B"/>
    <w:rsid w:val="009E5422"/>
    <w:rsid w:val="009E5E56"/>
    <w:rsid w:val="009E5F1F"/>
    <w:rsid w:val="009E65E6"/>
    <w:rsid w:val="009E6B25"/>
    <w:rsid w:val="009E70CE"/>
    <w:rsid w:val="009E7C03"/>
    <w:rsid w:val="009F05B9"/>
    <w:rsid w:val="009F1303"/>
    <w:rsid w:val="009F17A9"/>
    <w:rsid w:val="009F2360"/>
    <w:rsid w:val="009F2635"/>
    <w:rsid w:val="009F2865"/>
    <w:rsid w:val="009F2887"/>
    <w:rsid w:val="009F2977"/>
    <w:rsid w:val="009F2BC9"/>
    <w:rsid w:val="009F2F3F"/>
    <w:rsid w:val="009F3160"/>
    <w:rsid w:val="009F32C9"/>
    <w:rsid w:val="009F37FD"/>
    <w:rsid w:val="009F3947"/>
    <w:rsid w:val="009F4B8B"/>
    <w:rsid w:val="009F53E7"/>
    <w:rsid w:val="009F5AC5"/>
    <w:rsid w:val="009F6455"/>
    <w:rsid w:val="009F6670"/>
    <w:rsid w:val="009F66CF"/>
    <w:rsid w:val="009F7545"/>
    <w:rsid w:val="00A006AD"/>
    <w:rsid w:val="00A018DF"/>
    <w:rsid w:val="00A037EB"/>
    <w:rsid w:val="00A03860"/>
    <w:rsid w:val="00A03995"/>
    <w:rsid w:val="00A04624"/>
    <w:rsid w:val="00A05AE0"/>
    <w:rsid w:val="00A05B9B"/>
    <w:rsid w:val="00A0663C"/>
    <w:rsid w:val="00A06BB3"/>
    <w:rsid w:val="00A07A65"/>
    <w:rsid w:val="00A07ACA"/>
    <w:rsid w:val="00A07FCF"/>
    <w:rsid w:val="00A1090F"/>
    <w:rsid w:val="00A10DA3"/>
    <w:rsid w:val="00A1128C"/>
    <w:rsid w:val="00A112E3"/>
    <w:rsid w:val="00A11527"/>
    <w:rsid w:val="00A11A2E"/>
    <w:rsid w:val="00A11D2A"/>
    <w:rsid w:val="00A12821"/>
    <w:rsid w:val="00A12DBF"/>
    <w:rsid w:val="00A14612"/>
    <w:rsid w:val="00A150C6"/>
    <w:rsid w:val="00A152DC"/>
    <w:rsid w:val="00A15497"/>
    <w:rsid w:val="00A158CF"/>
    <w:rsid w:val="00A15F83"/>
    <w:rsid w:val="00A16255"/>
    <w:rsid w:val="00A1708A"/>
    <w:rsid w:val="00A17185"/>
    <w:rsid w:val="00A1766E"/>
    <w:rsid w:val="00A178F1"/>
    <w:rsid w:val="00A20621"/>
    <w:rsid w:val="00A21A3E"/>
    <w:rsid w:val="00A21BB3"/>
    <w:rsid w:val="00A22009"/>
    <w:rsid w:val="00A235AE"/>
    <w:rsid w:val="00A23B9C"/>
    <w:rsid w:val="00A247EB"/>
    <w:rsid w:val="00A26589"/>
    <w:rsid w:val="00A268EF"/>
    <w:rsid w:val="00A26B26"/>
    <w:rsid w:val="00A26CEA"/>
    <w:rsid w:val="00A26D56"/>
    <w:rsid w:val="00A27E10"/>
    <w:rsid w:val="00A27E3A"/>
    <w:rsid w:val="00A30151"/>
    <w:rsid w:val="00A3074B"/>
    <w:rsid w:val="00A30C60"/>
    <w:rsid w:val="00A31D72"/>
    <w:rsid w:val="00A320C7"/>
    <w:rsid w:val="00A325A5"/>
    <w:rsid w:val="00A32BC3"/>
    <w:rsid w:val="00A33078"/>
    <w:rsid w:val="00A33F35"/>
    <w:rsid w:val="00A3471E"/>
    <w:rsid w:val="00A34F3B"/>
    <w:rsid w:val="00A35638"/>
    <w:rsid w:val="00A358D8"/>
    <w:rsid w:val="00A36A25"/>
    <w:rsid w:val="00A37556"/>
    <w:rsid w:val="00A375EC"/>
    <w:rsid w:val="00A37C09"/>
    <w:rsid w:val="00A40E38"/>
    <w:rsid w:val="00A40FCB"/>
    <w:rsid w:val="00A42C78"/>
    <w:rsid w:val="00A42EAA"/>
    <w:rsid w:val="00A43280"/>
    <w:rsid w:val="00A43CE2"/>
    <w:rsid w:val="00A43EFE"/>
    <w:rsid w:val="00A444E9"/>
    <w:rsid w:val="00A446AD"/>
    <w:rsid w:val="00A44BFB"/>
    <w:rsid w:val="00A45BD3"/>
    <w:rsid w:val="00A462B2"/>
    <w:rsid w:val="00A46483"/>
    <w:rsid w:val="00A468B5"/>
    <w:rsid w:val="00A46D50"/>
    <w:rsid w:val="00A46F02"/>
    <w:rsid w:val="00A47152"/>
    <w:rsid w:val="00A47833"/>
    <w:rsid w:val="00A509A3"/>
    <w:rsid w:val="00A50BB2"/>
    <w:rsid w:val="00A50D2F"/>
    <w:rsid w:val="00A51983"/>
    <w:rsid w:val="00A5313B"/>
    <w:rsid w:val="00A53791"/>
    <w:rsid w:val="00A537A5"/>
    <w:rsid w:val="00A543AD"/>
    <w:rsid w:val="00A545AC"/>
    <w:rsid w:val="00A54E21"/>
    <w:rsid w:val="00A56482"/>
    <w:rsid w:val="00A56645"/>
    <w:rsid w:val="00A56649"/>
    <w:rsid w:val="00A57D21"/>
    <w:rsid w:val="00A615B2"/>
    <w:rsid w:val="00A61A48"/>
    <w:rsid w:val="00A62B45"/>
    <w:rsid w:val="00A6399F"/>
    <w:rsid w:val="00A640A0"/>
    <w:rsid w:val="00A646F1"/>
    <w:rsid w:val="00A647E5"/>
    <w:rsid w:val="00A6519A"/>
    <w:rsid w:val="00A666D2"/>
    <w:rsid w:val="00A669D8"/>
    <w:rsid w:val="00A674E6"/>
    <w:rsid w:val="00A70F69"/>
    <w:rsid w:val="00A711D0"/>
    <w:rsid w:val="00A711E0"/>
    <w:rsid w:val="00A728CD"/>
    <w:rsid w:val="00A73719"/>
    <w:rsid w:val="00A737C7"/>
    <w:rsid w:val="00A75958"/>
    <w:rsid w:val="00A75A17"/>
    <w:rsid w:val="00A75CBC"/>
    <w:rsid w:val="00A75F34"/>
    <w:rsid w:val="00A7616C"/>
    <w:rsid w:val="00A76ABA"/>
    <w:rsid w:val="00A76C65"/>
    <w:rsid w:val="00A7735E"/>
    <w:rsid w:val="00A77805"/>
    <w:rsid w:val="00A81DE5"/>
    <w:rsid w:val="00A82A72"/>
    <w:rsid w:val="00A82BA4"/>
    <w:rsid w:val="00A82BB9"/>
    <w:rsid w:val="00A84819"/>
    <w:rsid w:val="00A85025"/>
    <w:rsid w:val="00A852B7"/>
    <w:rsid w:val="00A8574D"/>
    <w:rsid w:val="00A85A3D"/>
    <w:rsid w:val="00A85A5B"/>
    <w:rsid w:val="00A85EC9"/>
    <w:rsid w:val="00A8616B"/>
    <w:rsid w:val="00A873F2"/>
    <w:rsid w:val="00A900D5"/>
    <w:rsid w:val="00A90FA0"/>
    <w:rsid w:val="00A919B5"/>
    <w:rsid w:val="00A92B32"/>
    <w:rsid w:val="00A92DD5"/>
    <w:rsid w:val="00A92F98"/>
    <w:rsid w:val="00A948D5"/>
    <w:rsid w:val="00A94912"/>
    <w:rsid w:val="00A94F82"/>
    <w:rsid w:val="00A951DC"/>
    <w:rsid w:val="00A95427"/>
    <w:rsid w:val="00A9553D"/>
    <w:rsid w:val="00A95B50"/>
    <w:rsid w:val="00A95F73"/>
    <w:rsid w:val="00A96574"/>
    <w:rsid w:val="00A97ADB"/>
    <w:rsid w:val="00A97C3E"/>
    <w:rsid w:val="00A97CBF"/>
    <w:rsid w:val="00AA0645"/>
    <w:rsid w:val="00AA0DAF"/>
    <w:rsid w:val="00AA0E8B"/>
    <w:rsid w:val="00AA1824"/>
    <w:rsid w:val="00AA2076"/>
    <w:rsid w:val="00AA3257"/>
    <w:rsid w:val="00AA46B1"/>
    <w:rsid w:val="00AA49BC"/>
    <w:rsid w:val="00AA530F"/>
    <w:rsid w:val="00AA548E"/>
    <w:rsid w:val="00AA5E6E"/>
    <w:rsid w:val="00AA5F42"/>
    <w:rsid w:val="00AA635F"/>
    <w:rsid w:val="00AA6C45"/>
    <w:rsid w:val="00AA7485"/>
    <w:rsid w:val="00AA7E75"/>
    <w:rsid w:val="00AA7EDF"/>
    <w:rsid w:val="00AB088F"/>
    <w:rsid w:val="00AB0A18"/>
    <w:rsid w:val="00AB2A9C"/>
    <w:rsid w:val="00AB2AA4"/>
    <w:rsid w:val="00AB2E11"/>
    <w:rsid w:val="00AB2F40"/>
    <w:rsid w:val="00AB412F"/>
    <w:rsid w:val="00AB47AA"/>
    <w:rsid w:val="00AB557E"/>
    <w:rsid w:val="00AB6652"/>
    <w:rsid w:val="00AB73B5"/>
    <w:rsid w:val="00AB7A16"/>
    <w:rsid w:val="00AB7C17"/>
    <w:rsid w:val="00AC00AB"/>
    <w:rsid w:val="00AC16BB"/>
    <w:rsid w:val="00AC25AA"/>
    <w:rsid w:val="00AC28E2"/>
    <w:rsid w:val="00AC2D06"/>
    <w:rsid w:val="00AC38A2"/>
    <w:rsid w:val="00AC415D"/>
    <w:rsid w:val="00AC4DD5"/>
    <w:rsid w:val="00AC4DDF"/>
    <w:rsid w:val="00AC5E2D"/>
    <w:rsid w:val="00AC6243"/>
    <w:rsid w:val="00AC669C"/>
    <w:rsid w:val="00AC70F1"/>
    <w:rsid w:val="00AD00CE"/>
    <w:rsid w:val="00AD1299"/>
    <w:rsid w:val="00AD25DE"/>
    <w:rsid w:val="00AD2B2F"/>
    <w:rsid w:val="00AD343E"/>
    <w:rsid w:val="00AD39F4"/>
    <w:rsid w:val="00AD3BDF"/>
    <w:rsid w:val="00AD4035"/>
    <w:rsid w:val="00AD4AB7"/>
    <w:rsid w:val="00AD4BEA"/>
    <w:rsid w:val="00AD53C7"/>
    <w:rsid w:val="00AD7A30"/>
    <w:rsid w:val="00AE0060"/>
    <w:rsid w:val="00AE0CE6"/>
    <w:rsid w:val="00AE11D3"/>
    <w:rsid w:val="00AE149C"/>
    <w:rsid w:val="00AE156D"/>
    <w:rsid w:val="00AE17D3"/>
    <w:rsid w:val="00AE18E7"/>
    <w:rsid w:val="00AE1BF4"/>
    <w:rsid w:val="00AE213D"/>
    <w:rsid w:val="00AE290E"/>
    <w:rsid w:val="00AE3249"/>
    <w:rsid w:val="00AE3F29"/>
    <w:rsid w:val="00AE3FEB"/>
    <w:rsid w:val="00AE436C"/>
    <w:rsid w:val="00AE446A"/>
    <w:rsid w:val="00AE4C88"/>
    <w:rsid w:val="00AE54AD"/>
    <w:rsid w:val="00AE5C6D"/>
    <w:rsid w:val="00AE5E6A"/>
    <w:rsid w:val="00AE6129"/>
    <w:rsid w:val="00AE6BF9"/>
    <w:rsid w:val="00AE7552"/>
    <w:rsid w:val="00AF015E"/>
    <w:rsid w:val="00AF0333"/>
    <w:rsid w:val="00AF080A"/>
    <w:rsid w:val="00AF097C"/>
    <w:rsid w:val="00AF13B3"/>
    <w:rsid w:val="00AF153E"/>
    <w:rsid w:val="00AF1EF6"/>
    <w:rsid w:val="00AF27D8"/>
    <w:rsid w:val="00AF3464"/>
    <w:rsid w:val="00AF3E5D"/>
    <w:rsid w:val="00AF4C84"/>
    <w:rsid w:val="00AF4FC8"/>
    <w:rsid w:val="00AF6645"/>
    <w:rsid w:val="00AF6F32"/>
    <w:rsid w:val="00AF775D"/>
    <w:rsid w:val="00B00596"/>
    <w:rsid w:val="00B00649"/>
    <w:rsid w:val="00B014DC"/>
    <w:rsid w:val="00B0166A"/>
    <w:rsid w:val="00B02A26"/>
    <w:rsid w:val="00B033F9"/>
    <w:rsid w:val="00B03462"/>
    <w:rsid w:val="00B0521C"/>
    <w:rsid w:val="00B05480"/>
    <w:rsid w:val="00B05A91"/>
    <w:rsid w:val="00B05E20"/>
    <w:rsid w:val="00B068F8"/>
    <w:rsid w:val="00B0707B"/>
    <w:rsid w:val="00B07202"/>
    <w:rsid w:val="00B07618"/>
    <w:rsid w:val="00B1209C"/>
    <w:rsid w:val="00B12BFE"/>
    <w:rsid w:val="00B13A60"/>
    <w:rsid w:val="00B141FD"/>
    <w:rsid w:val="00B14C70"/>
    <w:rsid w:val="00B14ECA"/>
    <w:rsid w:val="00B14FF2"/>
    <w:rsid w:val="00B1506D"/>
    <w:rsid w:val="00B156DB"/>
    <w:rsid w:val="00B16544"/>
    <w:rsid w:val="00B16EF4"/>
    <w:rsid w:val="00B17212"/>
    <w:rsid w:val="00B176CD"/>
    <w:rsid w:val="00B17FD2"/>
    <w:rsid w:val="00B20A49"/>
    <w:rsid w:val="00B20A72"/>
    <w:rsid w:val="00B20CF5"/>
    <w:rsid w:val="00B20FF6"/>
    <w:rsid w:val="00B2115F"/>
    <w:rsid w:val="00B21AA1"/>
    <w:rsid w:val="00B21AA3"/>
    <w:rsid w:val="00B21D19"/>
    <w:rsid w:val="00B21D1B"/>
    <w:rsid w:val="00B2322B"/>
    <w:rsid w:val="00B236FA"/>
    <w:rsid w:val="00B23A92"/>
    <w:rsid w:val="00B24D25"/>
    <w:rsid w:val="00B24E37"/>
    <w:rsid w:val="00B259A8"/>
    <w:rsid w:val="00B261D9"/>
    <w:rsid w:val="00B263FC"/>
    <w:rsid w:val="00B26556"/>
    <w:rsid w:val="00B3002D"/>
    <w:rsid w:val="00B301F3"/>
    <w:rsid w:val="00B31A72"/>
    <w:rsid w:val="00B31C04"/>
    <w:rsid w:val="00B33397"/>
    <w:rsid w:val="00B33A30"/>
    <w:rsid w:val="00B34BBD"/>
    <w:rsid w:val="00B35591"/>
    <w:rsid w:val="00B35F1C"/>
    <w:rsid w:val="00B3615E"/>
    <w:rsid w:val="00B36821"/>
    <w:rsid w:val="00B36AB2"/>
    <w:rsid w:val="00B36CBD"/>
    <w:rsid w:val="00B37458"/>
    <w:rsid w:val="00B4062A"/>
    <w:rsid w:val="00B40755"/>
    <w:rsid w:val="00B40DD0"/>
    <w:rsid w:val="00B41770"/>
    <w:rsid w:val="00B42017"/>
    <w:rsid w:val="00B42261"/>
    <w:rsid w:val="00B42B0A"/>
    <w:rsid w:val="00B4333E"/>
    <w:rsid w:val="00B433D9"/>
    <w:rsid w:val="00B44DF1"/>
    <w:rsid w:val="00B450EA"/>
    <w:rsid w:val="00B45D09"/>
    <w:rsid w:val="00B46978"/>
    <w:rsid w:val="00B46D63"/>
    <w:rsid w:val="00B47917"/>
    <w:rsid w:val="00B47B3C"/>
    <w:rsid w:val="00B47C4B"/>
    <w:rsid w:val="00B47F94"/>
    <w:rsid w:val="00B51CC3"/>
    <w:rsid w:val="00B52C44"/>
    <w:rsid w:val="00B52D2F"/>
    <w:rsid w:val="00B52D42"/>
    <w:rsid w:val="00B53288"/>
    <w:rsid w:val="00B5343C"/>
    <w:rsid w:val="00B53A89"/>
    <w:rsid w:val="00B54E66"/>
    <w:rsid w:val="00B559F0"/>
    <w:rsid w:val="00B57359"/>
    <w:rsid w:val="00B6014C"/>
    <w:rsid w:val="00B6079A"/>
    <w:rsid w:val="00B621FA"/>
    <w:rsid w:val="00B622E9"/>
    <w:rsid w:val="00B627AC"/>
    <w:rsid w:val="00B63486"/>
    <w:rsid w:val="00B635C8"/>
    <w:rsid w:val="00B63885"/>
    <w:rsid w:val="00B63AC2"/>
    <w:rsid w:val="00B63FA7"/>
    <w:rsid w:val="00B64A02"/>
    <w:rsid w:val="00B65947"/>
    <w:rsid w:val="00B66E2C"/>
    <w:rsid w:val="00B671CF"/>
    <w:rsid w:val="00B67962"/>
    <w:rsid w:val="00B67D6F"/>
    <w:rsid w:val="00B70794"/>
    <w:rsid w:val="00B70B32"/>
    <w:rsid w:val="00B70CAC"/>
    <w:rsid w:val="00B70D16"/>
    <w:rsid w:val="00B70FAE"/>
    <w:rsid w:val="00B71668"/>
    <w:rsid w:val="00B74345"/>
    <w:rsid w:val="00B749F1"/>
    <w:rsid w:val="00B74ED1"/>
    <w:rsid w:val="00B75118"/>
    <w:rsid w:val="00B7530D"/>
    <w:rsid w:val="00B77498"/>
    <w:rsid w:val="00B77BDC"/>
    <w:rsid w:val="00B80B96"/>
    <w:rsid w:val="00B80EF2"/>
    <w:rsid w:val="00B817E3"/>
    <w:rsid w:val="00B81AB0"/>
    <w:rsid w:val="00B81E40"/>
    <w:rsid w:val="00B830D8"/>
    <w:rsid w:val="00B86CC8"/>
    <w:rsid w:val="00B871FD"/>
    <w:rsid w:val="00B8733E"/>
    <w:rsid w:val="00B87814"/>
    <w:rsid w:val="00B878DF"/>
    <w:rsid w:val="00B90132"/>
    <w:rsid w:val="00B90504"/>
    <w:rsid w:val="00B907AC"/>
    <w:rsid w:val="00B91E74"/>
    <w:rsid w:val="00B938EC"/>
    <w:rsid w:val="00B939F5"/>
    <w:rsid w:val="00B94251"/>
    <w:rsid w:val="00B949D2"/>
    <w:rsid w:val="00B95172"/>
    <w:rsid w:val="00B95A2B"/>
    <w:rsid w:val="00B95C97"/>
    <w:rsid w:val="00B95DF6"/>
    <w:rsid w:val="00B96D10"/>
    <w:rsid w:val="00B97514"/>
    <w:rsid w:val="00BA0629"/>
    <w:rsid w:val="00BA0D0C"/>
    <w:rsid w:val="00BA1883"/>
    <w:rsid w:val="00BA1DFC"/>
    <w:rsid w:val="00BA2E12"/>
    <w:rsid w:val="00BA3242"/>
    <w:rsid w:val="00BA39C7"/>
    <w:rsid w:val="00BA4426"/>
    <w:rsid w:val="00BA4D71"/>
    <w:rsid w:val="00BA50C0"/>
    <w:rsid w:val="00BA71AE"/>
    <w:rsid w:val="00BB0729"/>
    <w:rsid w:val="00BB0D5F"/>
    <w:rsid w:val="00BB1AD6"/>
    <w:rsid w:val="00BB1E18"/>
    <w:rsid w:val="00BB308B"/>
    <w:rsid w:val="00BB473C"/>
    <w:rsid w:val="00BB473D"/>
    <w:rsid w:val="00BB474F"/>
    <w:rsid w:val="00BB4A77"/>
    <w:rsid w:val="00BB5ACD"/>
    <w:rsid w:val="00BB5D58"/>
    <w:rsid w:val="00BB5D8E"/>
    <w:rsid w:val="00BB6DCF"/>
    <w:rsid w:val="00BC0889"/>
    <w:rsid w:val="00BC0CAC"/>
    <w:rsid w:val="00BC14D8"/>
    <w:rsid w:val="00BC1FD3"/>
    <w:rsid w:val="00BC274E"/>
    <w:rsid w:val="00BC2DCB"/>
    <w:rsid w:val="00BC3C9C"/>
    <w:rsid w:val="00BC45ED"/>
    <w:rsid w:val="00BC6719"/>
    <w:rsid w:val="00BC70E7"/>
    <w:rsid w:val="00BC720A"/>
    <w:rsid w:val="00BD03BD"/>
    <w:rsid w:val="00BD069C"/>
    <w:rsid w:val="00BD092F"/>
    <w:rsid w:val="00BD0950"/>
    <w:rsid w:val="00BD0B85"/>
    <w:rsid w:val="00BD11E8"/>
    <w:rsid w:val="00BD20D7"/>
    <w:rsid w:val="00BD21F3"/>
    <w:rsid w:val="00BD22AC"/>
    <w:rsid w:val="00BD35A0"/>
    <w:rsid w:val="00BD3C34"/>
    <w:rsid w:val="00BD3DEE"/>
    <w:rsid w:val="00BD4845"/>
    <w:rsid w:val="00BD4923"/>
    <w:rsid w:val="00BD538D"/>
    <w:rsid w:val="00BD632F"/>
    <w:rsid w:val="00BD6BBE"/>
    <w:rsid w:val="00BE052C"/>
    <w:rsid w:val="00BE1497"/>
    <w:rsid w:val="00BE1677"/>
    <w:rsid w:val="00BE1931"/>
    <w:rsid w:val="00BE2F90"/>
    <w:rsid w:val="00BE37D4"/>
    <w:rsid w:val="00BE4D95"/>
    <w:rsid w:val="00BE5060"/>
    <w:rsid w:val="00BE59DD"/>
    <w:rsid w:val="00BE643A"/>
    <w:rsid w:val="00BE6BF6"/>
    <w:rsid w:val="00BE6F9D"/>
    <w:rsid w:val="00BE7B28"/>
    <w:rsid w:val="00BF094C"/>
    <w:rsid w:val="00BF0EC0"/>
    <w:rsid w:val="00BF1819"/>
    <w:rsid w:val="00BF1D3F"/>
    <w:rsid w:val="00BF2E06"/>
    <w:rsid w:val="00BF31FF"/>
    <w:rsid w:val="00BF384D"/>
    <w:rsid w:val="00BF3EAA"/>
    <w:rsid w:val="00BF4213"/>
    <w:rsid w:val="00BF49F0"/>
    <w:rsid w:val="00BF4AE0"/>
    <w:rsid w:val="00BF5734"/>
    <w:rsid w:val="00BF5CC7"/>
    <w:rsid w:val="00BF5FF6"/>
    <w:rsid w:val="00BF632E"/>
    <w:rsid w:val="00BF6431"/>
    <w:rsid w:val="00BF666C"/>
    <w:rsid w:val="00BF6C8F"/>
    <w:rsid w:val="00BF78A6"/>
    <w:rsid w:val="00BF7CAE"/>
    <w:rsid w:val="00C01C68"/>
    <w:rsid w:val="00C02675"/>
    <w:rsid w:val="00C02983"/>
    <w:rsid w:val="00C03521"/>
    <w:rsid w:val="00C04016"/>
    <w:rsid w:val="00C05350"/>
    <w:rsid w:val="00C061DC"/>
    <w:rsid w:val="00C06A53"/>
    <w:rsid w:val="00C06DDE"/>
    <w:rsid w:val="00C070E4"/>
    <w:rsid w:val="00C071EB"/>
    <w:rsid w:val="00C07317"/>
    <w:rsid w:val="00C10BA2"/>
    <w:rsid w:val="00C1115C"/>
    <w:rsid w:val="00C111FA"/>
    <w:rsid w:val="00C1149E"/>
    <w:rsid w:val="00C115EB"/>
    <w:rsid w:val="00C11C53"/>
    <w:rsid w:val="00C1264D"/>
    <w:rsid w:val="00C127E6"/>
    <w:rsid w:val="00C131A4"/>
    <w:rsid w:val="00C13207"/>
    <w:rsid w:val="00C13B8A"/>
    <w:rsid w:val="00C1473F"/>
    <w:rsid w:val="00C1499B"/>
    <w:rsid w:val="00C1582D"/>
    <w:rsid w:val="00C15F84"/>
    <w:rsid w:val="00C17EF9"/>
    <w:rsid w:val="00C17F2E"/>
    <w:rsid w:val="00C2017B"/>
    <w:rsid w:val="00C202EB"/>
    <w:rsid w:val="00C205F9"/>
    <w:rsid w:val="00C20FA2"/>
    <w:rsid w:val="00C21176"/>
    <w:rsid w:val="00C221D0"/>
    <w:rsid w:val="00C226A5"/>
    <w:rsid w:val="00C226FF"/>
    <w:rsid w:val="00C229F7"/>
    <w:rsid w:val="00C23360"/>
    <w:rsid w:val="00C2347B"/>
    <w:rsid w:val="00C23508"/>
    <w:rsid w:val="00C2486B"/>
    <w:rsid w:val="00C24C23"/>
    <w:rsid w:val="00C25AB6"/>
    <w:rsid w:val="00C25DE4"/>
    <w:rsid w:val="00C265CA"/>
    <w:rsid w:val="00C26D9B"/>
    <w:rsid w:val="00C278DE"/>
    <w:rsid w:val="00C30203"/>
    <w:rsid w:val="00C307E4"/>
    <w:rsid w:val="00C30934"/>
    <w:rsid w:val="00C311B0"/>
    <w:rsid w:val="00C3141D"/>
    <w:rsid w:val="00C318BC"/>
    <w:rsid w:val="00C31A8C"/>
    <w:rsid w:val="00C31B00"/>
    <w:rsid w:val="00C32CD0"/>
    <w:rsid w:val="00C342E1"/>
    <w:rsid w:val="00C3453B"/>
    <w:rsid w:val="00C34D4D"/>
    <w:rsid w:val="00C358D6"/>
    <w:rsid w:val="00C35D64"/>
    <w:rsid w:val="00C36A62"/>
    <w:rsid w:val="00C37489"/>
    <w:rsid w:val="00C37DCF"/>
    <w:rsid w:val="00C40097"/>
    <w:rsid w:val="00C4060B"/>
    <w:rsid w:val="00C40A17"/>
    <w:rsid w:val="00C40BA5"/>
    <w:rsid w:val="00C40BB2"/>
    <w:rsid w:val="00C40EC1"/>
    <w:rsid w:val="00C417A7"/>
    <w:rsid w:val="00C42277"/>
    <w:rsid w:val="00C4288D"/>
    <w:rsid w:val="00C441C0"/>
    <w:rsid w:val="00C44507"/>
    <w:rsid w:val="00C4623A"/>
    <w:rsid w:val="00C47491"/>
    <w:rsid w:val="00C47BEA"/>
    <w:rsid w:val="00C50820"/>
    <w:rsid w:val="00C50B30"/>
    <w:rsid w:val="00C52E08"/>
    <w:rsid w:val="00C531FE"/>
    <w:rsid w:val="00C533D6"/>
    <w:rsid w:val="00C545F3"/>
    <w:rsid w:val="00C54769"/>
    <w:rsid w:val="00C54FDF"/>
    <w:rsid w:val="00C55AAC"/>
    <w:rsid w:val="00C5609E"/>
    <w:rsid w:val="00C5644F"/>
    <w:rsid w:val="00C56C01"/>
    <w:rsid w:val="00C56F5E"/>
    <w:rsid w:val="00C5704C"/>
    <w:rsid w:val="00C572F2"/>
    <w:rsid w:val="00C5750E"/>
    <w:rsid w:val="00C575C2"/>
    <w:rsid w:val="00C605CA"/>
    <w:rsid w:val="00C6076C"/>
    <w:rsid w:val="00C6197C"/>
    <w:rsid w:val="00C622B4"/>
    <w:rsid w:val="00C62D38"/>
    <w:rsid w:val="00C63A54"/>
    <w:rsid w:val="00C644FF"/>
    <w:rsid w:val="00C657C5"/>
    <w:rsid w:val="00C65E91"/>
    <w:rsid w:val="00C65F31"/>
    <w:rsid w:val="00C661D7"/>
    <w:rsid w:val="00C662F6"/>
    <w:rsid w:val="00C67BC4"/>
    <w:rsid w:val="00C707DB"/>
    <w:rsid w:val="00C70EFD"/>
    <w:rsid w:val="00C71259"/>
    <w:rsid w:val="00C716B3"/>
    <w:rsid w:val="00C717E8"/>
    <w:rsid w:val="00C72829"/>
    <w:rsid w:val="00C73072"/>
    <w:rsid w:val="00C7449B"/>
    <w:rsid w:val="00C757B6"/>
    <w:rsid w:val="00C7697A"/>
    <w:rsid w:val="00C76BF8"/>
    <w:rsid w:val="00C76C98"/>
    <w:rsid w:val="00C77BFF"/>
    <w:rsid w:val="00C80355"/>
    <w:rsid w:val="00C80607"/>
    <w:rsid w:val="00C80D6B"/>
    <w:rsid w:val="00C80F13"/>
    <w:rsid w:val="00C81B8C"/>
    <w:rsid w:val="00C841A0"/>
    <w:rsid w:val="00C84C42"/>
    <w:rsid w:val="00C84C4B"/>
    <w:rsid w:val="00C859DC"/>
    <w:rsid w:val="00C863A8"/>
    <w:rsid w:val="00C86822"/>
    <w:rsid w:val="00C86F28"/>
    <w:rsid w:val="00C878BA"/>
    <w:rsid w:val="00C87D89"/>
    <w:rsid w:val="00C9002B"/>
    <w:rsid w:val="00C903AD"/>
    <w:rsid w:val="00C9042C"/>
    <w:rsid w:val="00C92B40"/>
    <w:rsid w:val="00C9332E"/>
    <w:rsid w:val="00C93ACB"/>
    <w:rsid w:val="00C942F3"/>
    <w:rsid w:val="00C94FB3"/>
    <w:rsid w:val="00C95707"/>
    <w:rsid w:val="00C96781"/>
    <w:rsid w:val="00C969D1"/>
    <w:rsid w:val="00C96BB0"/>
    <w:rsid w:val="00C9729C"/>
    <w:rsid w:val="00C97DFC"/>
    <w:rsid w:val="00CA00C2"/>
    <w:rsid w:val="00CA128B"/>
    <w:rsid w:val="00CA1F09"/>
    <w:rsid w:val="00CA2965"/>
    <w:rsid w:val="00CA37B5"/>
    <w:rsid w:val="00CA3AA8"/>
    <w:rsid w:val="00CA3B7B"/>
    <w:rsid w:val="00CA3C73"/>
    <w:rsid w:val="00CA3DAF"/>
    <w:rsid w:val="00CA4273"/>
    <w:rsid w:val="00CA4A4C"/>
    <w:rsid w:val="00CA52FA"/>
    <w:rsid w:val="00CA5574"/>
    <w:rsid w:val="00CA5A13"/>
    <w:rsid w:val="00CA68DD"/>
    <w:rsid w:val="00CA6BAA"/>
    <w:rsid w:val="00CA7588"/>
    <w:rsid w:val="00CB06A8"/>
    <w:rsid w:val="00CB0D90"/>
    <w:rsid w:val="00CB1136"/>
    <w:rsid w:val="00CB1682"/>
    <w:rsid w:val="00CB1BC5"/>
    <w:rsid w:val="00CB1D55"/>
    <w:rsid w:val="00CB233E"/>
    <w:rsid w:val="00CB2585"/>
    <w:rsid w:val="00CB25EA"/>
    <w:rsid w:val="00CB4080"/>
    <w:rsid w:val="00CB41AF"/>
    <w:rsid w:val="00CB4FAC"/>
    <w:rsid w:val="00CB55FA"/>
    <w:rsid w:val="00CB5915"/>
    <w:rsid w:val="00CB5B06"/>
    <w:rsid w:val="00CB6940"/>
    <w:rsid w:val="00CB69A1"/>
    <w:rsid w:val="00CB74DA"/>
    <w:rsid w:val="00CC0111"/>
    <w:rsid w:val="00CC1808"/>
    <w:rsid w:val="00CC1B48"/>
    <w:rsid w:val="00CC2262"/>
    <w:rsid w:val="00CC2B84"/>
    <w:rsid w:val="00CC309D"/>
    <w:rsid w:val="00CC30B1"/>
    <w:rsid w:val="00CC384F"/>
    <w:rsid w:val="00CC3A04"/>
    <w:rsid w:val="00CC3F37"/>
    <w:rsid w:val="00CC4995"/>
    <w:rsid w:val="00CC541A"/>
    <w:rsid w:val="00CC55CC"/>
    <w:rsid w:val="00CC58CA"/>
    <w:rsid w:val="00CC5E84"/>
    <w:rsid w:val="00CC7D1C"/>
    <w:rsid w:val="00CD02A7"/>
    <w:rsid w:val="00CD0899"/>
    <w:rsid w:val="00CD0984"/>
    <w:rsid w:val="00CD224A"/>
    <w:rsid w:val="00CD240B"/>
    <w:rsid w:val="00CD2996"/>
    <w:rsid w:val="00CD3F29"/>
    <w:rsid w:val="00CD3FCB"/>
    <w:rsid w:val="00CD46E6"/>
    <w:rsid w:val="00CD4C9A"/>
    <w:rsid w:val="00CD4DCF"/>
    <w:rsid w:val="00CD53E1"/>
    <w:rsid w:val="00CD54F2"/>
    <w:rsid w:val="00CD6655"/>
    <w:rsid w:val="00CD70A7"/>
    <w:rsid w:val="00CD771F"/>
    <w:rsid w:val="00CE0946"/>
    <w:rsid w:val="00CE0B00"/>
    <w:rsid w:val="00CE0C4B"/>
    <w:rsid w:val="00CE21AC"/>
    <w:rsid w:val="00CE31F6"/>
    <w:rsid w:val="00CE32B2"/>
    <w:rsid w:val="00CE3420"/>
    <w:rsid w:val="00CE3452"/>
    <w:rsid w:val="00CE35B8"/>
    <w:rsid w:val="00CE3F41"/>
    <w:rsid w:val="00CE4489"/>
    <w:rsid w:val="00CE59B8"/>
    <w:rsid w:val="00CE7048"/>
    <w:rsid w:val="00CE7E13"/>
    <w:rsid w:val="00CF015C"/>
    <w:rsid w:val="00CF0C20"/>
    <w:rsid w:val="00CF0D02"/>
    <w:rsid w:val="00CF0D2F"/>
    <w:rsid w:val="00CF1000"/>
    <w:rsid w:val="00CF1AC5"/>
    <w:rsid w:val="00CF1D86"/>
    <w:rsid w:val="00CF21F5"/>
    <w:rsid w:val="00CF32D2"/>
    <w:rsid w:val="00CF64E1"/>
    <w:rsid w:val="00CF67EE"/>
    <w:rsid w:val="00CF7AB0"/>
    <w:rsid w:val="00D00033"/>
    <w:rsid w:val="00D00095"/>
    <w:rsid w:val="00D006FC"/>
    <w:rsid w:val="00D01A18"/>
    <w:rsid w:val="00D02402"/>
    <w:rsid w:val="00D025C8"/>
    <w:rsid w:val="00D03FB5"/>
    <w:rsid w:val="00D04755"/>
    <w:rsid w:val="00D05633"/>
    <w:rsid w:val="00D057DD"/>
    <w:rsid w:val="00D05994"/>
    <w:rsid w:val="00D05D12"/>
    <w:rsid w:val="00D05D3F"/>
    <w:rsid w:val="00D0661E"/>
    <w:rsid w:val="00D06D7C"/>
    <w:rsid w:val="00D07D8B"/>
    <w:rsid w:val="00D07E1B"/>
    <w:rsid w:val="00D111FB"/>
    <w:rsid w:val="00D11479"/>
    <w:rsid w:val="00D11790"/>
    <w:rsid w:val="00D1182D"/>
    <w:rsid w:val="00D12463"/>
    <w:rsid w:val="00D12A16"/>
    <w:rsid w:val="00D13ED9"/>
    <w:rsid w:val="00D1406D"/>
    <w:rsid w:val="00D14B3E"/>
    <w:rsid w:val="00D14E2C"/>
    <w:rsid w:val="00D14E9B"/>
    <w:rsid w:val="00D1516B"/>
    <w:rsid w:val="00D151C7"/>
    <w:rsid w:val="00D15ADA"/>
    <w:rsid w:val="00D164AE"/>
    <w:rsid w:val="00D165BE"/>
    <w:rsid w:val="00D1746D"/>
    <w:rsid w:val="00D17A82"/>
    <w:rsid w:val="00D20581"/>
    <w:rsid w:val="00D2209B"/>
    <w:rsid w:val="00D22A12"/>
    <w:rsid w:val="00D231BE"/>
    <w:rsid w:val="00D23AEE"/>
    <w:rsid w:val="00D23F6A"/>
    <w:rsid w:val="00D242ED"/>
    <w:rsid w:val="00D24B10"/>
    <w:rsid w:val="00D24DBE"/>
    <w:rsid w:val="00D24EC6"/>
    <w:rsid w:val="00D25543"/>
    <w:rsid w:val="00D257F7"/>
    <w:rsid w:val="00D26250"/>
    <w:rsid w:val="00D264B5"/>
    <w:rsid w:val="00D26A65"/>
    <w:rsid w:val="00D26B53"/>
    <w:rsid w:val="00D27A24"/>
    <w:rsid w:val="00D27C88"/>
    <w:rsid w:val="00D3060D"/>
    <w:rsid w:val="00D30817"/>
    <w:rsid w:val="00D31978"/>
    <w:rsid w:val="00D31BD9"/>
    <w:rsid w:val="00D3298E"/>
    <w:rsid w:val="00D32A7F"/>
    <w:rsid w:val="00D33742"/>
    <w:rsid w:val="00D33FF5"/>
    <w:rsid w:val="00D34190"/>
    <w:rsid w:val="00D3690C"/>
    <w:rsid w:val="00D3694E"/>
    <w:rsid w:val="00D36A32"/>
    <w:rsid w:val="00D36F10"/>
    <w:rsid w:val="00D37797"/>
    <w:rsid w:val="00D37AFC"/>
    <w:rsid w:val="00D37F0F"/>
    <w:rsid w:val="00D40FBF"/>
    <w:rsid w:val="00D41C90"/>
    <w:rsid w:val="00D420EB"/>
    <w:rsid w:val="00D423F3"/>
    <w:rsid w:val="00D42E2E"/>
    <w:rsid w:val="00D4321B"/>
    <w:rsid w:val="00D4389C"/>
    <w:rsid w:val="00D43C80"/>
    <w:rsid w:val="00D442B4"/>
    <w:rsid w:val="00D447A5"/>
    <w:rsid w:val="00D44A44"/>
    <w:rsid w:val="00D44EAC"/>
    <w:rsid w:val="00D453F4"/>
    <w:rsid w:val="00D458FB"/>
    <w:rsid w:val="00D45BA9"/>
    <w:rsid w:val="00D47717"/>
    <w:rsid w:val="00D47ADC"/>
    <w:rsid w:val="00D50387"/>
    <w:rsid w:val="00D50A35"/>
    <w:rsid w:val="00D514F4"/>
    <w:rsid w:val="00D5181F"/>
    <w:rsid w:val="00D51AD7"/>
    <w:rsid w:val="00D520F3"/>
    <w:rsid w:val="00D521CC"/>
    <w:rsid w:val="00D52506"/>
    <w:rsid w:val="00D52CD7"/>
    <w:rsid w:val="00D532E6"/>
    <w:rsid w:val="00D539EF"/>
    <w:rsid w:val="00D53CC9"/>
    <w:rsid w:val="00D53DFB"/>
    <w:rsid w:val="00D5472C"/>
    <w:rsid w:val="00D5486A"/>
    <w:rsid w:val="00D554CF"/>
    <w:rsid w:val="00D55EE6"/>
    <w:rsid w:val="00D55EE9"/>
    <w:rsid w:val="00D56070"/>
    <w:rsid w:val="00D567A0"/>
    <w:rsid w:val="00D57329"/>
    <w:rsid w:val="00D57CF9"/>
    <w:rsid w:val="00D601FC"/>
    <w:rsid w:val="00D609CD"/>
    <w:rsid w:val="00D61529"/>
    <w:rsid w:val="00D623C3"/>
    <w:rsid w:val="00D63032"/>
    <w:rsid w:val="00D6312C"/>
    <w:rsid w:val="00D63CAE"/>
    <w:rsid w:val="00D6418E"/>
    <w:rsid w:val="00D64881"/>
    <w:rsid w:val="00D64C4C"/>
    <w:rsid w:val="00D65302"/>
    <w:rsid w:val="00D65D4B"/>
    <w:rsid w:val="00D66535"/>
    <w:rsid w:val="00D67877"/>
    <w:rsid w:val="00D67FCF"/>
    <w:rsid w:val="00D70C0B"/>
    <w:rsid w:val="00D714E9"/>
    <w:rsid w:val="00D71FDA"/>
    <w:rsid w:val="00D723BE"/>
    <w:rsid w:val="00D7258E"/>
    <w:rsid w:val="00D725DB"/>
    <w:rsid w:val="00D7275D"/>
    <w:rsid w:val="00D72AE1"/>
    <w:rsid w:val="00D735CC"/>
    <w:rsid w:val="00D738E6"/>
    <w:rsid w:val="00D73D52"/>
    <w:rsid w:val="00D73D5A"/>
    <w:rsid w:val="00D74D30"/>
    <w:rsid w:val="00D75351"/>
    <w:rsid w:val="00D754D5"/>
    <w:rsid w:val="00D759FD"/>
    <w:rsid w:val="00D76CC3"/>
    <w:rsid w:val="00D76D2F"/>
    <w:rsid w:val="00D77FE6"/>
    <w:rsid w:val="00D827F9"/>
    <w:rsid w:val="00D82AFD"/>
    <w:rsid w:val="00D82DD9"/>
    <w:rsid w:val="00D82F7A"/>
    <w:rsid w:val="00D84026"/>
    <w:rsid w:val="00D84130"/>
    <w:rsid w:val="00D84770"/>
    <w:rsid w:val="00D84C23"/>
    <w:rsid w:val="00D860D7"/>
    <w:rsid w:val="00D86597"/>
    <w:rsid w:val="00D86707"/>
    <w:rsid w:val="00D86EF3"/>
    <w:rsid w:val="00D87101"/>
    <w:rsid w:val="00D87A6E"/>
    <w:rsid w:val="00D87E89"/>
    <w:rsid w:val="00D90A2D"/>
    <w:rsid w:val="00D90AFF"/>
    <w:rsid w:val="00D91112"/>
    <w:rsid w:val="00D915FF"/>
    <w:rsid w:val="00D91D50"/>
    <w:rsid w:val="00D9354F"/>
    <w:rsid w:val="00D96208"/>
    <w:rsid w:val="00D971C5"/>
    <w:rsid w:val="00D97356"/>
    <w:rsid w:val="00D97789"/>
    <w:rsid w:val="00D979B3"/>
    <w:rsid w:val="00D97CC9"/>
    <w:rsid w:val="00D97D3A"/>
    <w:rsid w:val="00DA002A"/>
    <w:rsid w:val="00DA0706"/>
    <w:rsid w:val="00DA090B"/>
    <w:rsid w:val="00DA3D9A"/>
    <w:rsid w:val="00DA55BE"/>
    <w:rsid w:val="00DA5649"/>
    <w:rsid w:val="00DA5726"/>
    <w:rsid w:val="00DA5CB9"/>
    <w:rsid w:val="00DA6058"/>
    <w:rsid w:val="00DA7F34"/>
    <w:rsid w:val="00DB0C08"/>
    <w:rsid w:val="00DB124C"/>
    <w:rsid w:val="00DB21CA"/>
    <w:rsid w:val="00DB2622"/>
    <w:rsid w:val="00DB266A"/>
    <w:rsid w:val="00DB290D"/>
    <w:rsid w:val="00DB2C75"/>
    <w:rsid w:val="00DB4D8A"/>
    <w:rsid w:val="00DB6A02"/>
    <w:rsid w:val="00DB6B31"/>
    <w:rsid w:val="00DB72B4"/>
    <w:rsid w:val="00DB7961"/>
    <w:rsid w:val="00DC1786"/>
    <w:rsid w:val="00DC2461"/>
    <w:rsid w:val="00DC2931"/>
    <w:rsid w:val="00DC3776"/>
    <w:rsid w:val="00DC3932"/>
    <w:rsid w:val="00DC4D6E"/>
    <w:rsid w:val="00DC5081"/>
    <w:rsid w:val="00DC61A0"/>
    <w:rsid w:val="00DC62D9"/>
    <w:rsid w:val="00DC698C"/>
    <w:rsid w:val="00DC7354"/>
    <w:rsid w:val="00DC736B"/>
    <w:rsid w:val="00DC7607"/>
    <w:rsid w:val="00DC77E0"/>
    <w:rsid w:val="00DD063F"/>
    <w:rsid w:val="00DD0B63"/>
    <w:rsid w:val="00DD11A4"/>
    <w:rsid w:val="00DD1D1F"/>
    <w:rsid w:val="00DD1E93"/>
    <w:rsid w:val="00DD23B1"/>
    <w:rsid w:val="00DD3172"/>
    <w:rsid w:val="00DD3237"/>
    <w:rsid w:val="00DD359C"/>
    <w:rsid w:val="00DD42CE"/>
    <w:rsid w:val="00DD45E7"/>
    <w:rsid w:val="00DD493E"/>
    <w:rsid w:val="00DD57EE"/>
    <w:rsid w:val="00DD59A3"/>
    <w:rsid w:val="00DD632D"/>
    <w:rsid w:val="00DD6A7C"/>
    <w:rsid w:val="00DD7BA5"/>
    <w:rsid w:val="00DE0AC2"/>
    <w:rsid w:val="00DE0C0F"/>
    <w:rsid w:val="00DE0D7C"/>
    <w:rsid w:val="00DE1D92"/>
    <w:rsid w:val="00DE1E56"/>
    <w:rsid w:val="00DE24E6"/>
    <w:rsid w:val="00DE3394"/>
    <w:rsid w:val="00DE37D8"/>
    <w:rsid w:val="00DE3C40"/>
    <w:rsid w:val="00DE3CA8"/>
    <w:rsid w:val="00DE3D79"/>
    <w:rsid w:val="00DE465F"/>
    <w:rsid w:val="00DE4E3A"/>
    <w:rsid w:val="00DE5A3E"/>
    <w:rsid w:val="00DE5C34"/>
    <w:rsid w:val="00DE5C82"/>
    <w:rsid w:val="00DE5E22"/>
    <w:rsid w:val="00DE64B8"/>
    <w:rsid w:val="00DE6F4B"/>
    <w:rsid w:val="00DE6F79"/>
    <w:rsid w:val="00DE71DE"/>
    <w:rsid w:val="00DE7296"/>
    <w:rsid w:val="00DE7648"/>
    <w:rsid w:val="00DE77D8"/>
    <w:rsid w:val="00DE79B0"/>
    <w:rsid w:val="00DF0C99"/>
    <w:rsid w:val="00DF2389"/>
    <w:rsid w:val="00DF24C8"/>
    <w:rsid w:val="00DF3895"/>
    <w:rsid w:val="00DF6278"/>
    <w:rsid w:val="00DF66C5"/>
    <w:rsid w:val="00DF6838"/>
    <w:rsid w:val="00DF6E43"/>
    <w:rsid w:val="00DF7589"/>
    <w:rsid w:val="00DF75D3"/>
    <w:rsid w:val="00DF7B94"/>
    <w:rsid w:val="00E0042E"/>
    <w:rsid w:val="00E006EB"/>
    <w:rsid w:val="00E01F1B"/>
    <w:rsid w:val="00E026D4"/>
    <w:rsid w:val="00E02EF7"/>
    <w:rsid w:val="00E03D34"/>
    <w:rsid w:val="00E03DEA"/>
    <w:rsid w:val="00E05AB9"/>
    <w:rsid w:val="00E05CE5"/>
    <w:rsid w:val="00E05D4E"/>
    <w:rsid w:val="00E063B1"/>
    <w:rsid w:val="00E066E9"/>
    <w:rsid w:val="00E06B2E"/>
    <w:rsid w:val="00E07196"/>
    <w:rsid w:val="00E073D6"/>
    <w:rsid w:val="00E07732"/>
    <w:rsid w:val="00E07A10"/>
    <w:rsid w:val="00E10180"/>
    <w:rsid w:val="00E1027A"/>
    <w:rsid w:val="00E106EE"/>
    <w:rsid w:val="00E108FF"/>
    <w:rsid w:val="00E11BA0"/>
    <w:rsid w:val="00E13025"/>
    <w:rsid w:val="00E133B6"/>
    <w:rsid w:val="00E138E1"/>
    <w:rsid w:val="00E15A4B"/>
    <w:rsid w:val="00E16392"/>
    <w:rsid w:val="00E16A29"/>
    <w:rsid w:val="00E16F39"/>
    <w:rsid w:val="00E17B4A"/>
    <w:rsid w:val="00E20265"/>
    <w:rsid w:val="00E21584"/>
    <w:rsid w:val="00E21E8D"/>
    <w:rsid w:val="00E227CB"/>
    <w:rsid w:val="00E23213"/>
    <w:rsid w:val="00E2356C"/>
    <w:rsid w:val="00E24284"/>
    <w:rsid w:val="00E24479"/>
    <w:rsid w:val="00E245FE"/>
    <w:rsid w:val="00E24ACD"/>
    <w:rsid w:val="00E24B66"/>
    <w:rsid w:val="00E251BD"/>
    <w:rsid w:val="00E25A59"/>
    <w:rsid w:val="00E264E8"/>
    <w:rsid w:val="00E26965"/>
    <w:rsid w:val="00E26A27"/>
    <w:rsid w:val="00E2787C"/>
    <w:rsid w:val="00E27C88"/>
    <w:rsid w:val="00E27EDC"/>
    <w:rsid w:val="00E30550"/>
    <w:rsid w:val="00E3055C"/>
    <w:rsid w:val="00E31CC4"/>
    <w:rsid w:val="00E32209"/>
    <w:rsid w:val="00E3225F"/>
    <w:rsid w:val="00E330D8"/>
    <w:rsid w:val="00E33810"/>
    <w:rsid w:val="00E33A5C"/>
    <w:rsid w:val="00E33B6A"/>
    <w:rsid w:val="00E35A4E"/>
    <w:rsid w:val="00E35F69"/>
    <w:rsid w:val="00E36B42"/>
    <w:rsid w:val="00E36C8E"/>
    <w:rsid w:val="00E376A8"/>
    <w:rsid w:val="00E40643"/>
    <w:rsid w:val="00E40677"/>
    <w:rsid w:val="00E412C2"/>
    <w:rsid w:val="00E412CA"/>
    <w:rsid w:val="00E41314"/>
    <w:rsid w:val="00E415CF"/>
    <w:rsid w:val="00E41A92"/>
    <w:rsid w:val="00E41CFF"/>
    <w:rsid w:val="00E41ED9"/>
    <w:rsid w:val="00E4289B"/>
    <w:rsid w:val="00E431FA"/>
    <w:rsid w:val="00E43609"/>
    <w:rsid w:val="00E43C27"/>
    <w:rsid w:val="00E44507"/>
    <w:rsid w:val="00E445AC"/>
    <w:rsid w:val="00E4504F"/>
    <w:rsid w:val="00E450C6"/>
    <w:rsid w:val="00E451F3"/>
    <w:rsid w:val="00E45D59"/>
    <w:rsid w:val="00E45E0D"/>
    <w:rsid w:val="00E4609F"/>
    <w:rsid w:val="00E466F4"/>
    <w:rsid w:val="00E467E8"/>
    <w:rsid w:val="00E46AED"/>
    <w:rsid w:val="00E47AE8"/>
    <w:rsid w:val="00E5010F"/>
    <w:rsid w:val="00E50386"/>
    <w:rsid w:val="00E50B80"/>
    <w:rsid w:val="00E51393"/>
    <w:rsid w:val="00E522ED"/>
    <w:rsid w:val="00E5282E"/>
    <w:rsid w:val="00E52C87"/>
    <w:rsid w:val="00E52CC2"/>
    <w:rsid w:val="00E53111"/>
    <w:rsid w:val="00E5389D"/>
    <w:rsid w:val="00E548FB"/>
    <w:rsid w:val="00E54FB7"/>
    <w:rsid w:val="00E553AE"/>
    <w:rsid w:val="00E56375"/>
    <w:rsid w:val="00E56AE6"/>
    <w:rsid w:val="00E56C41"/>
    <w:rsid w:val="00E60173"/>
    <w:rsid w:val="00E60722"/>
    <w:rsid w:val="00E63B9B"/>
    <w:rsid w:val="00E63BEA"/>
    <w:rsid w:val="00E641D6"/>
    <w:rsid w:val="00E656D7"/>
    <w:rsid w:val="00E6575A"/>
    <w:rsid w:val="00E670B4"/>
    <w:rsid w:val="00E67413"/>
    <w:rsid w:val="00E679EC"/>
    <w:rsid w:val="00E70719"/>
    <w:rsid w:val="00E70DB6"/>
    <w:rsid w:val="00E719E0"/>
    <w:rsid w:val="00E71C38"/>
    <w:rsid w:val="00E725FD"/>
    <w:rsid w:val="00E72B6E"/>
    <w:rsid w:val="00E73237"/>
    <w:rsid w:val="00E7374B"/>
    <w:rsid w:val="00E73BCA"/>
    <w:rsid w:val="00E73D5B"/>
    <w:rsid w:val="00E745FE"/>
    <w:rsid w:val="00E7554D"/>
    <w:rsid w:val="00E77370"/>
    <w:rsid w:val="00E77C56"/>
    <w:rsid w:val="00E80705"/>
    <w:rsid w:val="00E8081A"/>
    <w:rsid w:val="00E80886"/>
    <w:rsid w:val="00E814D4"/>
    <w:rsid w:val="00E816C1"/>
    <w:rsid w:val="00E81CCC"/>
    <w:rsid w:val="00E8218D"/>
    <w:rsid w:val="00E82C2E"/>
    <w:rsid w:val="00E82DC3"/>
    <w:rsid w:val="00E85477"/>
    <w:rsid w:val="00E857CC"/>
    <w:rsid w:val="00E86659"/>
    <w:rsid w:val="00E868C8"/>
    <w:rsid w:val="00E86ACA"/>
    <w:rsid w:val="00E86FE5"/>
    <w:rsid w:val="00E87D66"/>
    <w:rsid w:val="00E9016D"/>
    <w:rsid w:val="00E905DF"/>
    <w:rsid w:val="00E9144E"/>
    <w:rsid w:val="00E91460"/>
    <w:rsid w:val="00E91824"/>
    <w:rsid w:val="00E93176"/>
    <w:rsid w:val="00E9334A"/>
    <w:rsid w:val="00E93E5D"/>
    <w:rsid w:val="00E95776"/>
    <w:rsid w:val="00E96BB7"/>
    <w:rsid w:val="00E979E3"/>
    <w:rsid w:val="00E97A4D"/>
    <w:rsid w:val="00EA01E9"/>
    <w:rsid w:val="00EA1A71"/>
    <w:rsid w:val="00EA1D52"/>
    <w:rsid w:val="00EA2876"/>
    <w:rsid w:val="00EA2E4F"/>
    <w:rsid w:val="00EA322E"/>
    <w:rsid w:val="00EA3499"/>
    <w:rsid w:val="00EA3BF5"/>
    <w:rsid w:val="00EA4B8A"/>
    <w:rsid w:val="00EA6C66"/>
    <w:rsid w:val="00EA6DED"/>
    <w:rsid w:val="00EA78E6"/>
    <w:rsid w:val="00EB05E7"/>
    <w:rsid w:val="00EB0DDE"/>
    <w:rsid w:val="00EB10CE"/>
    <w:rsid w:val="00EB179C"/>
    <w:rsid w:val="00EB230F"/>
    <w:rsid w:val="00EB323E"/>
    <w:rsid w:val="00EB33BF"/>
    <w:rsid w:val="00EB33F7"/>
    <w:rsid w:val="00EB40A1"/>
    <w:rsid w:val="00EB43DC"/>
    <w:rsid w:val="00EB5695"/>
    <w:rsid w:val="00EB7027"/>
    <w:rsid w:val="00EB766D"/>
    <w:rsid w:val="00EC08A7"/>
    <w:rsid w:val="00EC0A48"/>
    <w:rsid w:val="00EC100F"/>
    <w:rsid w:val="00EC3E6C"/>
    <w:rsid w:val="00EC5223"/>
    <w:rsid w:val="00EC57C4"/>
    <w:rsid w:val="00EC646E"/>
    <w:rsid w:val="00EC6639"/>
    <w:rsid w:val="00EC78CD"/>
    <w:rsid w:val="00EC7A91"/>
    <w:rsid w:val="00ED1AF6"/>
    <w:rsid w:val="00ED1B12"/>
    <w:rsid w:val="00ED21EE"/>
    <w:rsid w:val="00ED3DD9"/>
    <w:rsid w:val="00ED3E6D"/>
    <w:rsid w:val="00ED3E9A"/>
    <w:rsid w:val="00ED3F6A"/>
    <w:rsid w:val="00ED45CE"/>
    <w:rsid w:val="00ED5317"/>
    <w:rsid w:val="00ED568F"/>
    <w:rsid w:val="00ED5877"/>
    <w:rsid w:val="00ED649A"/>
    <w:rsid w:val="00ED6AA6"/>
    <w:rsid w:val="00ED70AD"/>
    <w:rsid w:val="00ED7978"/>
    <w:rsid w:val="00EE0039"/>
    <w:rsid w:val="00EE060C"/>
    <w:rsid w:val="00EE06D3"/>
    <w:rsid w:val="00EE0BD2"/>
    <w:rsid w:val="00EE1538"/>
    <w:rsid w:val="00EE234E"/>
    <w:rsid w:val="00EE28D3"/>
    <w:rsid w:val="00EE3073"/>
    <w:rsid w:val="00EE571E"/>
    <w:rsid w:val="00EE5BED"/>
    <w:rsid w:val="00EE6143"/>
    <w:rsid w:val="00EE660F"/>
    <w:rsid w:val="00EE66AA"/>
    <w:rsid w:val="00EE7D61"/>
    <w:rsid w:val="00EF0326"/>
    <w:rsid w:val="00EF04A4"/>
    <w:rsid w:val="00EF10FE"/>
    <w:rsid w:val="00EF166A"/>
    <w:rsid w:val="00EF16DB"/>
    <w:rsid w:val="00EF26AA"/>
    <w:rsid w:val="00EF37D1"/>
    <w:rsid w:val="00EF3965"/>
    <w:rsid w:val="00EF39CA"/>
    <w:rsid w:val="00EF4302"/>
    <w:rsid w:val="00EF4971"/>
    <w:rsid w:val="00EF4BE5"/>
    <w:rsid w:val="00EF4C0F"/>
    <w:rsid w:val="00EF6CFF"/>
    <w:rsid w:val="00EF6EA4"/>
    <w:rsid w:val="00EF7DCC"/>
    <w:rsid w:val="00F002D8"/>
    <w:rsid w:val="00F00406"/>
    <w:rsid w:val="00F0096E"/>
    <w:rsid w:val="00F01530"/>
    <w:rsid w:val="00F01CFC"/>
    <w:rsid w:val="00F028FB"/>
    <w:rsid w:val="00F02960"/>
    <w:rsid w:val="00F0319E"/>
    <w:rsid w:val="00F04283"/>
    <w:rsid w:val="00F04CEC"/>
    <w:rsid w:val="00F0580D"/>
    <w:rsid w:val="00F0590E"/>
    <w:rsid w:val="00F0626A"/>
    <w:rsid w:val="00F06E98"/>
    <w:rsid w:val="00F10757"/>
    <w:rsid w:val="00F10BD4"/>
    <w:rsid w:val="00F10BE5"/>
    <w:rsid w:val="00F10FE4"/>
    <w:rsid w:val="00F1136A"/>
    <w:rsid w:val="00F11E82"/>
    <w:rsid w:val="00F13BFE"/>
    <w:rsid w:val="00F1546B"/>
    <w:rsid w:val="00F155B0"/>
    <w:rsid w:val="00F15FE2"/>
    <w:rsid w:val="00F16129"/>
    <w:rsid w:val="00F164A2"/>
    <w:rsid w:val="00F16747"/>
    <w:rsid w:val="00F17C1D"/>
    <w:rsid w:val="00F204D3"/>
    <w:rsid w:val="00F20698"/>
    <w:rsid w:val="00F20B4F"/>
    <w:rsid w:val="00F20B54"/>
    <w:rsid w:val="00F21FAB"/>
    <w:rsid w:val="00F22960"/>
    <w:rsid w:val="00F22EEC"/>
    <w:rsid w:val="00F22FB7"/>
    <w:rsid w:val="00F23F55"/>
    <w:rsid w:val="00F2422A"/>
    <w:rsid w:val="00F24327"/>
    <w:rsid w:val="00F24567"/>
    <w:rsid w:val="00F24AB6"/>
    <w:rsid w:val="00F25104"/>
    <w:rsid w:val="00F301B6"/>
    <w:rsid w:val="00F30E3A"/>
    <w:rsid w:val="00F3140E"/>
    <w:rsid w:val="00F31639"/>
    <w:rsid w:val="00F31EDA"/>
    <w:rsid w:val="00F327AF"/>
    <w:rsid w:val="00F3311B"/>
    <w:rsid w:val="00F33301"/>
    <w:rsid w:val="00F334BF"/>
    <w:rsid w:val="00F342FD"/>
    <w:rsid w:val="00F344E2"/>
    <w:rsid w:val="00F35806"/>
    <w:rsid w:val="00F35972"/>
    <w:rsid w:val="00F35C1D"/>
    <w:rsid w:val="00F36D22"/>
    <w:rsid w:val="00F3764D"/>
    <w:rsid w:val="00F377EC"/>
    <w:rsid w:val="00F37DC6"/>
    <w:rsid w:val="00F404CA"/>
    <w:rsid w:val="00F40638"/>
    <w:rsid w:val="00F40CF7"/>
    <w:rsid w:val="00F40D86"/>
    <w:rsid w:val="00F41D4B"/>
    <w:rsid w:val="00F41E5E"/>
    <w:rsid w:val="00F420EE"/>
    <w:rsid w:val="00F421BD"/>
    <w:rsid w:val="00F424D6"/>
    <w:rsid w:val="00F427D2"/>
    <w:rsid w:val="00F437D3"/>
    <w:rsid w:val="00F43940"/>
    <w:rsid w:val="00F43BD4"/>
    <w:rsid w:val="00F43C44"/>
    <w:rsid w:val="00F44450"/>
    <w:rsid w:val="00F4609C"/>
    <w:rsid w:val="00F464FC"/>
    <w:rsid w:val="00F473AF"/>
    <w:rsid w:val="00F47F7A"/>
    <w:rsid w:val="00F505E4"/>
    <w:rsid w:val="00F507C3"/>
    <w:rsid w:val="00F50EFD"/>
    <w:rsid w:val="00F51481"/>
    <w:rsid w:val="00F51FD7"/>
    <w:rsid w:val="00F54049"/>
    <w:rsid w:val="00F55052"/>
    <w:rsid w:val="00F5511D"/>
    <w:rsid w:val="00F5608A"/>
    <w:rsid w:val="00F563B6"/>
    <w:rsid w:val="00F565FB"/>
    <w:rsid w:val="00F56A4D"/>
    <w:rsid w:val="00F572EC"/>
    <w:rsid w:val="00F578D4"/>
    <w:rsid w:val="00F57F50"/>
    <w:rsid w:val="00F57FE6"/>
    <w:rsid w:val="00F608E1"/>
    <w:rsid w:val="00F61CDB"/>
    <w:rsid w:val="00F621E2"/>
    <w:rsid w:val="00F62B99"/>
    <w:rsid w:val="00F63025"/>
    <w:rsid w:val="00F63D14"/>
    <w:rsid w:val="00F63D8F"/>
    <w:rsid w:val="00F644EA"/>
    <w:rsid w:val="00F648C4"/>
    <w:rsid w:val="00F64A52"/>
    <w:rsid w:val="00F64C5F"/>
    <w:rsid w:val="00F64D0B"/>
    <w:rsid w:val="00F64EE7"/>
    <w:rsid w:val="00F65CC2"/>
    <w:rsid w:val="00F65D1B"/>
    <w:rsid w:val="00F6663F"/>
    <w:rsid w:val="00F67C64"/>
    <w:rsid w:val="00F70C4E"/>
    <w:rsid w:val="00F718C9"/>
    <w:rsid w:val="00F72945"/>
    <w:rsid w:val="00F72A37"/>
    <w:rsid w:val="00F72BFB"/>
    <w:rsid w:val="00F72CA6"/>
    <w:rsid w:val="00F72DC6"/>
    <w:rsid w:val="00F73591"/>
    <w:rsid w:val="00F7391B"/>
    <w:rsid w:val="00F7394A"/>
    <w:rsid w:val="00F73D3D"/>
    <w:rsid w:val="00F7431A"/>
    <w:rsid w:val="00F75275"/>
    <w:rsid w:val="00F75696"/>
    <w:rsid w:val="00F75A99"/>
    <w:rsid w:val="00F75DA9"/>
    <w:rsid w:val="00F76C50"/>
    <w:rsid w:val="00F80B03"/>
    <w:rsid w:val="00F812D7"/>
    <w:rsid w:val="00F8353E"/>
    <w:rsid w:val="00F842D1"/>
    <w:rsid w:val="00F8475C"/>
    <w:rsid w:val="00F8482D"/>
    <w:rsid w:val="00F84A12"/>
    <w:rsid w:val="00F84B4E"/>
    <w:rsid w:val="00F854A1"/>
    <w:rsid w:val="00F86517"/>
    <w:rsid w:val="00F873F5"/>
    <w:rsid w:val="00F87829"/>
    <w:rsid w:val="00F90027"/>
    <w:rsid w:val="00F91541"/>
    <w:rsid w:val="00F91C3E"/>
    <w:rsid w:val="00F92416"/>
    <w:rsid w:val="00F92649"/>
    <w:rsid w:val="00F92929"/>
    <w:rsid w:val="00F92F61"/>
    <w:rsid w:val="00F9368C"/>
    <w:rsid w:val="00F9459A"/>
    <w:rsid w:val="00F94C79"/>
    <w:rsid w:val="00F94C94"/>
    <w:rsid w:val="00F9551B"/>
    <w:rsid w:val="00F95D43"/>
    <w:rsid w:val="00F961E8"/>
    <w:rsid w:val="00F9636E"/>
    <w:rsid w:val="00F96B0D"/>
    <w:rsid w:val="00F96ED5"/>
    <w:rsid w:val="00F97075"/>
    <w:rsid w:val="00F971F4"/>
    <w:rsid w:val="00F97C9D"/>
    <w:rsid w:val="00F97CA7"/>
    <w:rsid w:val="00FA0250"/>
    <w:rsid w:val="00FA0D48"/>
    <w:rsid w:val="00FA1534"/>
    <w:rsid w:val="00FA18AA"/>
    <w:rsid w:val="00FA22E6"/>
    <w:rsid w:val="00FA3347"/>
    <w:rsid w:val="00FA33C8"/>
    <w:rsid w:val="00FA340F"/>
    <w:rsid w:val="00FA35CB"/>
    <w:rsid w:val="00FA3ADA"/>
    <w:rsid w:val="00FA3D1C"/>
    <w:rsid w:val="00FA4D5D"/>
    <w:rsid w:val="00FA5B01"/>
    <w:rsid w:val="00FA5BE9"/>
    <w:rsid w:val="00FA5E86"/>
    <w:rsid w:val="00FA63F2"/>
    <w:rsid w:val="00FA67B9"/>
    <w:rsid w:val="00FA6A32"/>
    <w:rsid w:val="00FA721A"/>
    <w:rsid w:val="00FA7B82"/>
    <w:rsid w:val="00FB00FE"/>
    <w:rsid w:val="00FB0384"/>
    <w:rsid w:val="00FB050F"/>
    <w:rsid w:val="00FB359B"/>
    <w:rsid w:val="00FB378D"/>
    <w:rsid w:val="00FB46F8"/>
    <w:rsid w:val="00FB5230"/>
    <w:rsid w:val="00FB5C4F"/>
    <w:rsid w:val="00FB5CF1"/>
    <w:rsid w:val="00FB74A3"/>
    <w:rsid w:val="00FB7955"/>
    <w:rsid w:val="00FB7CF0"/>
    <w:rsid w:val="00FC1073"/>
    <w:rsid w:val="00FC12C5"/>
    <w:rsid w:val="00FC15F6"/>
    <w:rsid w:val="00FC178B"/>
    <w:rsid w:val="00FC2800"/>
    <w:rsid w:val="00FC29A7"/>
    <w:rsid w:val="00FC3A19"/>
    <w:rsid w:val="00FC45D4"/>
    <w:rsid w:val="00FC5735"/>
    <w:rsid w:val="00FC70D0"/>
    <w:rsid w:val="00FC7200"/>
    <w:rsid w:val="00FC7520"/>
    <w:rsid w:val="00FC7B44"/>
    <w:rsid w:val="00FD046D"/>
    <w:rsid w:val="00FD0DE7"/>
    <w:rsid w:val="00FD10A7"/>
    <w:rsid w:val="00FD19C7"/>
    <w:rsid w:val="00FD24D7"/>
    <w:rsid w:val="00FD2C83"/>
    <w:rsid w:val="00FD2E7E"/>
    <w:rsid w:val="00FD3292"/>
    <w:rsid w:val="00FD353C"/>
    <w:rsid w:val="00FD363F"/>
    <w:rsid w:val="00FD38CE"/>
    <w:rsid w:val="00FD3F9B"/>
    <w:rsid w:val="00FD44D3"/>
    <w:rsid w:val="00FD45DF"/>
    <w:rsid w:val="00FD4915"/>
    <w:rsid w:val="00FD4B42"/>
    <w:rsid w:val="00FD56EB"/>
    <w:rsid w:val="00FD59D9"/>
    <w:rsid w:val="00FD5CC1"/>
    <w:rsid w:val="00FD7E05"/>
    <w:rsid w:val="00FE063A"/>
    <w:rsid w:val="00FE106B"/>
    <w:rsid w:val="00FE1AB4"/>
    <w:rsid w:val="00FE1B05"/>
    <w:rsid w:val="00FE21F9"/>
    <w:rsid w:val="00FE2D17"/>
    <w:rsid w:val="00FE3C32"/>
    <w:rsid w:val="00FE3E28"/>
    <w:rsid w:val="00FE4010"/>
    <w:rsid w:val="00FE4092"/>
    <w:rsid w:val="00FE4AEC"/>
    <w:rsid w:val="00FE4AFD"/>
    <w:rsid w:val="00FE4DF8"/>
    <w:rsid w:val="00FE57CB"/>
    <w:rsid w:val="00FE5ACE"/>
    <w:rsid w:val="00FE627E"/>
    <w:rsid w:val="00FE63E5"/>
    <w:rsid w:val="00FE64A7"/>
    <w:rsid w:val="00FE7733"/>
    <w:rsid w:val="00FE7F75"/>
    <w:rsid w:val="00FF09A1"/>
    <w:rsid w:val="00FF09E2"/>
    <w:rsid w:val="00FF0A28"/>
    <w:rsid w:val="00FF0CC2"/>
    <w:rsid w:val="00FF2553"/>
    <w:rsid w:val="00FF29AA"/>
    <w:rsid w:val="00FF2C65"/>
    <w:rsid w:val="00FF3993"/>
    <w:rsid w:val="00FF3F89"/>
    <w:rsid w:val="00FF4428"/>
    <w:rsid w:val="00FF4CC4"/>
    <w:rsid w:val="00FF4D37"/>
    <w:rsid w:val="00FF513A"/>
    <w:rsid w:val="00FF5AC5"/>
    <w:rsid w:val="00FF5AC6"/>
    <w:rsid w:val="00FF5AE0"/>
    <w:rsid w:val="00FF5E41"/>
    <w:rsid w:val="00FF6644"/>
    <w:rsid w:val="00FF7102"/>
    <w:rsid w:val="15078F1E"/>
    <w:rsid w:val="2975949B"/>
    <w:rsid w:val="29F82445"/>
    <w:rsid w:val="3245C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374CBA"/>
    <w:pPr>
      <w:jc w:val="right"/>
      <w:outlineLvl w:val="5"/>
    </w:pPr>
    <w:rPr>
      <w:b/>
      <w:bCs/>
      <w:color w:val="002C47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158B"/>
    <w:pPr>
      <w:keepNext/>
      <w:numPr>
        <w:numId w:val="28"/>
      </w:numPr>
      <w:pBdr>
        <w:top w:val="dashed" w:sz="4" w:space="1" w:color="002C47" w:themeColor="accent1"/>
      </w:pBdr>
      <w:outlineLvl w:val="8"/>
    </w:pPr>
    <w:rPr>
      <w:rFonts w:eastAsia="Calibri"/>
      <w:b/>
      <w:bCs/>
      <w:smallCaps/>
      <w:color w:val="002C4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eastAsiaTheme="minorEastAsia" w:hAnsi="Calibri"/>
      <w:sz w:val="20"/>
      <w:szCs w:val="20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ascii="Calibri" w:eastAsiaTheme="minorEastAsia" w:hAnsi="Calibri"/>
      <w:b/>
      <w:bCs/>
      <w:color w:val="002C47" w:themeColor="accent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Stateheader">
    <w:name w:val="State header"/>
    <w:basedOn w:val="Normal"/>
    <w:qFormat/>
    <w:rsid w:val="002D693B"/>
    <w:pPr>
      <w:spacing w:before="240"/>
    </w:pPr>
    <w:rPr>
      <w:b/>
      <w:bCs/>
      <w:i/>
      <w:iCs/>
      <w:color w:val="002C47" w:themeColor="accent1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0B61F0"/>
    <w:pPr>
      <w:spacing w:before="60" w:after="60"/>
    </w:pPr>
    <w:rPr>
      <w:b/>
      <w:color w:val="000000" w:themeColor="text1"/>
      <w:sz w:val="18"/>
      <w:szCs w:val="18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UPDATE">
    <w:name w:val="UPDATE"/>
    <w:basedOn w:val="BoxText"/>
    <w:rsid w:val="00836BE3"/>
    <w:rPr>
      <w:b/>
      <w:bCs/>
      <w:color w:val="C00000"/>
      <w:szCs w:val="19"/>
    </w:rPr>
  </w:style>
  <w:style w:type="character" w:styleId="Mention">
    <w:name w:val="Mention"/>
    <w:basedOn w:val="DefaultParagraphFont"/>
    <w:uiPriority w:val="99"/>
    <w:unhideWhenUsed/>
    <w:rsid w:val="00C545F3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994DD6"/>
  </w:style>
  <w:style w:type="paragraph" w:customStyle="1" w:styleId="TableThirdHeading">
    <w:name w:val="Table Third Heading"/>
    <w:basedOn w:val="Normal"/>
    <w:qFormat/>
    <w:rsid w:val="00CB1D55"/>
    <w:pPr>
      <w:spacing w:before="40" w:after="40" w:line="276" w:lineRule="auto"/>
      <w:jc w:val="center"/>
    </w:pPr>
    <w:rPr>
      <w:rFonts w:eastAsia="Times New Roman" w:cs="Calibri"/>
      <w:sz w:val="16"/>
      <w:szCs w:val="16"/>
      <w:lang w:eastAsia="en-AU"/>
    </w:rPr>
  </w:style>
  <w:style w:type="paragraph" w:customStyle="1" w:styleId="Tabletext">
    <w:name w:val="Table text"/>
    <w:basedOn w:val="Normal"/>
    <w:qFormat/>
    <w:rsid w:val="00CB1D55"/>
    <w:pPr>
      <w:tabs>
        <w:tab w:val="decimal" w:pos="454"/>
      </w:tabs>
      <w:spacing w:before="60" w:after="60"/>
      <w:jc w:val="right"/>
    </w:pPr>
    <w:rPr>
      <w:rFonts w:asciiTheme="minorHAnsi" w:hAnsiTheme="minorHAnsi" w:cstheme="minorHAnsi"/>
      <w:color w:val="000000"/>
      <w:sz w:val="18"/>
      <w:szCs w:val="18"/>
    </w:rPr>
  </w:style>
  <w:style w:type="paragraph" w:customStyle="1" w:styleId="Normalflat">
    <w:name w:val="Normal flat"/>
    <w:basedOn w:val="Normal"/>
    <w:qFormat/>
    <w:rsid w:val="00CB1D55"/>
    <w:pPr>
      <w:spacing w:before="0" w:after="0"/>
    </w:pPr>
    <w:rPr>
      <w:rFonts w:cs="Times New Roman"/>
      <w:lang w:eastAsia="en-AU"/>
    </w:rPr>
  </w:style>
  <w:style w:type="character" w:customStyle="1" w:styleId="cf01">
    <w:name w:val="cf01"/>
    <w:basedOn w:val="DefaultParagraphFont"/>
    <w:rsid w:val="007447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abs.gov.au/statistics/people/population/national-state-and-territory-population/latest-rele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FC43-4832-4F0F-81FF-8FDBA4F8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6579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National, state and territory population, September 2023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National, state and territory population, September 2023</dc:title>
  <dc:subject/>
  <dc:creator/>
  <cp:keywords/>
  <cp:lastModifiedBy/>
  <cp:revision>1</cp:revision>
  <dcterms:created xsi:type="dcterms:W3CDTF">2024-03-21T22:30:00Z</dcterms:created>
  <dcterms:modified xsi:type="dcterms:W3CDTF">2024-03-21T22:31:00Z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6a63cb-9763-453c-8b18-d473b0fc95f9_Enabled">
    <vt:lpwstr>true</vt:lpwstr>
  </property>
  <property fmtid="{D5CDD505-2E9C-101B-9397-08002B2CF9AE}" pid="3" name="MSIP_Label_a26a63cb-9763-453c-8b18-d473b0fc95f9_SetDate">
    <vt:lpwstr>2024-03-21T22:30:44Z</vt:lpwstr>
  </property>
  <property fmtid="{D5CDD505-2E9C-101B-9397-08002B2CF9AE}" pid="4" name="MSIP_Label_a26a63cb-9763-453c-8b18-d473b0fc95f9_Method">
    <vt:lpwstr>Privileged</vt:lpwstr>
  </property>
  <property fmtid="{D5CDD505-2E9C-101B-9397-08002B2CF9AE}" pid="5" name="MSIP_Label_a26a63cb-9763-453c-8b18-d473b0fc95f9_Name">
    <vt:lpwstr>OFFICIAL No Visual Marking</vt:lpwstr>
  </property>
  <property fmtid="{D5CDD505-2E9C-101B-9397-08002B2CF9AE}" pid="6" name="MSIP_Label_a26a63cb-9763-453c-8b18-d473b0fc95f9_SiteId">
    <vt:lpwstr>214f1646-2021-47cc-8397-e3d3a7ba7d9d</vt:lpwstr>
  </property>
  <property fmtid="{D5CDD505-2E9C-101B-9397-08002B2CF9AE}" pid="7" name="MSIP_Label_a26a63cb-9763-453c-8b18-d473b0fc95f9_ActionId">
    <vt:lpwstr>98fd23a0-44b6-4f46-aa60-90d5650feaa1</vt:lpwstr>
  </property>
  <property fmtid="{D5CDD505-2E9C-101B-9397-08002B2CF9AE}" pid="8" name="MSIP_Label_a26a63cb-9763-453c-8b18-d473b0fc95f9_ContentBits">
    <vt:lpwstr>0</vt:lpwstr>
  </property>
</Properties>
</file>