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5BB" w14:textId="04E354F1" w:rsidR="003C15C8" w:rsidRDefault="003C15C8" w:rsidP="003C15C8">
      <w:r>
        <w:rPr>
          <w:noProof/>
          <w:color w:val="2B579A"/>
          <w:shd w:val="clear" w:color="auto" w:fill="E6E6E6"/>
          <w:lang w:eastAsia="en-AU"/>
        </w:rPr>
        <w:drawing>
          <wp:anchor distT="0" distB="0" distL="114300" distR="114300" simplePos="0" relativeHeight="251658240" behindDoc="1" locked="0" layoutInCell="1" allowOverlap="1" wp14:anchorId="04DDAE7E" wp14:editId="203E6297">
            <wp:simplePos x="0" y="0"/>
            <wp:positionH relativeFrom="page">
              <wp:align>center</wp:align>
            </wp:positionH>
            <wp:positionV relativeFrom="page">
              <wp:align>center</wp:align>
            </wp:positionV>
            <wp:extent cx="7570800" cy="107100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4B0">
        <w:t xml:space="preserve"> </w:t>
      </w:r>
    </w:p>
    <w:sdt>
      <w:sdtPr>
        <w:rPr>
          <w:rFonts w:asciiTheme="minorHAnsi" w:eastAsiaTheme="minorEastAsia" w:hAnsiTheme="minorHAnsi" w:cstheme="minorBidi"/>
          <w:bCs w:val="0"/>
          <w:color w:val="auto"/>
          <w:sz w:val="20"/>
          <w:szCs w:val="20"/>
        </w:rPr>
        <w:id w:val="934784004"/>
        <w:docPartObj>
          <w:docPartGallery w:val="Cover Pages"/>
          <w:docPartUnique/>
        </w:docPartObj>
      </w:sdtPr>
      <w:sdtEndPr/>
      <w:sdtContent>
        <w:p w14:paraId="5734F3A5" w14:textId="5047968E" w:rsidR="001C66FB" w:rsidRPr="007E2CC2" w:rsidRDefault="005910EB" w:rsidP="00CB064B">
          <w:pPr>
            <w:pStyle w:val="Title"/>
          </w:pPr>
          <w:r w:rsidRPr="007E2CC2">
            <w:t xml:space="preserve">Fertility </w:t>
          </w:r>
          <w:proofErr w:type="gramStart"/>
          <w:r w:rsidRPr="007E2CC2">
            <w:t>decline</w:t>
          </w:r>
          <w:proofErr w:type="gramEnd"/>
          <w:r w:rsidRPr="007E2CC2">
            <w:t xml:space="preserve"> in Australia:</w:t>
          </w:r>
          <w:r w:rsidR="006E2507">
            <w:t xml:space="preserve"> </w:t>
          </w:r>
          <w:r w:rsidRPr="007E2CC2">
            <w:t xml:space="preserve">Is it here to </w:t>
          </w:r>
          <w:r w:rsidRPr="00CB064B">
            <w:t>stay</w:t>
          </w:r>
          <w:r w:rsidRPr="007E2CC2">
            <w:t>?</w:t>
          </w:r>
        </w:p>
        <w:p w14:paraId="4F4AFE01" w14:textId="77777777" w:rsidR="00FF7A1A" w:rsidRPr="007E2CC2" w:rsidRDefault="004D0D65" w:rsidP="007E2CC2">
          <w:pPr>
            <w:pStyle w:val="Subtitle"/>
            <w:spacing w:after="120"/>
          </w:pPr>
          <w:r w:rsidRPr="007E2CC2">
            <w:t xml:space="preserve">Prepared by </w:t>
          </w:r>
          <w:r w:rsidR="00B8307C" w:rsidRPr="007E2CC2">
            <w:t>The</w:t>
          </w:r>
          <w:r w:rsidR="001C66FB" w:rsidRPr="007E2CC2">
            <w:t xml:space="preserve"> </w:t>
          </w:r>
          <w:r w:rsidRPr="007E2CC2">
            <w:t>Centre for Population</w:t>
          </w:r>
        </w:p>
        <w:p w14:paraId="1463765F" w14:textId="74947ACA" w:rsidR="00D207AA" w:rsidRPr="007E2CC2" w:rsidRDefault="007E2CC2" w:rsidP="00131292">
          <w:pPr>
            <w:pStyle w:val="ReportDate"/>
            <w:spacing w:before="240"/>
          </w:pPr>
          <w:r w:rsidRPr="007E2CC2">
            <w:rPr>
              <w:rStyle w:val="ReportDateChar"/>
              <w:caps/>
            </w:rPr>
            <w:t>October</w:t>
          </w:r>
          <w:r w:rsidR="003B4DC6" w:rsidRPr="007E2CC2">
            <w:rPr>
              <w:rStyle w:val="ReportDateChar"/>
              <w:caps/>
            </w:rPr>
            <w:t xml:space="preserve"> </w:t>
          </w:r>
          <w:r w:rsidR="20D44C81" w:rsidRPr="007E2CC2">
            <w:rPr>
              <w:rStyle w:val="ReportDateChar"/>
              <w:caps/>
            </w:rPr>
            <w:t>2024</w:t>
          </w:r>
        </w:p>
        <w:p w14:paraId="46C0D82D" w14:textId="77777777" w:rsidR="00D207AA" w:rsidRDefault="00D207AA" w:rsidP="00A11B48">
          <w:r>
            <w:rPr>
              <w:noProof/>
            </w:rPr>
            <w:br w:type="page"/>
          </w:r>
        </w:p>
      </w:sdtContent>
    </w:sdt>
    <w:p w14:paraId="6F3222FE" w14:textId="0E820E11" w:rsidR="000E0B74" w:rsidRDefault="000E0B74" w:rsidP="00A11B48">
      <w:pPr>
        <w:rPr>
          <w:noProof/>
        </w:rPr>
      </w:pPr>
      <w:r>
        <w:lastRenderedPageBreak/>
        <w:t xml:space="preserve">© Commonwealth of Australia </w:t>
      </w:r>
      <w:r w:rsidRPr="00F01699">
        <w:t>20</w:t>
      </w:r>
      <w:r w:rsidR="00AC0B8A" w:rsidRPr="00F01699">
        <w:t>2</w:t>
      </w:r>
      <w:r w:rsidR="00C25A1E" w:rsidRPr="00F01699">
        <w:t>4</w:t>
      </w:r>
    </w:p>
    <w:p w14:paraId="3CF08531" w14:textId="5863C1CC" w:rsidR="000E0B74" w:rsidRDefault="00035E5B" w:rsidP="00A11B48">
      <w:r w:rsidRPr="00035E5B">
        <w:t xml:space="preserve">This publication is available for your use under a </w:t>
      </w:r>
      <w:r w:rsidRPr="00035E5B">
        <w:rPr>
          <w:rStyle w:val="Hyperlink"/>
        </w:rPr>
        <w:t>Creative Commons Attribution 4.0 International licence</w:t>
      </w:r>
      <w:r w:rsidRPr="00035E5B">
        <w:t xml:space="preserve">, </w:t>
      </w:r>
      <w:proofErr w:type="gramStart"/>
      <w:r w:rsidRPr="00035E5B">
        <w:t>with the exception of</w:t>
      </w:r>
      <w:proofErr w:type="gramEnd"/>
      <w:r w:rsidRPr="00035E5B">
        <w:t xml:space="preserve"> the Commonwealth Coat of Arms, the Treasury logo, photographs, images, third party materials, materials protected by a trademark, signatures and where otherwise stated. The full licence terms are available from </w:t>
      </w:r>
      <w:r w:rsidRPr="00035E5B">
        <w:rPr>
          <w:rStyle w:val="Hyperlink"/>
        </w:rPr>
        <w:t>creativecommons.org/licenses/by/4.0/</w:t>
      </w:r>
      <w:proofErr w:type="spellStart"/>
      <w:r w:rsidRPr="00035E5B">
        <w:rPr>
          <w:rStyle w:val="Hyperlink"/>
        </w:rPr>
        <w:t>legalcode</w:t>
      </w:r>
      <w:proofErr w:type="spellEnd"/>
      <w:r w:rsidRPr="00035E5B">
        <w:t>.</w:t>
      </w:r>
      <w:r>
        <w:br/>
      </w:r>
      <w:r w:rsidRPr="00035E5B">
        <w:t xml:space="preserve"> </w:t>
      </w:r>
      <w:r w:rsidR="000E0B74" w:rsidRPr="00E56DFB">
        <w:rPr>
          <w:noProof/>
          <w:color w:val="2B579A"/>
          <w:shd w:val="clear" w:color="auto" w:fill="E6E6E6"/>
          <w:lang w:eastAsia="en-AU"/>
        </w:rPr>
        <w:drawing>
          <wp:inline distT="0" distB="0" distL="0" distR="0" wp14:anchorId="73B561F8" wp14:editId="126B7471">
            <wp:extent cx="809625" cy="285750"/>
            <wp:effectExtent l="0" t="0" r="9525" b="0"/>
            <wp:docPr id="3" name="Picture 3" descr="Creative Commons attribution licence 4.0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ce 4.0 ic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30DC882" w14:textId="77777777" w:rsidR="00035E5B" w:rsidRDefault="00035E5B" w:rsidP="00A11B48">
      <w:r w:rsidRPr="00035E5B">
        <w:t xml:space="preserve">Use of Treasury material under a </w:t>
      </w:r>
      <w:r w:rsidRPr="00035E5B">
        <w:rPr>
          <w:rStyle w:val="Hyperlink"/>
        </w:rPr>
        <w:t>Creative Commons Attribution 4.0 International licence</w:t>
      </w:r>
      <w:r w:rsidRPr="00035E5B">
        <w:t xml:space="preserve"> requires you to attribute the work (but not in any way that suggests that the Treasury endorses you or your use of the work).</w:t>
      </w:r>
    </w:p>
    <w:p w14:paraId="18B34944" w14:textId="16BF4778" w:rsidR="000E0B74" w:rsidRPr="009B4536" w:rsidRDefault="000E0B74" w:rsidP="009B4536">
      <w:pPr>
        <w:ind w:left="720"/>
        <w:rPr>
          <w:i/>
          <w:iCs/>
        </w:rPr>
      </w:pPr>
      <w:r w:rsidRPr="009B4536">
        <w:rPr>
          <w:i/>
          <w:iCs/>
        </w:rPr>
        <w:t xml:space="preserve">Treasury material used </w:t>
      </w:r>
      <w:r w:rsidR="009040A2">
        <w:rPr>
          <w:i/>
          <w:iCs/>
        </w:rPr>
        <w:t>‘</w:t>
      </w:r>
      <w:r w:rsidRPr="009B4536">
        <w:rPr>
          <w:i/>
          <w:iCs/>
        </w:rPr>
        <w:t>as supplied</w:t>
      </w:r>
      <w:r w:rsidR="009040A2">
        <w:rPr>
          <w:i/>
          <w:iCs/>
        </w:rPr>
        <w:t>’</w:t>
      </w:r>
      <w:r w:rsidRPr="009B4536">
        <w:rPr>
          <w:i/>
          <w:iCs/>
        </w:rPr>
        <w:t>.</w:t>
      </w:r>
    </w:p>
    <w:p w14:paraId="310E850E" w14:textId="7EC32419" w:rsidR="000E0B74" w:rsidRPr="00476F09" w:rsidRDefault="000E0B74" w:rsidP="00A11B48">
      <w:r>
        <w:t>Provided you have not modified or transformed Treasury material in any way including, for example, by changing the Treasury text; calculating percentage changes; graphing or charting data; or deriving new statistics from published Treasury statistics</w:t>
      </w:r>
      <w:r w:rsidR="009040A2">
        <w:t xml:space="preserve"> – </w:t>
      </w:r>
      <w:r>
        <w:t xml:space="preserve">then Treasury prefers the following attribution: </w:t>
      </w:r>
    </w:p>
    <w:p w14:paraId="15132B47" w14:textId="6609360F" w:rsidR="000E0B74" w:rsidRPr="009B4536" w:rsidRDefault="336A17A0" w:rsidP="009B4536">
      <w:pPr>
        <w:ind w:left="720"/>
        <w:rPr>
          <w:i/>
          <w:iCs/>
        </w:rPr>
      </w:pPr>
      <w:r w:rsidRPr="009B4536">
        <w:rPr>
          <w:i/>
          <w:iCs/>
        </w:rPr>
        <w:t xml:space="preserve">Source: </w:t>
      </w:r>
      <w:r w:rsidR="009040A2">
        <w:rPr>
          <w:i/>
          <w:iCs/>
        </w:rPr>
        <w:t>‘</w:t>
      </w:r>
      <w:r w:rsidR="5B1E0310" w:rsidRPr="009B4536">
        <w:rPr>
          <w:i/>
          <w:iCs/>
        </w:rPr>
        <w:t>Fertility decline in Australia: Is it here to stay?</w:t>
      </w:r>
      <w:r w:rsidR="009040A2">
        <w:rPr>
          <w:i/>
          <w:iCs/>
        </w:rPr>
        <w:t>’</w:t>
      </w:r>
      <w:r w:rsidR="5B1E0310" w:rsidRPr="009B4536">
        <w:rPr>
          <w:i/>
          <w:iCs/>
        </w:rPr>
        <w:t xml:space="preserve"> 2024</w:t>
      </w:r>
      <w:r w:rsidR="4C2E3C0F" w:rsidRPr="009B4536">
        <w:rPr>
          <w:i/>
          <w:iCs/>
        </w:rPr>
        <w:t>,</w:t>
      </w:r>
      <w:r w:rsidR="2EB0ED22" w:rsidRPr="009B4536">
        <w:rPr>
          <w:i/>
          <w:iCs/>
        </w:rPr>
        <w:t xml:space="preserve"> </w:t>
      </w:r>
      <w:r w:rsidR="0021E92E" w:rsidRPr="009B4536">
        <w:rPr>
          <w:i/>
          <w:iCs/>
        </w:rPr>
        <w:t>Centre for Population</w:t>
      </w:r>
      <w:r w:rsidR="4C2E3C0F" w:rsidRPr="009B4536">
        <w:rPr>
          <w:i/>
          <w:iCs/>
        </w:rPr>
        <w:t xml:space="preserve"> Research Paper, The Australian Government, Canberra. </w:t>
      </w:r>
    </w:p>
    <w:p w14:paraId="1B6FF752" w14:textId="77777777" w:rsidR="000E0B74" w:rsidRPr="009B4536" w:rsidRDefault="000E0B74" w:rsidP="00A11B48">
      <w:pPr>
        <w:rPr>
          <w:b/>
          <w:bCs/>
        </w:rPr>
      </w:pPr>
      <w:r w:rsidRPr="009B4536">
        <w:rPr>
          <w:b/>
          <w:bCs/>
        </w:rPr>
        <w:t>Derivative material</w:t>
      </w:r>
    </w:p>
    <w:p w14:paraId="316FC4EE" w14:textId="77777777" w:rsidR="000E0B74" w:rsidRPr="006627B4" w:rsidRDefault="000E0B74" w:rsidP="00A11B48">
      <w:r w:rsidRPr="006627B4">
        <w:t xml:space="preserve">If you have modified or transformed Treasury material, or derived new material from those of the Treasury in any way, then Treasury prefers the following attribution: </w:t>
      </w:r>
    </w:p>
    <w:p w14:paraId="27E2A485" w14:textId="57042FCB" w:rsidR="000E0B74" w:rsidRPr="009B4536" w:rsidRDefault="000E0B74" w:rsidP="009B4536">
      <w:pPr>
        <w:ind w:left="720"/>
        <w:rPr>
          <w:i/>
          <w:iCs/>
        </w:rPr>
      </w:pPr>
      <w:r w:rsidRPr="009B4536">
        <w:rPr>
          <w:i/>
          <w:iCs/>
        </w:rPr>
        <w:t xml:space="preserve">Based on </w:t>
      </w:r>
      <w:r w:rsidR="00A5283F" w:rsidRPr="009B4536">
        <w:rPr>
          <w:i/>
          <w:iCs/>
        </w:rPr>
        <w:t xml:space="preserve">analysis by the </w:t>
      </w:r>
      <w:r w:rsidR="00A736E9" w:rsidRPr="009B4536">
        <w:rPr>
          <w:i/>
          <w:iCs/>
        </w:rPr>
        <w:t>Centre for Population</w:t>
      </w:r>
      <w:r w:rsidR="00A5283F" w:rsidRPr="009B4536">
        <w:rPr>
          <w:i/>
          <w:iCs/>
        </w:rPr>
        <w:t>.</w:t>
      </w:r>
    </w:p>
    <w:p w14:paraId="3CCE55C9" w14:textId="77777777" w:rsidR="000E0B74" w:rsidRPr="009B4536" w:rsidRDefault="000E0B74" w:rsidP="00A11B48">
      <w:pPr>
        <w:rPr>
          <w:b/>
          <w:bCs/>
        </w:rPr>
      </w:pPr>
      <w:r w:rsidRPr="009B4536">
        <w:rPr>
          <w:b/>
          <w:bCs/>
        </w:rPr>
        <w:t>Use of the Coat of Arms</w:t>
      </w:r>
    </w:p>
    <w:p w14:paraId="1771D2BA" w14:textId="4AAE8D17" w:rsidR="00035E5B" w:rsidRDefault="00035E5B" w:rsidP="00A11B48">
      <w:r w:rsidRPr="00035E5B">
        <w:t xml:space="preserve">The terms under which the Coat of Arms can be used are set out on the Department of the Prime Minister and Cabinet website (see </w:t>
      </w:r>
      <w:hyperlink r:id="rId9" w:history="1">
        <w:r w:rsidR="008C5CF1" w:rsidRPr="00156517">
          <w:rPr>
            <w:rStyle w:val="Hyperlink"/>
          </w:rPr>
          <w:t>www.pmc.gov.au/government/commonwealth-coat-arms</w:t>
        </w:r>
      </w:hyperlink>
      <w:r w:rsidRPr="00035E5B">
        <w:t>).</w:t>
      </w:r>
    </w:p>
    <w:p w14:paraId="5A5B4793" w14:textId="5AF22B3E" w:rsidR="000E0B74" w:rsidRPr="009B4536" w:rsidRDefault="000E0B74" w:rsidP="00A11B48">
      <w:pPr>
        <w:rPr>
          <w:b/>
          <w:bCs/>
        </w:rPr>
      </w:pPr>
      <w:r w:rsidRPr="009B4536">
        <w:rPr>
          <w:b/>
          <w:bCs/>
        </w:rPr>
        <w:t>Other uses</w:t>
      </w:r>
    </w:p>
    <w:p w14:paraId="7AD5A725" w14:textId="77777777" w:rsidR="000E0B74" w:rsidRPr="006627B4" w:rsidRDefault="000E0B74" w:rsidP="00A11B48">
      <w:r>
        <w:t>E</w:t>
      </w:r>
      <w:r w:rsidRPr="006627B4">
        <w:t>nquiries regarding this licence and any other use of this document are welcome at:</w:t>
      </w:r>
    </w:p>
    <w:p w14:paraId="75506F23" w14:textId="6EE01DA8" w:rsidR="00F836F9" w:rsidRDefault="000E0B74" w:rsidP="0099132C">
      <w:pPr>
        <w:sectPr w:rsidR="00F836F9" w:rsidSect="009040A2">
          <w:pgSz w:w="11906" w:h="16838" w:code="9"/>
          <w:pgMar w:top="1418" w:right="1418" w:bottom="1418" w:left="1418" w:header="709" w:footer="709" w:gutter="0"/>
          <w:pgNumType w:fmt="lowerRoman" w:start="0"/>
          <w:cols w:space="708"/>
          <w:titlePg/>
          <w:docGrid w:linePitch="360"/>
        </w:sectPr>
      </w:pPr>
      <w:r w:rsidRPr="006627B4">
        <w:t>Manager</w:t>
      </w:r>
      <w:r w:rsidR="00A72960">
        <w:br/>
      </w:r>
      <w:r>
        <w:t>Media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0" w:history="1">
        <w:r w:rsidR="00570FA2" w:rsidRPr="008574BF">
          <w:rPr>
            <w:rStyle w:val="Hyperlink"/>
          </w:rPr>
          <w:t>media@treasury.gov.au</w:t>
        </w:r>
      </w:hyperlink>
    </w:p>
    <w:p w14:paraId="502C2AA0" w14:textId="77777777" w:rsidR="00475085" w:rsidRPr="00C66F11" w:rsidRDefault="00475085" w:rsidP="00A11B48">
      <w:pPr>
        <w:pStyle w:val="Heading1"/>
      </w:pPr>
      <w:bookmarkStart w:id="0" w:name="_Foreword"/>
      <w:bookmarkStart w:id="1" w:name="_Toc432067103"/>
      <w:bookmarkStart w:id="2" w:name="_Toc452635030"/>
      <w:bookmarkStart w:id="3" w:name="_Toc48038230"/>
      <w:bookmarkEnd w:id="0"/>
      <w:r w:rsidRPr="00AB46D8">
        <w:lastRenderedPageBreak/>
        <w:t>Foreword</w:t>
      </w:r>
      <w:bookmarkEnd w:id="1"/>
      <w:bookmarkEnd w:id="2"/>
      <w:bookmarkEnd w:id="3"/>
    </w:p>
    <w:p w14:paraId="1BF7482B" w14:textId="11ED710F" w:rsidR="005124D8" w:rsidRDefault="00CF2CBB" w:rsidP="00CE0DA7">
      <w:pPr>
        <w:pStyle w:val="Heading2"/>
        <w:rPr>
          <w:lang w:val="en-GB"/>
        </w:rPr>
      </w:pPr>
      <w:r>
        <w:rPr>
          <w:lang w:val="en-GB"/>
        </w:rPr>
        <w:t xml:space="preserve">Fertility Rates in Australia have been in decline since the </w:t>
      </w:r>
      <w:proofErr w:type="gramStart"/>
      <w:r w:rsidR="005124D8">
        <w:rPr>
          <w:lang w:val="en-GB"/>
        </w:rPr>
        <w:t>1960s</w:t>
      </w:r>
      <w:proofErr w:type="gramEnd"/>
    </w:p>
    <w:p w14:paraId="365617BF" w14:textId="3B81572E" w:rsidR="00A86592" w:rsidRPr="001A1CA8" w:rsidRDefault="001A1CA8" w:rsidP="00A86592">
      <w:r w:rsidRPr="38FAB90E">
        <w:rPr>
          <w:lang w:val="en-GB"/>
        </w:rPr>
        <w:t xml:space="preserve">Fertility rates in Australia and other </w:t>
      </w:r>
      <w:r w:rsidR="00935F3C" w:rsidRPr="38FAB90E">
        <w:rPr>
          <w:lang w:val="en-GB"/>
        </w:rPr>
        <w:t xml:space="preserve">advanced economies </w:t>
      </w:r>
      <w:r w:rsidRPr="38FAB90E">
        <w:rPr>
          <w:lang w:val="en-GB"/>
        </w:rPr>
        <w:t>have been declining since the 1960s. People are becoming parents at a later age, having fewer children when they do, and an increasing number of people forgo having children altogether (either by choice or involuntarily). This note explores trends that are associated with declines in fertility.</w:t>
      </w:r>
    </w:p>
    <w:p w14:paraId="3074973F" w14:textId="588B6283" w:rsidR="00D5750B" w:rsidRPr="00D5750B" w:rsidRDefault="005124D8" w:rsidP="00035E5B">
      <w:pPr>
        <w:pStyle w:val="ChartMainHeading"/>
        <w:rPr>
          <w:lang w:val="en-GB"/>
        </w:rPr>
      </w:pPr>
      <w:r w:rsidRPr="005124D8">
        <w:rPr>
          <w:lang w:val="en-GB"/>
        </w:rPr>
        <w:t>Fertility rate, annual average female participation rate and mean age of mothers having their first child by year.</w:t>
      </w:r>
    </w:p>
    <w:p w14:paraId="6F7DFDFA" w14:textId="56C3F345" w:rsidR="004F4017" w:rsidRPr="004F4017" w:rsidRDefault="55B0E145" w:rsidP="00035E5B">
      <w:pPr>
        <w:spacing w:after="0"/>
        <w:jc w:val="center"/>
      </w:pPr>
      <w:r>
        <w:rPr>
          <w:noProof/>
        </w:rPr>
        <w:drawing>
          <wp:inline distT="0" distB="0" distL="0" distR="0" wp14:anchorId="4A2230CC" wp14:editId="74A83EA8">
            <wp:extent cx="5890438" cy="2551430"/>
            <wp:effectExtent l="0" t="0" r="0" b="0"/>
            <wp:docPr id="614941227" name="Picture 614941227" descr="This chart shows the fertility rate, average female labour force participation and mean age of mothers having their first child.&#10;&#10;The chart shows a rise in median age of first birth as well as the female participation rate, whilst the fertility rate has been decl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41227" name="Picture 614941227" descr="This chart shows the fertility rate, average female labour force participation and mean age of mothers having their first child.&#10;&#10;The chart shows a rise in median age of first birth as well as the female participation rate, whilst the fertility rate has been decli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0438" cy="2551430"/>
                    </a:xfrm>
                    <a:prstGeom prst="rect">
                      <a:avLst/>
                    </a:prstGeom>
                  </pic:spPr>
                </pic:pic>
              </a:graphicData>
            </a:graphic>
          </wp:inline>
        </w:drawing>
      </w:r>
    </w:p>
    <w:p w14:paraId="41D5026F" w14:textId="2BAD4E3F" w:rsidR="00622880" w:rsidRPr="00622880" w:rsidRDefault="00622880" w:rsidP="00622880">
      <w:pPr>
        <w:pStyle w:val="Source"/>
        <w:rPr>
          <w:lang w:val="en-GB"/>
        </w:rPr>
      </w:pPr>
      <w:r>
        <w:rPr>
          <w:lang w:val="en-GB"/>
        </w:rPr>
        <w:t xml:space="preserve">Source: </w:t>
      </w:r>
      <w:r w:rsidR="004F4017">
        <w:rPr>
          <w:lang w:val="en-GB"/>
        </w:rPr>
        <w:t>ABS 2023b, ABS 2024</w:t>
      </w:r>
      <w:r w:rsidR="00AD30C9">
        <w:rPr>
          <w:lang w:val="en-GB"/>
        </w:rPr>
        <w:t>a</w:t>
      </w:r>
    </w:p>
    <w:p w14:paraId="784A00FC" w14:textId="67F093C2" w:rsidR="00E03006" w:rsidRPr="00E03006" w:rsidRDefault="00E03006" w:rsidP="00035E5B">
      <w:r w:rsidRPr="00E03006">
        <w:rPr>
          <w:lang w:val="en-US"/>
        </w:rPr>
        <w:t>In demography, fertility refers to the number of children born, rather than the ability to have children. The total fertility rate estimates the number of children a woman would have during her lifetime if she experienced the age</w:t>
      </w:r>
      <w:r w:rsidR="009040A2">
        <w:rPr>
          <w:lang w:val="en-US"/>
        </w:rPr>
        <w:noBreakHyphen/>
      </w:r>
      <w:r w:rsidRPr="00E03006">
        <w:rPr>
          <w:lang w:val="en-US"/>
        </w:rPr>
        <w:t>specific fertility rates for a given year at each age of her reproductive life.</w:t>
      </w:r>
    </w:p>
    <w:p w14:paraId="4A14CB2B" w14:textId="77777777" w:rsidR="00E03006" w:rsidRPr="00E03006" w:rsidRDefault="00E03006" w:rsidP="00035E5B">
      <w:r w:rsidRPr="00E03006">
        <w:rPr>
          <w:lang w:val="en-US"/>
        </w:rPr>
        <w:t>Key messages outlined in this analysis:</w:t>
      </w:r>
    </w:p>
    <w:p w14:paraId="3D70B491" w14:textId="671ECB35" w:rsidR="00D461E3" w:rsidRPr="00D461E3" w:rsidRDefault="3B7C90DE" w:rsidP="00035E5B">
      <w:pPr>
        <w:pStyle w:val="Normalbullet"/>
      </w:pPr>
      <w:r w:rsidRPr="38FAB90E">
        <w:rPr>
          <w:lang w:val="en-GB"/>
        </w:rPr>
        <w:t xml:space="preserve">Low fertility is here to stay. The causes of low fertility are complex and interconnected. Changes in society and the economy, such as rising female labour force participation, declining housing affordability and societal norms around family composition, continue to influence fertility decisions. </w:t>
      </w:r>
    </w:p>
    <w:p w14:paraId="6549D332" w14:textId="44E5809F" w:rsidR="00C602D0" w:rsidRPr="00C602D0" w:rsidRDefault="536CABF3" w:rsidP="00035E5B">
      <w:pPr>
        <w:pStyle w:val="Normalbullet"/>
        <w:rPr>
          <w:lang w:val="en-GB"/>
        </w:rPr>
      </w:pPr>
      <w:r w:rsidRPr="38FAB90E">
        <w:rPr>
          <w:lang w:val="en-GB"/>
        </w:rPr>
        <w:t xml:space="preserve">Fertility </w:t>
      </w:r>
      <w:r w:rsidR="765A169C" w:rsidRPr="38FAB90E">
        <w:rPr>
          <w:lang w:val="en-GB"/>
        </w:rPr>
        <w:t>desires</w:t>
      </w:r>
      <w:r w:rsidRPr="38FAB90E">
        <w:rPr>
          <w:lang w:val="en-GB"/>
        </w:rPr>
        <w:t xml:space="preserve"> differ from fertility outcomes. </w:t>
      </w:r>
      <w:r w:rsidR="121BC7AD" w:rsidRPr="38FAB90E">
        <w:rPr>
          <w:lang w:val="en-GB"/>
        </w:rPr>
        <w:t xml:space="preserve">Fertility </w:t>
      </w:r>
      <w:r w:rsidR="765A169C" w:rsidRPr="38FAB90E">
        <w:rPr>
          <w:lang w:val="en-GB"/>
        </w:rPr>
        <w:t>desires</w:t>
      </w:r>
      <w:r w:rsidRPr="38FAB90E">
        <w:rPr>
          <w:lang w:val="en-GB"/>
        </w:rPr>
        <w:t xml:space="preserve"> relate to how many children people would like to have compared to how many children the</w:t>
      </w:r>
      <w:r w:rsidR="440243EF" w:rsidRPr="38FAB90E">
        <w:rPr>
          <w:lang w:val="en-GB"/>
        </w:rPr>
        <w:t>y</w:t>
      </w:r>
      <w:r w:rsidRPr="38FAB90E">
        <w:rPr>
          <w:lang w:val="en-GB"/>
        </w:rPr>
        <w:t xml:space="preserve"> end up having.</w:t>
      </w:r>
      <w:r w:rsidR="765A169C" w:rsidRPr="38FAB90E">
        <w:rPr>
          <w:lang w:val="en-GB"/>
        </w:rPr>
        <w:t xml:space="preserve"> In Australia</w:t>
      </w:r>
      <w:r w:rsidR="479639BA" w:rsidRPr="38FAB90E">
        <w:rPr>
          <w:lang w:val="en-GB"/>
        </w:rPr>
        <w:t xml:space="preserve"> </w:t>
      </w:r>
      <w:r w:rsidR="765A169C" w:rsidRPr="38FAB90E">
        <w:rPr>
          <w:lang w:val="en-GB"/>
        </w:rPr>
        <w:t xml:space="preserve">fertility outcomes are lower than </w:t>
      </w:r>
      <w:r w:rsidR="0022483F">
        <w:rPr>
          <w:lang w:val="en-GB"/>
        </w:rPr>
        <w:t xml:space="preserve">fertility </w:t>
      </w:r>
      <w:r w:rsidR="765A169C" w:rsidRPr="38FAB90E">
        <w:rPr>
          <w:lang w:val="en-GB"/>
        </w:rPr>
        <w:t>desires</w:t>
      </w:r>
      <w:r w:rsidR="3B7C90DE" w:rsidRPr="38FAB90E">
        <w:rPr>
          <w:lang w:val="en-GB"/>
        </w:rPr>
        <w:t xml:space="preserve">. </w:t>
      </w:r>
    </w:p>
    <w:p w14:paraId="72CBC279" w14:textId="44347FB5" w:rsidR="003C24B4" w:rsidRDefault="07BCDC13" w:rsidP="00035E5B">
      <w:pPr>
        <w:pStyle w:val="Normalbullet"/>
        <w:spacing w:after="240"/>
      </w:pPr>
      <w:r w:rsidRPr="38FAB90E">
        <w:rPr>
          <w:lang w:val="en-GB"/>
        </w:rPr>
        <w:t xml:space="preserve">A growing proportion of individuals and families choose to postpone parenthood, taking time to prepare by developing financial stability, career, relational and personal growth before parenthood. Others choose to not become parents at all. </w:t>
      </w:r>
    </w:p>
    <w:tbl>
      <w:tblPr>
        <w:tblW w:w="5000" w:type="pct"/>
        <w:shd w:val="clear" w:color="auto" w:fill="F0FAF6"/>
        <w:tblCellMar>
          <w:top w:w="113" w:type="dxa"/>
          <w:left w:w="284" w:type="dxa"/>
          <w:bottom w:w="113" w:type="dxa"/>
          <w:right w:w="284" w:type="dxa"/>
        </w:tblCellMar>
        <w:tblLook w:val="04A0" w:firstRow="1" w:lastRow="0" w:firstColumn="1" w:lastColumn="0" w:noHBand="0" w:noVBand="1"/>
      </w:tblPr>
      <w:tblGrid>
        <w:gridCol w:w="9070"/>
      </w:tblGrid>
      <w:tr w:rsidR="00CF53E6" w:rsidRPr="00A14121" w14:paraId="631D9CB4" w14:textId="77777777" w:rsidTr="009926D3">
        <w:tc>
          <w:tcPr>
            <w:tcW w:w="5000" w:type="pct"/>
            <w:shd w:val="clear" w:color="auto" w:fill="F0FAF6"/>
          </w:tcPr>
          <w:p w14:paraId="635C3301" w14:textId="3F258B8F" w:rsidR="00CF53E6" w:rsidRPr="00A14121" w:rsidRDefault="55DAD718" w:rsidP="00131292">
            <w:pPr>
              <w:pStyle w:val="ChartorTableNote"/>
              <w:spacing w:before="120" w:after="120"/>
              <w:jc w:val="left"/>
              <w:rPr>
                <w:lang w:val="en-GB"/>
              </w:rPr>
            </w:pPr>
            <w:r w:rsidRPr="00A14121">
              <w:rPr>
                <w:lang w:val="en-GB"/>
              </w:rPr>
              <w:t>This publication discusses fertility and family formation. We recognise that every person has a unique experience, whether a parent</w:t>
            </w:r>
            <w:r w:rsidR="4FC1CC5E" w:rsidRPr="00A14121">
              <w:rPr>
                <w:lang w:val="en-GB"/>
              </w:rPr>
              <w:t xml:space="preserve"> or not</w:t>
            </w:r>
            <w:r w:rsidRPr="00A14121">
              <w:rPr>
                <w:lang w:val="en-GB"/>
              </w:rPr>
              <w:t xml:space="preserve">. </w:t>
            </w:r>
            <w:r w:rsidR="010744C6" w:rsidRPr="00A14121">
              <w:rPr>
                <w:lang w:val="en-GB"/>
              </w:rPr>
              <w:t>I</w:t>
            </w:r>
            <w:r w:rsidRPr="00A14121">
              <w:rPr>
                <w:lang w:val="en-GB"/>
              </w:rPr>
              <w:t xml:space="preserve">nfertility, </w:t>
            </w:r>
            <w:proofErr w:type="gramStart"/>
            <w:r w:rsidRPr="00A14121">
              <w:rPr>
                <w:lang w:val="en-GB"/>
              </w:rPr>
              <w:t>miscarriage</w:t>
            </w:r>
            <w:proofErr w:type="gramEnd"/>
            <w:r w:rsidRPr="00A14121">
              <w:rPr>
                <w:lang w:val="en-GB"/>
              </w:rPr>
              <w:t xml:space="preserve"> and pregnancy are sensitive topics that we recognise may be emotionally challenging for some readers. If this raises any issues for you, Lifeline provides confidential one</w:t>
            </w:r>
            <w:r w:rsidR="009040A2">
              <w:rPr>
                <w:lang w:val="en-GB"/>
              </w:rPr>
              <w:noBreakHyphen/>
            </w:r>
            <w:r w:rsidRPr="00A14121">
              <w:rPr>
                <w:lang w:val="en-GB"/>
              </w:rPr>
              <w:t>to</w:t>
            </w:r>
            <w:r w:rsidR="009040A2">
              <w:rPr>
                <w:lang w:val="en-GB"/>
              </w:rPr>
              <w:noBreakHyphen/>
            </w:r>
            <w:r w:rsidRPr="00A14121">
              <w:rPr>
                <w:lang w:val="en-GB"/>
              </w:rPr>
              <w:t>one support for people who are feeling overwhelmed or having difficulty coping. You can call Lifeline on 13 11 14 or visit</w:t>
            </w:r>
            <w:r w:rsidR="00131292">
              <w:rPr>
                <w:lang w:val="en-GB"/>
              </w:rPr>
              <w:t> </w:t>
            </w:r>
            <w:hyperlink r:id="rId12">
              <w:r w:rsidRPr="00A14121">
                <w:rPr>
                  <w:rStyle w:val="Hyperlink"/>
                  <w:szCs w:val="18"/>
                  <w:lang w:val="en-GB"/>
                </w:rPr>
                <w:t>lifeline.org.au</w:t>
              </w:r>
            </w:hyperlink>
            <w:r w:rsidRPr="00A14121">
              <w:rPr>
                <w:lang w:val="en-GB"/>
              </w:rPr>
              <w:t xml:space="preserve">. </w:t>
            </w:r>
          </w:p>
        </w:tc>
      </w:tr>
    </w:tbl>
    <w:p w14:paraId="400E7F1D" w14:textId="77777777" w:rsidR="00B40B6F" w:rsidRDefault="00B40B6F" w:rsidP="00A11B48">
      <w:pPr>
        <w:pStyle w:val="SingleParagraph"/>
        <w:sectPr w:rsidR="00B40B6F" w:rsidSect="003C24B4">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1418" w:right="1418" w:bottom="1418" w:left="1418" w:header="709" w:footer="709" w:gutter="0"/>
          <w:pgNumType w:start="1"/>
          <w:cols w:space="708"/>
          <w:docGrid w:linePitch="360"/>
        </w:sectPr>
      </w:pPr>
    </w:p>
    <w:p w14:paraId="072F4CCC" w14:textId="1B795E4D" w:rsidR="006C5B73" w:rsidRDefault="00EC0C33" w:rsidP="00A11B48">
      <w:pPr>
        <w:pStyle w:val="Heading1"/>
      </w:pPr>
      <w:bookmarkStart w:id="4" w:name="_how_are_fertility"/>
      <w:bookmarkEnd w:id="4"/>
      <w:r>
        <w:lastRenderedPageBreak/>
        <w:t xml:space="preserve">How </w:t>
      </w:r>
      <w:r w:rsidR="00046B29">
        <w:t>are fertility choices made</w:t>
      </w:r>
      <w:r w:rsidR="00E86471">
        <w:t>?</w:t>
      </w:r>
    </w:p>
    <w:p w14:paraId="3CA1F465" w14:textId="7E2550DF" w:rsidR="006C5B73" w:rsidRDefault="00E86471" w:rsidP="00CE0DA7">
      <w:pPr>
        <w:pStyle w:val="Heading2"/>
      </w:pPr>
      <w:bookmarkStart w:id="5" w:name="_Macro-level_conditions_affect"/>
      <w:bookmarkEnd w:id="5"/>
      <w:r>
        <w:t>Macro</w:t>
      </w:r>
      <w:r w:rsidR="009040A2">
        <w:noBreakHyphen/>
      </w:r>
      <w:r>
        <w:t>level conditions affect individual decision</w:t>
      </w:r>
      <w:r w:rsidR="009040A2">
        <w:noBreakHyphen/>
      </w:r>
      <w:proofErr w:type="gramStart"/>
      <w:r>
        <w:t>making</w:t>
      </w:r>
      <w:proofErr w:type="gramEnd"/>
    </w:p>
    <w:p w14:paraId="619978D0" w14:textId="351D4CE4" w:rsidR="004F1EB4" w:rsidRDefault="731426AD" w:rsidP="00370564">
      <w:pPr>
        <w:rPr>
          <w:lang w:val="en-GB"/>
        </w:rPr>
      </w:pPr>
      <w:r w:rsidRPr="38FAB90E">
        <w:rPr>
          <w:lang w:val="en-GB"/>
        </w:rPr>
        <w:t>Over the past sixty years, the economy, labour force and society have changed significantly. Although the factors in fertility decline are highly</w:t>
      </w:r>
      <w:r w:rsidR="6C574483" w:rsidRPr="38FAB90E">
        <w:rPr>
          <w:lang w:val="en-GB"/>
        </w:rPr>
        <w:t xml:space="preserve"> complex and</w:t>
      </w:r>
      <w:r w:rsidRPr="38FAB90E">
        <w:rPr>
          <w:lang w:val="en-GB"/>
        </w:rPr>
        <w:t xml:space="preserve"> interconnected</w:t>
      </w:r>
      <w:r w:rsidR="718BB952" w:rsidRPr="38FAB90E">
        <w:rPr>
          <w:lang w:val="en-GB"/>
        </w:rPr>
        <w:t>,</w:t>
      </w:r>
      <w:r w:rsidRPr="38FAB90E">
        <w:rPr>
          <w:lang w:val="en-GB"/>
        </w:rPr>
        <w:t xml:space="preserve"> increases in female education</w:t>
      </w:r>
      <w:r w:rsidR="1088D857" w:rsidRPr="38FAB90E">
        <w:rPr>
          <w:lang w:val="en-GB"/>
        </w:rPr>
        <w:t xml:space="preserve">, </w:t>
      </w:r>
      <w:r w:rsidRPr="38FAB90E">
        <w:rPr>
          <w:lang w:val="en-GB"/>
        </w:rPr>
        <w:t>labour force participation</w:t>
      </w:r>
      <w:r w:rsidR="1715D5DC" w:rsidRPr="38FAB90E">
        <w:rPr>
          <w:lang w:val="en-GB"/>
        </w:rPr>
        <w:t>,</w:t>
      </w:r>
      <w:r w:rsidRPr="38FAB90E">
        <w:rPr>
          <w:lang w:val="en-GB"/>
        </w:rPr>
        <w:t xml:space="preserve"> housing market changes</w:t>
      </w:r>
      <w:r w:rsidR="1715D5DC" w:rsidRPr="38FAB90E">
        <w:rPr>
          <w:lang w:val="en-GB"/>
        </w:rPr>
        <w:t xml:space="preserve"> and changes in social norms and values</w:t>
      </w:r>
      <w:r w:rsidRPr="38FAB90E">
        <w:rPr>
          <w:lang w:val="en-GB"/>
        </w:rPr>
        <w:t xml:space="preserve"> have </w:t>
      </w:r>
      <w:r w:rsidR="00171032" w:rsidRPr="38FAB90E">
        <w:rPr>
          <w:lang w:val="en-GB"/>
        </w:rPr>
        <w:t xml:space="preserve">contributed to </w:t>
      </w:r>
      <w:r w:rsidRPr="38FAB90E">
        <w:rPr>
          <w:lang w:val="en-GB"/>
        </w:rPr>
        <w:t xml:space="preserve">the decline. </w:t>
      </w:r>
      <w:r w:rsidR="00057258" w:rsidRPr="38FAB90E">
        <w:rPr>
          <w:lang w:val="en-GB"/>
        </w:rPr>
        <w:t>While rising female education and labour force participation rates are well established factors impacting individuals</w:t>
      </w:r>
      <w:r w:rsidR="009040A2">
        <w:rPr>
          <w:lang w:val="en-GB"/>
        </w:rPr>
        <w:t>’</w:t>
      </w:r>
      <w:r w:rsidR="00057258" w:rsidRPr="38FAB90E">
        <w:rPr>
          <w:lang w:val="en-GB"/>
        </w:rPr>
        <w:t xml:space="preserve"> fertility choices, </w:t>
      </w:r>
      <w:r w:rsidR="00AD5F3D" w:rsidRPr="38FAB90E">
        <w:rPr>
          <w:lang w:val="en-GB"/>
        </w:rPr>
        <w:t>other</w:t>
      </w:r>
      <w:r w:rsidR="00057258" w:rsidRPr="38FAB90E">
        <w:rPr>
          <w:lang w:val="en-GB"/>
        </w:rPr>
        <w:t xml:space="preserve"> factors such as</w:t>
      </w:r>
      <w:r w:rsidR="005870E9">
        <w:rPr>
          <w:lang w:val="en-GB"/>
        </w:rPr>
        <w:t xml:space="preserve"> the</w:t>
      </w:r>
      <w:r w:rsidR="00057258" w:rsidRPr="38FAB90E">
        <w:rPr>
          <w:lang w:val="en-GB"/>
        </w:rPr>
        <w:t xml:space="preserve"> rising costs of living</w:t>
      </w:r>
      <w:r w:rsidR="005870E9">
        <w:rPr>
          <w:lang w:val="en-GB"/>
        </w:rPr>
        <w:t xml:space="preserve"> and raising children</w:t>
      </w:r>
      <w:r w:rsidR="00057258" w:rsidRPr="38FAB90E">
        <w:rPr>
          <w:lang w:val="en-GB"/>
        </w:rPr>
        <w:t xml:space="preserve"> </w:t>
      </w:r>
      <w:r w:rsidR="00215D4C">
        <w:rPr>
          <w:lang w:val="en-GB"/>
        </w:rPr>
        <w:t>have also emerged</w:t>
      </w:r>
      <w:r w:rsidR="00604757">
        <w:rPr>
          <w:lang w:val="en-GB"/>
        </w:rPr>
        <w:t xml:space="preserve"> </w:t>
      </w:r>
      <w:r w:rsidR="00215D4C">
        <w:rPr>
          <w:lang w:val="en-GB"/>
        </w:rPr>
        <w:t>as contributors</w:t>
      </w:r>
      <w:r w:rsidR="00A33611">
        <w:rPr>
          <w:lang w:val="en-GB"/>
        </w:rPr>
        <w:t xml:space="preserve"> in recent decades</w:t>
      </w:r>
      <w:r w:rsidR="00057258" w:rsidRPr="38FAB90E">
        <w:rPr>
          <w:lang w:val="en-GB"/>
        </w:rPr>
        <w:t xml:space="preserve">. </w:t>
      </w:r>
      <w:r w:rsidR="47F390A0" w:rsidRPr="38FAB90E">
        <w:rPr>
          <w:lang w:val="en-GB"/>
        </w:rPr>
        <w:t>F</w:t>
      </w:r>
      <w:r w:rsidRPr="38FAB90E">
        <w:rPr>
          <w:lang w:val="en-GB"/>
        </w:rPr>
        <w:t xml:space="preserve">ertility decline has </w:t>
      </w:r>
      <w:r w:rsidR="1088D857" w:rsidRPr="38FAB90E">
        <w:rPr>
          <w:lang w:val="en-GB"/>
        </w:rPr>
        <w:t xml:space="preserve">also </w:t>
      </w:r>
      <w:r w:rsidRPr="38FAB90E">
        <w:rPr>
          <w:lang w:val="en-GB"/>
        </w:rPr>
        <w:t xml:space="preserve">been enabled by widespread contraceptive availability since the early 1960s, which has allowed women to plan and adjust their childbearing, depending on their context and personal circumstances (Gray et al. 2022, </w:t>
      </w:r>
      <w:r w:rsidR="3C8DA94C" w:rsidRPr="38FAB90E">
        <w:rPr>
          <w:lang w:val="en-GB"/>
        </w:rPr>
        <w:t>p</w:t>
      </w:r>
      <w:r w:rsidRPr="38FAB90E">
        <w:rPr>
          <w:lang w:val="en-GB"/>
        </w:rPr>
        <w:t xml:space="preserve"> 9).</w:t>
      </w:r>
      <w:r w:rsidR="000A419B">
        <w:rPr>
          <w:lang w:val="en-GB"/>
        </w:rPr>
        <w:t xml:space="preserve"> </w:t>
      </w:r>
      <w:r w:rsidR="00057258" w:rsidRPr="38FAB90E">
        <w:rPr>
          <w:lang w:val="en-GB"/>
        </w:rPr>
        <w:t>The relative importance these factors play in individual fertility decision making is not easily determined.</w:t>
      </w:r>
    </w:p>
    <w:p w14:paraId="6FEFAB11" w14:textId="6602A106" w:rsidR="00A2110B" w:rsidRDefault="1317701D" w:rsidP="00370564">
      <w:pPr>
        <w:rPr>
          <w:lang w:val="en-GB"/>
        </w:rPr>
      </w:pPr>
      <w:r w:rsidRPr="38FAB90E">
        <w:rPr>
          <w:lang w:val="en-GB"/>
        </w:rPr>
        <w:t>These b</w:t>
      </w:r>
      <w:r w:rsidR="7DE5F555" w:rsidRPr="38FAB90E">
        <w:rPr>
          <w:lang w:val="en-GB"/>
        </w:rPr>
        <w:t>road macro</w:t>
      </w:r>
      <w:r w:rsidR="009040A2">
        <w:rPr>
          <w:lang w:val="en-GB"/>
        </w:rPr>
        <w:noBreakHyphen/>
      </w:r>
      <w:r w:rsidR="7DE5F555" w:rsidRPr="38FAB90E">
        <w:rPr>
          <w:lang w:val="en-GB"/>
        </w:rPr>
        <w:t xml:space="preserve">level factors </w:t>
      </w:r>
      <w:r w:rsidR="09C5296F" w:rsidRPr="38FAB90E">
        <w:rPr>
          <w:lang w:val="en-GB"/>
        </w:rPr>
        <w:t xml:space="preserve">influence the </w:t>
      </w:r>
      <w:r w:rsidR="7DE5F555" w:rsidRPr="38FAB90E">
        <w:rPr>
          <w:lang w:val="en-GB"/>
        </w:rPr>
        <w:t xml:space="preserve">paths taken by individuals and couples. </w:t>
      </w:r>
      <w:r w:rsidR="2A43F2C0" w:rsidRPr="38FAB90E">
        <w:rPr>
          <w:lang w:val="en-GB"/>
        </w:rPr>
        <w:t xml:space="preserve">For </w:t>
      </w:r>
      <w:r w:rsidR="7DE5F555" w:rsidRPr="38FAB90E">
        <w:rPr>
          <w:lang w:val="en-GB"/>
        </w:rPr>
        <w:t xml:space="preserve">previous generations, marriage and childbearing occurred at younger ages and </w:t>
      </w:r>
      <w:r w:rsidR="2A43F2C0" w:rsidRPr="38FAB90E">
        <w:rPr>
          <w:lang w:val="en-GB"/>
        </w:rPr>
        <w:t xml:space="preserve">this was </w:t>
      </w:r>
      <w:r w:rsidR="7DE5F555" w:rsidRPr="38FAB90E">
        <w:rPr>
          <w:lang w:val="en-GB"/>
        </w:rPr>
        <w:t xml:space="preserve">considered the </w:t>
      </w:r>
      <w:r w:rsidR="491F2E73" w:rsidRPr="38FAB90E">
        <w:rPr>
          <w:lang w:val="en-GB"/>
        </w:rPr>
        <w:t>beginning</w:t>
      </w:r>
      <w:r w:rsidR="7DE5F555" w:rsidRPr="38FAB90E">
        <w:rPr>
          <w:lang w:val="en-GB"/>
        </w:rPr>
        <w:t xml:space="preserve"> of adult life (</w:t>
      </w:r>
      <w:proofErr w:type="spellStart"/>
      <w:r w:rsidR="7DE5F555" w:rsidRPr="38FAB90E">
        <w:rPr>
          <w:lang w:val="en-GB"/>
        </w:rPr>
        <w:t>Lesthaeghe</w:t>
      </w:r>
      <w:proofErr w:type="spellEnd"/>
      <w:r w:rsidR="7DE5F555" w:rsidRPr="38FAB90E">
        <w:rPr>
          <w:lang w:val="en-GB"/>
        </w:rPr>
        <w:t xml:space="preserve"> 2014, </w:t>
      </w:r>
      <w:r w:rsidR="007225E7" w:rsidRPr="38FAB90E">
        <w:rPr>
          <w:lang w:val="en-GB"/>
        </w:rPr>
        <w:t>p</w:t>
      </w:r>
      <w:r w:rsidR="7DE5F555" w:rsidRPr="38FAB90E">
        <w:rPr>
          <w:lang w:val="en-GB"/>
        </w:rPr>
        <w:t xml:space="preserve"> 18113)</w:t>
      </w:r>
      <w:r w:rsidR="2A43F2C0" w:rsidRPr="38FAB90E">
        <w:rPr>
          <w:lang w:val="en-GB"/>
        </w:rPr>
        <w:t>.</w:t>
      </w:r>
      <w:r w:rsidR="022856D5" w:rsidRPr="38FAB90E">
        <w:rPr>
          <w:lang w:val="en-GB"/>
        </w:rPr>
        <w:t xml:space="preserve"> </w:t>
      </w:r>
      <w:r w:rsidR="2A43F2C0" w:rsidRPr="38FAB90E">
        <w:rPr>
          <w:lang w:val="en-GB"/>
        </w:rPr>
        <w:t>N</w:t>
      </w:r>
      <w:r w:rsidR="7DE5F555" w:rsidRPr="38FAB90E">
        <w:rPr>
          <w:lang w:val="en-GB"/>
        </w:rPr>
        <w:t>owadays, this sentiment is rare. Much more prominent is the idea that one needs to be properly set</w:t>
      </w:r>
      <w:r w:rsidR="009040A2">
        <w:rPr>
          <w:lang w:val="en-GB"/>
        </w:rPr>
        <w:noBreakHyphen/>
      </w:r>
      <w:r w:rsidR="7DE5F555" w:rsidRPr="38FAB90E">
        <w:rPr>
          <w:lang w:val="en-GB"/>
        </w:rPr>
        <w:t xml:space="preserve">up in terms of a career, job security, home ownership, relationship experience and personal identity before beginning a family (Boivin et al. 2018; Gray et al. 2022, </w:t>
      </w:r>
      <w:r w:rsidR="007225E7" w:rsidRPr="38FAB90E">
        <w:rPr>
          <w:lang w:val="en-GB"/>
        </w:rPr>
        <w:t>p</w:t>
      </w:r>
      <w:r w:rsidR="7DE5F555" w:rsidRPr="38FAB90E">
        <w:rPr>
          <w:lang w:val="en-GB"/>
        </w:rPr>
        <w:t xml:space="preserve"> 33</w:t>
      </w:r>
      <w:r w:rsidR="009040A2">
        <w:rPr>
          <w:lang w:val="en-GB"/>
        </w:rPr>
        <w:noBreakHyphen/>
      </w:r>
      <w:r w:rsidR="7DE5F555" w:rsidRPr="38FAB90E">
        <w:rPr>
          <w:lang w:val="en-GB"/>
        </w:rPr>
        <w:t xml:space="preserve">37; </w:t>
      </w:r>
      <w:proofErr w:type="spellStart"/>
      <w:r w:rsidR="7DE5F555" w:rsidRPr="38FAB90E">
        <w:rPr>
          <w:lang w:val="en-GB"/>
        </w:rPr>
        <w:t>Lesthaeghe</w:t>
      </w:r>
      <w:proofErr w:type="spellEnd"/>
      <w:r w:rsidR="7DE5F555" w:rsidRPr="38FAB90E">
        <w:rPr>
          <w:lang w:val="en-GB"/>
        </w:rPr>
        <w:t xml:space="preserve"> 2014, </w:t>
      </w:r>
      <w:r w:rsidR="007225E7" w:rsidRPr="38FAB90E">
        <w:rPr>
          <w:lang w:val="en-GB"/>
        </w:rPr>
        <w:t>p</w:t>
      </w:r>
      <w:r w:rsidR="7DE5F555" w:rsidRPr="38FAB90E">
        <w:rPr>
          <w:lang w:val="en-GB"/>
        </w:rPr>
        <w:t xml:space="preserve"> 18113). Not only may these expectations be higher than for previous </w:t>
      </w:r>
      <w:proofErr w:type="gramStart"/>
      <w:r w:rsidR="7DE5F555" w:rsidRPr="38FAB90E">
        <w:rPr>
          <w:lang w:val="en-GB"/>
        </w:rPr>
        <w:t>generations</w:t>
      </w:r>
      <w:proofErr w:type="gramEnd"/>
      <w:r w:rsidR="7DE5F555" w:rsidRPr="38FAB90E">
        <w:rPr>
          <w:lang w:val="en-GB"/>
        </w:rPr>
        <w:t xml:space="preserve"> but</w:t>
      </w:r>
      <w:r w:rsidR="1714F637" w:rsidRPr="38FAB90E">
        <w:rPr>
          <w:lang w:val="en-GB"/>
        </w:rPr>
        <w:t xml:space="preserve"> </w:t>
      </w:r>
      <w:r w:rsidR="7DE5F555" w:rsidRPr="38FAB90E">
        <w:rPr>
          <w:lang w:val="en-GB"/>
        </w:rPr>
        <w:t xml:space="preserve">these goals </w:t>
      </w:r>
      <w:r w:rsidR="1BDEC683" w:rsidRPr="38FAB90E">
        <w:rPr>
          <w:lang w:val="en-GB"/>
        </w:rPr>
        <w:t xml:space="preserve">may be </w:t>
      </w:r>
      <w:r w:rsidR="7DE5F555" w:rsidRPr="38FAB90E">
        <w:rPr>
          <w:lang w:val="en-GB"/>
        </w:rPr>
        <w:t>harder to secure.</w:t>
      </w:r>
    </w:p>
    <w:p w14:paraId="48315C86" w14:textId="23AB29EE" w:rsidR="00CE0DA7" w:rsidRPr="00A37F20" w:rsidRDefault="00734064" w:rsidP="00CE0DA7">
      <w:pPr>
        <w:pStyle w:val="Heading3"/>
        <w:rPr>
          <w:lang w:val="en-GB"/>
        </w:rPr>
      </w:pPr>
      <w:r>
        <w:rPr>
          <w:lang w:val="en-GB"/>
        </w:rPr>
        <w:t>Education and labour force</w:t>
      </w:r>
    </w:p>
    <w:p w14:paraId="3D5374F8" w14:textId="28677CDF" w:rsidR="00370564" w:rsidRDefault="338AAA96" w:rsidP="00370564">
      <w:pPr>
        <w:rPr>
          <w:lang w:val="en-GB"/>
        </w:rPr>
      </w:pPr>
      <w:r w:rsidRPr="0CDF2A62">
        <w:rPr>
          <w:lang w:val="en-GB"/>
        </w:rPr>
        <w:t xml:space="preserve">Female education levels and labour force participation have grown considerably over the past sixty years. </w:t>
      </w:r>
      <w:r w:rsidR="5392466B" w:rsidRPr="0CDF2A62">
        <w:rPr>
          <w:lang w:val="en-GB"/>
        </w:rPr>
        <w:t>Female rates of secondary and tertiary education now exceed those of males (ABS 2023a) and s</w:t>
      </w:r>
      <w:r w:rsidRPr="0CDF2A62">
        <w:rPr>
          <w:lang w:val="en-GB"/>
        </w:rPr>
        <w:t xml:space="preserve">ince 1966, </w:t>
      </w:r>
      <w:r w:rsidR="49063220" w:rsidRPr="0CDF2A62">
        <w:rPr>
          <w:lang w:val="en-GB"/>
        </w:rPr>
        <w:t>the</w:t>
      </w:r>
      <w:r w:rsidR="008C5CF1">
        <w:rPr>
          <w:lang w:val="en-GB"/>
        </w:rPr>
        <w:t> </w:t>
      </w:r>
      <w:r w:rsidRPr="0CDF2A62">
        <w:rPr>
          <w:lang w:val="en-GB"/>
        </w:rPr>
        <w:t>female labour force participation rate ha</w:t>
      </w:r>
      <w:r w:rsidR="49063220" w:rsidRPr="0CDF2A62">
        <w:rPr>
          <w:lang w:val="en-GB"/>
        </w:rPr>
        <w:t>s</w:t>
      </w:r>
      <w:r w:rsidRPr="0CDF2A62">
        <w:rPr>
          <w:lang w:val="en-GB"/>
        </w:rPr>
        <w:t xml:space="preserve"> climbed from 37 per cent to 63 per cent (ABS 2024</w:t>
      </w:r>
      <w:r w:rsidR="66C738AF" w:rsidRPr="0CDF2A62">
        <w:rPr>
          <w:lang w:val="en-GB"/>
        </w:rPr>
        <w:t>a</w:t>
      </w:r>
      <w:r w:rsidRPr="0CDF2A62">
        <w:rPr>
          <w:lang w:val="en-GB"/>
        </w:rPr>
        <w:t>).</w:t>
      </w:r>
      <w:r w:rsidR="32865701" w:rsidRPr="0CDF2A62">
        <w:rPr>
          <w:lang w:val="en-GB"/>
        </w:rPr>
        <w:t xml:space="preserve"> Despite changes in women</w:t>
      </w:r>
      <w:r w:rsidR="009040A2">
        <w:rPr>
          <w:lang w:val="en-GB"/>
        </w:rPr>
        <w:t>’</w:t>
      </w:r>
      <w:r w:rsidR="32865701" w:rsidRPr="0CDF2A62">
        <w:rPr>
          <w:lang w:val="en-GB"/>
        </w:rPr>
        <w:t xml:space="preserve">s workforce participation, </w:t>
      </w:r>
      <w:r w:rsidR="60088022" w:rsidRPr="0CDF2A62">
        <w:rPr>
          <w:lang w:val="en-GB"/>
        </w:rPr>
        <w:t>women</w:t>
      </w:r>
      <w:r w:rsidR="32865701" w:rsidRPr="0CDF2A62">
        <w:rPr>
          <w:lang w:val="en-GB"/>
        </w:rPr>
        <w:t xml:space="preserve"> perform more unpaid work in the home than men, especially if they have children (Gray et al. 2022, p 35). </w:t>
      </w:r>
      <w:r w:rsidR="32865701">
        <w:t xml:space="preserve">This results in women, especially mothers, undertaking a </w:t>
      </w:r>
      <w:r w:rsidR="009040A2">
        <w:t>“</w:t>
      </w:r>
      <w:r w:rsidR="32865701">
        <w:t>second shift</w:t>
      </w:r>
      <w:r w:rsidR="009040A2">
        <w:t>”</w:t>
      </w:r>
      <w:r w:rsidR="32865701">
        <w:t xml:space="preserve"> in the home in addition to work outside the home (Gray et al. 2022, p 33), discouraging them from having children or having more children.</w:t>
      </w:r>
    </w:p>
    <w:p w14:paraId="7DFC82F8" w14:textId="62BE10B7" w:rsidR="00D20A8C" w:rsidRPr="00CD13F8" w:rsidRDefault="00AE5711" w:rsidP="00370564">
      <w:pPr>
        <w:rPr>
          <w:lang w:val="en-GB"/>
        </w:rPr>
      </w:pPr>
      <w:r w:rsidRPr="38FAB90E">
        <w:rPr>
          <w:lang w:val="en-GB"/>
        </w:rPr>
        <w:t xml:space="preserve">To be prepared for the implications of taking time out of the workforce to have a child, many women want to achieve financial and professional stability before having children (Gray et al. 2022, </w:t>
      </w:r>
      <w:r w:rsidR="007225E7" w:rsidRPr="38FAB90E">
        <w:rPr>
          <w:lang w:val="en-GB"/>
        </w:rPr>
        <w:t>p</w:t>
      </w:r>
      <w:r w:rsidRPr="38FAB90E">
        <w:rPr>
          <w:lang w:val="en-GB"/>
        </w:rPr>
        <w:t xml:space="preserve"> 20). Building financial and professional security can take many years and could be influencing decisions to begin childbearing later in life. Further, these </w:t>
      </w:r>
      <w:r w:rsidR="003D519E" w:rsidRPr="38FAB90E">
        <w:rPr>
          <w:lang w:val="en-GB"/>
        </w:rPr>
        <w:t xml:space="preserve">factors </w:t>
      </w:r>
      <w:r w:rsidRPr="38FAB90E">
        <w:rPr>
          <w:lang w:val="en-GB"/>
        </w:rPr>
        <w:t xml:space="preserve">may cause them to limit the number of children they do have or, as discussed in a later section, forgo having children altogether. This is seen particularly for highly educated women, who have lower fertility rates than women with less education (Gray et al. 2022, </w:t>
      </w:r>
      <w:r w:rsidR="007225E7" w:rsidRPr="38FAB90E">
        <w:rPr>
          <w:lang w:val="en-GB"/>
        </w:rPr>
        <w:t>p</w:t>
      </w:r>
      <w:r w:rsidRPr="38FAB90E">
        <w:rPr>
          <w:lang w:val="en-GB"/>
        </w:rPr>
        <w:t xml:space="preserve"> 32). Between 2011 and 2016 in Australia, women with a post</w:t>
      </w:r>
      <w:r w:rsidR="009040A2">
        <w:rPr>
          <w:lang w:val="en-GB"/>
        </w:rPr>
        <w:noBreakHyphen/>
      </w:r>
      <w:r w:rsidRPr="38FAB90E">
        <w:rPr>
          <w:lang w:val="en-GB"/>
        </w:rPr>
        <w:t>secondary qualification had their first child 3.5 years later and had 0.14 fewer children than women without a post</w:t>
      </w:r>
      <w:r w:rsidR="009040A2">
        <w:rPr>
          <w:lang w:val="en-GB"/>
        </w:rPr>
        <w:noBreakHyphen/>
      </w:r>
      <w:r w:rsidRPr="38FAB90E">
        <w:rPr>
          <w:lang w:val="en-GB"/>
        </w:rPr>
        <w:t>secondary qualification (McDonald &amp; Moyle 2019)</w:t>
      </w:r>
      <w:r w:rsidR="00CD13F8" w:rsidRPr="38FAB90E">
        <w:rPr>
          <w:lang w:val="en-GB"/>
        </w:rPr>
        <w:t>.</w:t>
      </w:r>
    </w:p>
    <w:p w14:paraId="5D8CF913" w14:textId="7CBB2E8C" w:rsidR="0038655D" w:rsidRPr="009B4536" w:rsidRDefault="00370564" w:rsidP="00370564">
      <w:pPr>
        <w:rPr>
          <w:spacing w:val="-2"/>
        </w:rPr>
      </w:pPr>
      <w:r w:rsidRPr="009B4536">
        <w:rPr>
          <w:spacing w:val="-2"/>
        </w:rPr>
        <w:t>Labour market conditions have also changed during this time. The labour market has experienced a decline in</w:t>
      </w:r>
      <w:r w:rsidR="008C5CF1">
        <w:rPr>
          <w:spacing w:val="-2"/>
        </w:rPr>
        <w:t> </w:t>
      </w:r>
      <w:r w:rsidRPr="009B4536">
        <w:rPr>
          <w:spacing w:val="-2"/>
        </w:rPr>
        <w:t>stable, low</w:t>
      </w:r>
      <w:r w:rsidR="009040A2">
        <w:rPr>
          <w:spacing w:val="-2"/>
        </w:rPr>
        <w:noBreakHyphen/>
      </w:r>
      <w:r w:rsidRPr="009B4536">
        <w:rPr>
          <w:spacing w:val="-2"/>
        </w:rPr>
        <w:t>skilled job opportunities, creating job insecurity particularly for younger adults (</w:t>
      </w:r>
      <w:r w:rsidR="00023CA3" w:rsidRPr="009B4536">
        <w:rPr>
          <w:spacing w:val="-2"/>
        </w:rPr>
        <w:t>t</w:t>
      </w:r>
      <w:r w:rsidR="007E7036" w:rsidRPr="009B4536">
        <w:rPr>
          <w:spacing w:val="-2"/>
        </w:rPr>
        <w:t>he Australian Go</w:t>
      </w:r>
      <w:r w:rsidR="00A40E71" w:rsidRPr="009B4536">
        <w:rPr>
          <w:spacing w:val="-2"/>
        </w:rPr>
        <w:t xml:space="preserve">vernment </w:t>
      </w:r>
      <w:r w:rsidRPr="009B4536">
        <w:rPr>
          <w:spacing w:val="-2"/>
        </w:rPr>
        <w:t xml:space="preserve">2023, </w:t>
      </w:r>
      <w:r w:rsidR="007225E7" w:rsidRPr="009B4536">
        <w:rPr>
          <w:spacing w:val="-2"/>
        </w:rPr>
        <w:t>p</w:t>
      </w:r>
      <w:r w:rsidRPr="009B4536">
        <w:rPr>
          <w:spacing w:val="-2"/>
        </w:rPr>
        <w:t xml:space="preserve"> 11, 49</w:t>
      </w:r>
      <w:r w:rsidR="009040A2">
        <w:rPr>
          <w:spacing w:val="-2"/>
        </w:rPr>
        <w:noBreakHyphen/>
      </w:r>
      <w:r w:rsidRPr="009B4536">
        <w:rPr>
          <w:spacing w:val="-2"/>
        </w:rPr>
        <w:t xml:space="preserve">50; Gray et al. 2022, </w:t>
      </w:r>
      <w:r w:rsidR="007225E7" w:rsidRPr="009B4536">
        <w:rPr>
          <w:spacing w:val="-2"/>
        </w:rPr>
        <w:t>p</w:t>
      </w:r>
      <w:r w:rsidRPr="009B4536">
        <w:rPr>
          <w:spacing w:val="-2"/>
        </w:rPr>
        <w:t xml:space="preserve"> 24, 33). This </w:t>
      </w:r>
      <w:r w:rsidR="006C5810" w:rsidRPr="009B4536">
        <w:rPr>
          <w:spacing w:val="-2"/>
        </w:rPr>
        <w:t xml:space="preserve">causes young people to spend more time investing in their education and job experience and </w:t>
      </w:r>
      <w:r w:rsidRPr="009B4536">
        <w:rPr>
          <w:spacing w:val="-2"/>
        </w:rPr>
        <w:t>makes it economically riskier to have children at younger ages</w:t>
      </w:r>
      <w:r w:rsidR="008C3FBC" w:rsidRPr="009B4536">
        <w:rPr>
          <w:spacing w:val="-2"/>
        </w:rPr>
        <w:t>.</w:t>
      </w:r>
      <w:r w:rsidR="00DB2A0D" w:rsidRPr="009B4536">
        <w:rPr>
          <w:spacing w:val="-2"/>
        </w:rPr>
        <w:t xml:space="preserve"> </w:t>
      </w:r>
    </w:p>
    <w:p w14:paraId="013CB441" w14:textId="77777777" w:rsidR="00EF5F0C" w:rsidRPr="009B4536" w:rsidRDefault="00EF5F0C" w:rsidP="009B4536">
      <w:r w:rsidRPr="009B4536">
        <w:br w:type="page"/>
      </w:r>
    </w:p>
    <w:p w14:paraId="4412B6DE" w14:textId="333B33BD" w:rsidR="00734064" w:rsidRDefault="00734064" w:rsidP="00734064">
      <w:pPr>
        <w:pStyle w:val="Heading3"/>
      </w:pPr>
      <w:r>
        <w:lastRenderedPageBreak/>
        <w:t>Housing and cost of living</w:t>
      </w:r>
    </w:p>
    <w:p w14:paraId="44948CE1" w14:textId="4F01AF3E" w:rsidR="005942B4" w:rsidRDefault="00585A8C" w:rsidP="00370564">
      <w:r>
        <w:t>H</w:t>
      </w:r>
      <w:r w:rsidR="00370564" w:rsidRPr="00370564">
        <w:t xml:space="preserve">ome ownership among younger adults has become less common in recent decades but is still viewed as an important milestone before beginning a family (Gray et al. 2022, </w:t>
      </w:r>
      <w:r w:rsidR="007225E7">
        <w:t>p</w:t>
      </w:r>
      <w:r w:rsidR="00370564" w:rsidRPr="00370564">
        <w:t xml:space="preserve"> 34).</w:t>
      </w:r>
      <w:r w:rsidR="00745302">
        <w:t xml:space="preserve"> As seen in Chart 2, house values have increased </w:t>
      </w:r>
      <w:r w:rsidR="00DF598E">
        <w:t xml:space="preserve">substantially </w:t>
      </w:r>
      <w:r w:rsidR="00FB60B5">
        <w:t>compared to wages since 2011. Higher</w:t>
      </w:r>
      <w:r w:rsidR="003117F2">
        <w:t xml:space="preserve"> housing </w:t>
      </w:r>
      <w:r w:rsidR="00040906">
        <w:t>costs</w:t>
      </w:r>
      <w:r w:rsidR="003117F2">
        <w:t xml:space="preserve"> make it increasingly difficult for young adults to achieve their homeownership </w:t>
      </w:r>
      <w:r w:rsidR="00C218B9">
        <w:t>goals</w:t>
      </w:r>
      <w:r w:rsidR="003117F2">
        <w:t xml:space="preserve"> prior to </w:t>
      </w:r>
      <w:r w:rsidR="00134ECA">
        <w:t>starting</w:t>
      </w:r>
      <w:r w:rsidR="00C218B9">
        <w:t xml:space="preserve"> a family</w:t>
      </w:r>
      <w:r w:rsidR="00134ECA">
        <w:t>.</w:t>
      </w:r>
      <w:r w:rsidR="00370564" w:rsidRPr="00370564">
        <w:t> </w:t>
      </w:r>
      <w:r w:rsidR="00DB2A0D">
        <w:t>This</w:t>
      </w:r>
      <w:r w:rsidR="00C661EB" w:rsidRPr="00C661EB">
        <w:t xml:space="preserve"> causes people to postpone </w:t>
      </w:r>
      <w:r w:rsidR="00965D4D">
        <w:t>childbearing</w:t>
      </w:r>
      <w:r w:rsidR="00286F9D">
        <w:t xml:space="preserve"> until they ar</w:t>
      </w:r>
      <w:r w:rsidR="00A1278C">
        <w:t xml:space="preserve">e </w:t>
      </w:r>
      <w:r w:rsidR="00214836">
        <w:t xml:space="preserve">financially </w:t>
      </w:r>
      <w:r w:rsidR="00A1278C">
        <w:t>ready</w:t>
      </w:r>
      <w:r w:rsidR="00286F9D">
        <w:t xml:space="preserve"> to purchase a</w:t>
      </w:r>
      <w:r w:rsidR="00A1278C">
        <w:t xml:space="preserve"> property</w:t>
      </w:r>
      <w:r w:rsidR="00C661EB" w:rsidRPr="00C661EB">
        <w:t xml:space="preserve"> (Gray et al. 2022, </w:t>
      </w:r>
      <w:r w:rsidR="007225E7">
        <w:t>p</w:t>
      </w:r>
      <w:r w:rsidR="00C661EB" w:rsidRPr="00C661EB">
        <w:t xml:space="preserve"> 34).</w:t>
      </w:r>
    </w:p>
    <w:p w14:paraId="7A95D254" w14:textId="506860BE" w:rsidR="00B817C1" w:rsidRPr="006E1837" w:rsidRDefault="005521D7" w:rsidP="00EF7261">
      <w:pPr>
        <w:pStyle w:val="ChartMainHeading"/>
        <w:rPr>
          <w:lang w:val="en-GB"/>
        </w:rPr>
      </w:pPr>
      <w:r>
        <w:rPr>
          <w:lang w:val="en-GB"/>
        </w:rPr>
        <w:t>C</w:t>
      </w:r>
      <w:r w:rsidR="00B817C1">
        <w:rPr>
          <w:lang w:val="en-GB"/>
        </w:rPr>
        <w:t xml:space="preserve">hange in </w:t>
      </w:r>
      <w:r>
        <w:rPr>
          <w:lang w:val="en-GB"/>
        </w:rPr>
        <w:t>h</w:t>
      </w:r>
      <w:r w:rsidR="004F3C5E">
        <w:rPr>
          <w:lang w:val="en-GB"/>
        </w:rPr>
        <w:t xml:space="preserve">ouse values, </w:t>
      </w:r>
      <w:r>
        <w:rPr>
          <w:lang w:val="en-GB"/>
        </w:rPr>
        <w:t>a</w:t>
      </w:r>
      <w:r w:rsidR="004F3C5E">
        <w:rPr>
          <w:lang w:val="en-GB"/>
        </w:rPr>
        <w:t xml:space="preserve">verage </w:t>
      </w:r>
      <w:r>
        <w:rPr>
          <w:lang w:val="en-GB"/>
        </w:rPr>
        <w:t>w</w:t>
      </w:r>
      <w:r w:rsidR="004F3C5E">
        <w:rPr>
          <w:lang w:val="en-GB"/>
        </w:rPr>
        <w:t xml:space="preserve">ages per hour and </w:t>
      </w:r>
      <w:r>
        <w:rPr>
          <w:lang w:val="en-GB"/>
        </w:rPr>
        <w:t>i</w:t>
      </w:r>
      <w:r w:rsidR="004F3C5E">
        <w:rPr>
          <w:lang w:val="en-GB"/>
        </w:rPr>
        <w:t>nflation</w:t>
      </w:r>
      <w:r w:rsidR="00B817C1">
        <w:rPr>
          <w:lang w:val="en-GB"/>
        </w:rPr>
        <w:t xml:space="preserve">, </w:t>
      </w:r>
      <w:r w:rsidR="003D0EF4">
        <w:rPr>
          <w:lang w:val="en-GB"/>
        </w:rPr>
        <w:t>September</w:t>
      </w:r>
      <w:r w:rsidR="00B817C1">
        <w:rPr>
          <w:lang w:val="en-GB"/>
        </w:rPr>
        <w:t xml:space="preserve"> 20</w:t>
      </w:r>
      <w:r w:rsidR="003D0EF4">
        <w:rPr>
          <w:lang w:val="en-GB"/>
        </w:rPr>
        <w:t>11</w:t>
      </w:r>
      <w:r w:rsidR="009040A2">
        <w:rPr>
          <w:lang w:val="en-GB"/>
        </w:rPr>
        <w:t xml:space="preserve"> – </w:t>
      </w:r>
      <w:r w:rsidR="003D0EF4">
        <w:rPr>
          <w:lang w:val="en-GB"/>
        </w:rPr>
        <w:t>June</w:t>
      </w:r>
      <w:r w:rsidR="00FE3D8F">
        <w:rPr>
          <w:lang w:val="en-GB"/>
        </w:rPr>
        <w:t> </w:t>
      </w:r>
      <w:r w:rsidR="00B817C1">
        <w:rPr>
          <w:lang w:val="en-GB"/>
        </w:rPr>
        <w:t>2024</w:t>
      </w:r>
    </w:p>
    <w:p w14:paraId="60B2DA59" w14:textId="608BCF13" w:rsidR="00B817C1" w:rsidRDefault="000269F4" w:rsidP="003E1D38">
      <w:pPr>
        <w:spacing w:after="120"/>
        <w:jc w:val="center"/>
      </w:pPr>
      <w:r>
        <w:rPr>
          <w:noProof/>
        </w:rPr>
        <w:drawing>
          <wp:inline distT="0" distB="0" distL="0" distR="0" wp14:anchorId="6E93F82C" wp14:editId="4C73B03F">
            <wp:extent cx="5760720" cy="3042920"/>
            <wp:effectExtent l="0" t="0" r="0" b="0"/>
            <wp:docPr id="1165404256" name="Chart 1" descr="This chart shows the change in house values, wages and inflation from September 2021 to June 2024.&#10;&#10;House values have increased substantially from an index value of 100 to an index value of 270. Wages and inflation increased from an index value of 100 to around 140.">
              <a:extLst xmlns:a="http://schemas.openxmlformats.org/drawingml/2006/main">
                <a:ext uri="{FF2B5EF4-FFF2-40B4-BE49-F238E27FC236}">
                  <a16:creationId xmlns:a16="http://schemas.microsoft.com/office/drawing/2014/main" id="{11AA413F-B089-A448-5D5C-2DD452ADB0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CACB89" w14:textId="7D425A97" w:rsidR="00EE6E6F" w:rsidRDefault="00EE6E6F" w:rsidP="004852FA">
      <w:pPr>
        <w:pStyle w:val="Source"/>
      </w:pPr>
      <w:r>
        <w:t>Source:  Consumer Price Index (CPI),</w:t>
      </w:r>
      <w:r w:rsidRPr="00FD2DED">
        <w:t xml:space="preserve"> </w:t>
      </w:r>
      <w:r>
        <w:t>Average Earnings National Accounts (AENA), Total value of dwelling stock, Australia</w:t>
      </w:r>
      <w:r w:rsidR="009A6C66">
        <w:t xml:space="preserve"> – Australian Bureau of Statistics (ABS)</w:t>
      </w:r>
      <w:r>
        <w:t>.</w:t>
      </w:r>
    </w:p>
    <w:p w14:paraId="64D24F02" w14:textId="27BA8826" w:rsidR="0024297E" w:rsidRDefault="7CF9F316" w:rsidP="009C5D12">
      <w:pPr>
        <w:rPr>
          <w:lang w:val="en-GB"/>
        </w:rPr>
      </w:pPr>
      <w:bookmarkStart w:id="6" w:name="_Hlk171585703"/>
      <w:r>
        <w:t>T</w:t>
      </w:r>
      <w:r w:rsidR="415FFB93" w:rsidRPr="38FAB90E">
        <w:rPr>
          <w:lang w:val="en-GB"/>
        </w:rPr>
        <w:t>he cost</w:t>
      </w:r>
      <w:r w:rsidR="1CC093DA" w:rsidRPr="38FAB90E">
        <w:rPr>
          <w:lang w:val="en-GB"/>
        </w:rPr>
        <w:t xml:space="preserve"> of living and</w:t>
      </w:r>
      <w:r w:rsidR="415FFB93" w:rsidRPr="38FAB90E">
        <w:rPr>
          <w:lang w:val="en-GB"/>
        </w:rPr>
        <w:t xml:space="preserve"> </w:t>
      </w:r>
      <w:r w:rsidR="68A581AD" w:rsidRPr="38FAB90E">
        <w:rPr>
          <w:lang w:val="en-GB"/>
        </w:rPr>
        <w:t>cost</w:t>
      </w:r>
      <w:r w:rsidR="415FFB93" w:rsidRPr="38FAB90E">
        <w:rPr>
          <w:lang w:val="en-GB"/>
        </w:rPr>
        <w:t xml:space="preserve"> of raising children is another factor </w:t>
      </w:r>
      <w:r w:rsidR="3D60AF74" w:rsidRPr="38FAB90E">
        <w:rPr>
          <w:lang w:val="en-GB"/>
        </w:rPr>
        <w:t>impacting</w:t>
      </w:r>
      <w:r w:rsidR="415FFB93" w:rsidRPr="38FAB90E">
        <w:rPr>
          <w:lang w:val="en-GB"/>
        </w:rPr>
        <w:t xml:space="preserve"> fertility</w:t>
      </w:r>
      <w:r w:rsidR="3D60AF74" w:rsidRPr="38FAB90E">
        <w:rPr>
          <w:lang w:val="en-GB"/>
        </w:rPr>
        <w:t xml:space="preserve"> decisions</w:t>
      </w:r>
      <w:r w:rsidR="415FFB93" w:rsidRPr="38FAB90E">
        <w:rPr>
          <w:lang w:val="en-GB"/>
        </w:rPr>
        <w:t xml:space="preserve">. </w:t>
      </w:r>
      <w:r w:rsidR="1CC093DA" w:rsidRPr="38FAB90E">
        <w:rPr>
          <w:lang w:val="en-GB"/>
        </w:rPr>
        <w:t xml:space="preserve">As seen in </w:t>
      </w:r>
      <w:r w:rsidR="245FAAC5" w:rsidRPr="38FAB90E">
        <w:rPr>
          <w:lang w:val="en-GB"/>
        </w:rPr>
        <w:t xml:space="preserve">Chart </w:t>
      </w:r>
      <w:r w:rsidR="00686A3C">
        <w:rPr>
          <w:lang w:val="en-GB"/>
        </w:rPr>
        <w:t>3</w:t>
      </w:r>
      <w:r w:rsidR="245FAAC5" w:rsidRPr="38FAB90E">
        <w:rPr>
          <w:lang w:val="en-GB"/>
        </w:rPr>
        <w:t xml:space="preserve">, living costs </w:t>
      </w:r>
      <w:r w:rsidR="43077BB0" w:rsidRPr="38FAB90E">
        <w:rPr>
          <w:lang w:val="en-GB"/>
        </w:rPr>
        <w:t xml:space="preserve">in Australia </w:t>
      </w:r>
      <w:r w:rsidR="245FAAC5" w:rsidRPr="38FAB90E">
        <w:rPr>
          <w:lang w:val="en-GB"/>
        </w:rPr>
        <w:t>have increased by 55</w:t>
      </w:r>
      <w:r w:rsidR="5F575864" w:rsidRPr="38FAB90E">
        <w:rPr>
          <w:lang w:val="en-GB"/>
        </w:rPr>
        <w:t xml:space="preserve"> per cent</w:t>
      </w:r>
      <w:r w:rsidR="743BCB21" w:rsidRPr="38FAB90E">
        <w:rPr>
          <w:lang w:val="en-GB"/>
        </w:rPr>
        <w:t xml:space="preserve"> in employee households</w:t>
      </w:r>
      <w:r w:rsidR="307ACBD6" w:rsidRPr="38FAB90E">
        <w:rPr>
          <w:lang w:val="en-GB"/>
        </w:rPr>
        <w:t xml:space="preserve"> </w:t>
      </w:r>
      <w:r w:rsidR="7DDCAF31" w:rsidRPr="38FAB90E">
        <w:rPr>
          <w:lang w:val="en-GB"/>
        </w:rPr>
        <w:t>from</w:t>
      </w:r>
      <w:r w:rsidR="5F575864" w:rsidRPr="38FAB90E">
        <w:rPr>
          <w:lang w:val="en-GB"/>
        </w:rPr>
        <w:t xml:space="preserve"> 2007</w:t>
      </w:r>
      <w:r w:rsidR="47B29D8E" w:rsidRPr="38FAB90E">
        <w:rPr>
          <w:lang w:val="en-GB"/>
        </w:rPr>
        <w:t xml:space="preserve"> </w:t>
      </w:r>
      <w:r w:rsidR="7DDCAF31" w:rsidRPr="38FAB90E">
        <w:rPr>
          <w:lang w:val="en-GB"/>
        </w:rPr>
        <w:t>to 2024</w:t>
      </w:r>
      <w:r w:rsidR="001E55FB">
        <w:rPr>
          <w:lang w:val="en-GB"/>
        </w:rPr>
        <w:t xml:space="preserve"> (ABS 2024</w:t>
      </w:r>
      <w:r w:rsidR="00926FC4">
        <w:rPr>
          <w:lang w:val="en-GB"/>
        </w:rPr>
        <w:t>c</w:t>
      </w:r>
      <w:r w:rsidR="00844608">
        <w:rPr>
          <w:lang w:val="en-GB"/>
        </w:rPr>
        <w:t>)</w:t>
      </w:r>
      <w:r w:rsidR="7DDCAF31" w:rsidRPr="38FAB90E">
        <w:rPr>
          <w:lang w:val="en-GB"/>
        </w:rPr>
        <w:t xml:space="preserve"> </w:t>
      </w:r>
      <w:r w:rsidR="47B29D8E" w:rsidRPr="38FAB90E">
        <w:rPr>
          <w:lang w:val="en-GB"/>
        </w:rPr>
        <w:t>and</w:t>
      </w:r>
      <w:r w:rsidR="3F38E0DE" w:rsidRPr="38FAB90E">
        <w:rPr>
          <w:lang w:val="en-GB"/>
        </w:rPr>
        <w:t xml:space="preserve"> house </w:t>
      </w:r>
      <w:r w:rsidR="006C3B1B">
        <w:rPr>
          <w:lang w:val="en-GB"/>
        </w:rPr>
        <w:t>values</w:t>
      </w:r>
      <w:r w:rsidR="3F38E0DE" w:rsidRPr="38FAB90E">
        <w:rPr>
          <w:lang w:val="en-GB"/>
        </w:rPr>
        <w:t xml:space="preserve"> increased </w:t>
      </w:r>
      <w:r w:rsidR="006C3B1B" w:rsidRPr="38FAB90E">
        <w:rPr>
          <w:lang w:val="en-GB"/>
        </w:rPr>
        <w:t>1</w:t>
      </w:r>
      <w:r w:rsidR="006C3B1B">
        <w:rPr>
          <w:lang w:val="en-GB"/>
        </w:rPr>
        <w:t>50</w:t>
      </w:r>
      <w:r w:rsidR="006C3B1B" w:rsidRPr="38FAB90E">
        <w:rPr>
          <w:lang w:val="en-GB"/>
        </w:rPr>
        <w:t xml:space="preserve"> </w:t>
      </w:r>
      <w:r w:rsidR="0F9346E0" w:rsidRPr="38FAB90E">
        <w:rPr>
          <w:lang w:val="en-GB"/>
        </w:rPr>
        <w:t>per cent</w:t>
      </w:r>
      <w:r w:rsidR="1EDE38D8" w:rsidRPr="38FAB90E">
        <w:rPr>
          <w:lang w:val="en-GB"/>
        </w:rPr>
        <w:t xml:space="preserve"> from</w:t>
      </w:r>
      <w:r w:rsidR="267F9478" w:rsidRPr="38FAB90E">
        <w:rPr>
          <w:lang w:val="en-GB"/>
        </w:rPr>
        <w:t xml:space="preserve"> </w:t>
      </w:r>
      <w:r w:rsidR="006C3B1B" w:rsidRPr="38FAB90E">
        <w:rPr>
          <w:lang w:val="en-GB"/>
        </w:rPr>
        <w:t>20</w:t>
      </w:r>
      <w:r w:rsidR="006C3B1B">
        <w:rPr>
          <w:lang w:val="en-GB"/>
        </w:rPr>
        <w:t>11</w:t>
      </w:r>
      <w:r w:rsidR="006C3B1B" w:rsidRPr="38FAB90E">
        <w:rPr>
          <w:lang w:val="en-GB"/>
        </w:rPr>
        <w:t xml:space="preserve"> </w:t>
      </w:r>
      <w:r w:rsidR="267F9478" w:rsidRPr="38FAB90E">
        <w:rPr>
          <w:lang w:val="en-GB"/>
        </w:rPr>
        <w:t xml:space="preserve">to </w:t>
      </w:r>
      <w:r w:rsidR="006C3B1B" w:rsidRPr="38FAB90E">
        <w:rPr>
          <w:lang w:val="en-GB"/>
        </w:rPr>
        <w:t>202</w:t>
      </w:r>
      <w:r w:rsidR="006C3B1B">
        <w:rPr>
          <w:lang w:val="en-GB"/>
        </w:rPr>
        <w:t>4</w:t>
      </w:r>
      <w:r w:rsidR="00844608">
        <w:rPr>
          <w:lang w:val="en-GB"/>
        </w:rPr>
        <w:t xml:space="preserve"> (ABS 2024</w:t>
      </w:r>
      <w:r w:rsidR="00926FC4">
        <w:rPr>
          <w:lang w:val="en-GB"/>
        </w:rPr>
        <w:t>b</w:t>
      </w:r>
      <w:r w:rsidR="00844608">
        <w:rPr>
          <w:lang w:val="en-GB"/>
        </w:rPr>
        <w:t>)</w:t>
      </w:r>
      <w:r w:rsidR="7DDCAF31" w:rsidRPr="38FAB90E">
        <w:rPr>
          <w:lang w:val="en-GB"/>
        </w:rPr>
        <w:t>. Meanwhile,</w:t>
      </w:r>
      <w:r w:rsidR="7FB96095" w:rsidRPr="38FAB90E">
        <w:rPr>
          <w:lang w:val="en-GB"/>
        </w:rPr>
        <w:t xml:space="preserve"> </w:t>
      </w:r>
      <w:r w:rsidR="003A36DF">
        <w:rPr>
          <w:lang w:val="en-GB"/>
        </w:rPr>
        <w:t>average wages per hour</w:t>
      </w:r>
      <w:r w:rsidR="2AE119D8" w:rsidRPr="38FAB90E">
        <w:rPr>
          <w:lang w:val="en-GB"/>
        </w:rPr>
        <w:t xml:space="preserve"> increased by </w:t>
      </w:r>
      <w:r w:rsidR="003A36DF">
        <w:rPr>
          <w:lang w:val="en-GB"/>
        </w:rPr>
        <w:t>70</w:t>
      </w:r>
      <w:r w:rsidR="003A36DF" w:rsidRPr="38FAB90E">
        <w:rPr>
          <w:lang w:val="en-GB"/>
        </w:rPr>
        <w:t xml:space="preserve"> </w:t>
      </w:r>
      <w:r w:rsidR="2AE119D8" w:rsidRPr="38FAB90E">
        <w:rPr>
          <w:lang w:val="en-GB"/>
        </w:rPr>
        <w:t>per cent</w:t>
      </w:r>
      <w:r w:rsidR="7DDCAF31" w:rsidRPr="38FAB90E">
        <w:rPr>
          <w:lang w:val="en-GB"/>
        </w:rPr>
        <w:t xml:space="preserve"> from 2007 to </w:t>
      </w:r>
      <w:r w:rsidR="003A36DF" w:rsidRPr="38FAB90E">
        <w:rPr>
          <w:lang w:val="en-GB"/>
        </w:rPr>
        <w:t>202</w:t>
      </w:r>
      <w:r w:rsidR="003A36DF">
        <w:rPr>
          <w:lang w:val="en-GB"/>
        </w:rPr>
        <w:t>4</w:t>
      </w:r>
      <w:r w:rsidR="003A36DF" w:rsidRPr="38FAB90E">
        <w:rPr>
          <w:lang w:val="en-GB"/>
        </w:rPr>
        <w:t xml:space="preserve"> </w:t>
      </w:r>
      <w:r w:rsidR="2AE119D8" w:rsidRPr="38FAB90E">
        <w:rPr>
          <w:lang w:val="en-GB"/>
        </w:rPr>
        <w:t xml:space="preserve">(ABS </w:t>
      </w:r>
      <w:r w:rsidR="20200BC9" w:rsidRPr="38FAB90E">
        <w:rPr>
          <w:lang w:val="en-GB"/>
        </w:rPr>
        <w:t>2024</w:t>
      </w:r>
      <w:r w:rsidR="00926FC4">
        <w:rPr>
          <w:lang w:val="en-GB"/>
        </w:rPr>
        <w:t>d</w:t>
      </w:r>
      <w:r w:rsidR="20200BC9" w:rsidRPr="38FAB90E">
        <w:rPr>
          <w:lang w:val="en-GB"/>
        </w:rPr>
        <w:t>)</w:t>
      </w:r>
      <w:r w:rsidR="5F575864" w:rsidRPr="38FAB90E">
        <w:rPr>
          <w:lang w:val="en-GB"/>
        </w:rPr>
        <w:t xml:space="preserve">. This increase </w:t>
      </w:r>
      <w:r w:rsidR="09D13FDD" w:rsidRPr="38FAB90E">
        <w:rPr>
          <w:lang w:val="en-GB"/>
        </w:rPr>
        <w:t>is not consistent across all categories that make up the cost of living</w:t>
      </w:r>
      <w:r w:rsidR="00842E71">
        <w:rPr>
          <w:lang w:val="en-GB"/>
        </w:rPr>
        <w:t xml:space="preserve"> for families</w:t>
      </w:r>
      <w:r w:rsidR="09D13FDD" w:rsidRPr="38FAB90E">
        <w:rPr>
          <w:lang w:val="en-GB"/>
        </w:rPr>
        <w:t xml:space="preserve">. Education, </w:t>
      </w:r>
      <w:proofErr w:type="gramStart"/>
      <w:r w:rsidR="4DB41C71" w:rsidRPr="38FAB90E">
        <w:rPr>
          <w:lang w:val="en-GB"/>
        </w:rPr>
        <w:t>health</w:t>
      </w:r>
      <w:proofErr w:type="gramEnd"/>
      <w:r w:rsidR="4DB41C71" w:rsidRPr="38FAB90E">
        <w:rPr>
          <w:lang w:val="en-GB"/>
        </w:rPr>
        <w:t xml:space="preserve"> and housing</w:t>
      </w:r>
      <w:r w:rsidR="55DB32FA" w:rsidRPr="38FAB90E">
        <w:rPr>
          <w:lang w:val="en-GB"/>
        </w:rPr>
        <w:t>,</w:t>
      </w:r>
      <w:r w:rsidR="1AE825EA" w:rsidRPr="38FAB90E">
        <w:rPr>
          <w:lang w:val="en-GB"/>
        </w:rPr>
        <w:t xml:space="preserve"> which includes mortgages but not the purchase </w:t>
      </w:r>
      <w:r w:rsidR="22B47FB2" w:rsidRPr="38FAB90E">
        <w:rPr>
          <w:lang w:val="en-GB"/>
        </w:rPr>
        <w:t>of new dwellings,</w:t>
      </w:r>
      <w:r w:rsidR="54A12473" w:rsidRPr="38FAB90E">
        <w:rPr>
          <w:lang w:val="en-GB"/>
        </w:rPr>
        <w:t xml:space="preserve"> are</w:t>
      </w:r>
      <w:r w:rsidR="55DB32FA" w:rsidRPr="38FAB90E">
        <w:rPr>
          <w:lang w:val="en-GB"/>
        </w:rPr>
        <w:t xml:space="preserve"> the categories most </w:t>
      </w:r>
      <w:r w:rsidR="2F4E0497" w:rsidRPr="38FAB90E">
        <w:rPr>
          <w:lang w:val="en-GB"/>
        </w:rPr>
        <w:t>related to raising children</w:t>
      </w:r>
      <w:r w:rsidR="54A12473" w:rsidRPr="38FAB90E">
        <w:rPr>
          <w:lang w:val="en-GB"/>
        </w:rPr>
        <w:t xml:space="preserve"> and </w:t>
      </w:r>
      <w:r w:rsidR="4DB41C71" w:rsidRPr="38FAB90E">
        <w:rPr>
          <w:lang w:val="en-GB"/>
        </w:rPr>
        <w:t xml:space="preserve">are among </w:t>
      </w:r>
      <w:r w:rsidR="04F2F4E0" w:rsidRPr="38FAB90E">
        <w:rPr>
          <w:lang w:val="en-GB"/>
        </w:rPr>
        <w:t>the most affected categories</w:t>
      </w:r>
      <w:r w:rsidR="4B2FE3CF" w:rsidRPr="38FAB90E">
        <w:rPr>
          <w:lang w:val="en-GB"/>
        </w:rPr>
        <w:t xml:space="preserve">. </w:t>
      </w:r>
      <w:r w:rsidR="2F4E0497" w:rsidRPr="38FAB90E">
        <w:rPr>
          <w:lang w:val="en-GB"/>
        </w:rPr>
        <w:t>Even when controlling for the increase in consumer prices, the costs of raising children have increased significantly over the past two decades (Gray et al. 2022, p. 30)</w:t>
      </w:r>
      <w:r w:rsidR="1912AFD0" w:rsidRPr="38FAB90E">
        <w:rPr>
          <w:lang w:val="en-GB"/>
        </w:rPr>
        <w:t xml:space="preserve">, which </w:t>
      </w:r>
      <w:r w:rsidR="4A94D869" w:rsidRPr="38FAB90E">
        <w:rPr>
          <w:lang w:val="en-GB"/>
        </w:rPr>
        <w:t>deters people from having children</w:t>
      </w:r>
      <w:r w:rsidR="2F4E0497" w:rsidRPr="38FAB90E">
        <w:rPr>
          <w:lang w:val="en-GB"/>
        </w:rPr>
        <w:t xml:space="preserve">. </w:t>
      </w:r>
      <w:r w:rsidR="3CBE2761" w:rsidRPr="38FAB90E">
        <w:rPr>
          <w:lang w:val="en-GB"/>
        </w:rPr>
        <w:t xml:space="preserve">In an </w:t>
      </w:r>
      <w:r w:rsidR="0BCB4F17" w:rsidRPr="38FAB90E">
        <w:rPr>
          <w:lang w:val="en-GB"/>
        </w:rPr>
        <w:t>Australian sample, 39 per cent of childless people considered</w:t>
      </w:r>
      <w:r w:rsidR="4AC5355D" w:rsidRPr="38FAB90E">
        <w:rPr>
          <w:lang w:val="en-GB"/>
        </w:rPr>
        <w:t xml:space="preserve"> the general cost of raising children to be a very important factor in their </w:t>
      </w:r>
      <w:r w:rsidR="5B95DA94" w:rsidRPr="38FAB90E">
        <w:rPr>
          <w:lang w:val="en-GB"/>
        </w:rPr>
        <w:t>decision making around fertility (Gray et al. 2022, p. 30).</w:t>
      </w:r>
    </w:p>
    <w:bookmarkEnd w:id="6"/>
    <w:p w14:paraId="72286833" w14:textId="5DD0D93C" w:rsidR="008D4D65" w:rsidRPr="006E1837" w:rsidRDefault="00E1082C" w:rsidP="00EF7261">
      <w:pPr>
        <w:pStyle w:val="ChartMainHeading"/>
        <w:rPr>
          <w:lang w:val="en-GB"/>
        </w:rPr>
      </w:pPr>
      <w:r>
        <w:rPr>
          <w:lang w:val="en-GB"/>
        </w:rPr>
        <w:lastRenderedPageBreak/>
        <w:t xml:space="preserve">Percentage change in </w:t>
      </w:r>
      <w:proofErr w:type="gramStart"/>
      <w:r>
        <w:rPr>
          <w:lang w:val="en-GB"/>
        </w:rPr>
        <w:t>c</w:t>
      </w:r>
      <w:r w:rsidR="0014606B">
        <w:rPr>
          <w:lang w:val="en-GB"/>
        </w:rPr>
        <w:t>ost of living</w:t>
      </w:r>
      <w:proofErr w:type="gramEnd"/>
      <w:r>
        <w:rPr>
          <w:lang w:val="en-GB"/>
        </w:rPr>
        <w:t xml:space="preserve"> index </w:t>
      </w:r>
      <w:r w:rsidR="003500E2">
        <w:rPr>
          <w:lang w:val="en-GB"/>
        </w:rPr>
        <w:t xml:space="preserve">in employee households </w:t>
      </w:r>
      <w:r>
        <w:rPr>
          <w:lang w:val="en-GB"/>
        </w:rPr>
        <w:t>by category,</w:t>
      </w:r>
      <w:r w:rsidR="004A15A6">
        <w:rPr>
          <w:lang w:val="en-GB"/>
        </w:rPr>
        <w:t xml:space="preserve"> June</w:t>
      </w:r>
      <w:r w:rsidR="009926D3">
        <w:rPr>
          <w:lang w:val="en-GB"/>
        </w:rPr>
        <w:t> </w:t>
      </w:r>
      <w:r>
        <w:rPr>
          <w:lang w:val="en-GB"/>
        </w:rPr>
        <w:t>2007</w:t>
      </w:r>
      <w:r w:rsidR="009040A2">
        <w:rPr>
          <w:lang w:val="en-GB"/>
        </w:rPr>
        <w:t xml:space="preserve"> – </w:t>
      </w:r>
      <w:r w:rsidR="004A15A6">
        <w:rPr>
          <w:lang w:val="en-GB"/>
        </w:rPr>
        <w:t xml:space="preserve">March </w:t>
      </w:r>
      <w:r>
        <w:rPr>
          <w:lang w:val="en-GB"/>
        </w:rPr>
        <w:t>2024</w:t>
      </w:r>
    </w:p>
    <w:p w14:paraId="5A2AF5FE" w14:textId="719A3FE9" w:rsidR="0086468E" w:rsidRDefault="0086468E" w:rsidP="003E1D38">
      <w:pPr>
        <w:spacing w:before="0" w:after="120"/>
      </w:pPr>
      <w:r>
        <w:rPr>
          <w:noProof/>
        </w:rPr>
        <w:drawing>
          <wp:inline distT="0" distB="0" distL="0" distR="0" wp14:anchorId="4592BDBD" wp14:editId="46D466ED">
            <wp:extent cx="5567754" cy="2741116"/>
            <wp:effectExtent l="0" t="0" r="0" b="2540"/>
            <wp:docPr id="2" name="Chart 2" descr="This chart shows the percentage change in the selected living cost index for different commodities between June 2007 and March 2024.&#10;&#10;Alcohol and tobacco; Education; Health; and Housing are among the commodities with the highest growth during this time.">
              <a:extLst xmlns:a="http://schemas.openxmlformats.org/drawingml/2006/main">
                <a:ext uri="{FF2B5EF4-FFF2-40B4-BE49-F238E27FC236}">
                  <a16:creationId xmlns:a16="http://schemas.microsoft.com/office/drawing/2014/main" id="{5388B39A-0996-1AFE-028D-F31017FE4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8CBB1C" w14:textId="331EA401" w:rsidR="001B30EA" w:rsidRPr="00370564" w:rsidRDefault="001B30EA" w:rsidP="001B30EA">
      <w:pPr>
        <w:pStyle w:val="Source"/>
      </w:pPr>
      <w:r>
        <w:t xml:space="preserve">Source: </w:t>
      </w:r>
      <w:r w:rsidR="009A10DE">
        <w:t>ABS 2024c</w:t>
      </w:r>
    </w:p>
    <w:p w14:paraId="7531319A" w14:textId="1E7C9CA4" w:rsidR="00734064" w:rsidRDefault="00734064" w:rsidP="00734064">
      <w:pPr>
        <w:pStyle w:val="Heading3"/>
      </w:pPr>
      <w:r>
        <w:t>Social norms</w:t>
      </w:r>
    </w:p>
    <w:p w14:paraId="465C1F84" w14:textId="6D978130" w:rsidR="008C6C87" w:rsidRDefault="00370564" w:rsidP="005B6960">
      <w:r>
        <w:t xml:space="preserve">In the social realm, social norms </w:t>
      </w:r>
      <w:r w:rsidR="2724A5E6">
        <w:t xml:space="preserve">and values have changed. </w:t>
      </w:r>
      <w:r w:rsidR="7D79A801">
        <w:t>Individualism has become more prominent</w:t>
      </w:r>
      <w:r>
        <w:t>, with a</w:t>
      </w:r>
      <w:r w:rsidR="008C5CF1">
        <w:t> </w:t>
      </w:r>
      <w:r>
        <w:t>focus on high</w:t>
      </w:r>
      <w:r w:rsidR="009040A2">
        <w:noBreakHyphen/>
      </w:r>
      <w:r>
        <w:t>order needs such as self</w:t>
      </w:r>
      <w:r w:rsidR="009040A2">
        <w:noBreakHyphen/>
      </w:r>
      <w:r>
        <w:t xml:space="preserve">expression, </w:t>
      </w:r>
      <w:proofErr w:type="gramStart"/>
      <w:r>
        <w:t>autonomy</w:t>
      </w:r>
      <w:proofErr w:type="gramEnd"/>
      <w:r>
        <w:t xml:space="preserve"> and fulfilment, which young adults pursue before becoming parents (Gray et al. 2022, </w:t>
      </w:r>
      <w:r w:rsidR="007225E7">
        <w:t>p</w:t>
      </w:r>
      <w:r>
        <w:t xml:space="preserve"> 36). </w:t>
      </w:r>
    </w:p>
    <w:p w14:paraId="04A0E2F4" w14:textId="14405F77" w:rsidR="00B33E14" w:rsidRDefault="00370564" w:rsidP="005B6960">
      <w:r w:rsidRPr="00370564">
        <w:t>Similarly, secularisation has also occurred</w:t>
      </w:r>
      <w:r w:rsidR="00B33E14">
        <w:t xml:space="preserve"> </w:t>
      </w:r>
      <w:r w:rsidR="00427495">
        <w:t>in Austra</w:t>
      </w:r>
      <w:r w:rsidR="00650B9C">
        <w:t>lia</w:t>
      </w:r>
      <w:r w:rsidRPr="00370564">
        <w:t xml:space="preserve">, affecting childbearing values (Gray et al. 2022, </w:t>
      </w:r>
      <w:r w:rsidR="007225E7">
        <w:t>p</w:t>
      </w:r>
      <w:r w:rsidRPr="00370564">
        <w:t xml:space="preserve"> 37). </w:t>
      </w:r>
      <w:r w:rsidR="008C6C87" w:rsidRPr="00370564">
        <w:t xml:space="preserve">Patterns of partnering have also changed, with an increase in the prevalence of cohabitation, relationship dissolutions and lifelong singleness (Gray et al. 2022, </w:t>
      </w:r>
      <w:r w:rsidR="008C6C87">
        <w:t>p</w:t>
      </w:r>
      <w:r w:rsidR="008C6C87" w:rsidRPr="00370564">
        <w:t xml:space="preserve"> 37). </w:t>
      </w:r>
      <w:r w:rsidR="008C6C87" w:rsidRPr="00C661EB">
        <w:t xml:space="preserve">Cohabitation is now widely used to trial a relationship before committing to marriage or childbearing (Gray et al. 2022, </w:t>
      </w:r>
      <w:r w:rsidR="008C6C87">
        <w:t>p</w:t>
      </w:r>
      <w:r w:rsidR="008C6C87" w:rsidRPr="00C661EB">
        <w:t xml:space="preserve"> 37), but is occurring later in</w:t>
      </w:r>
      <w:r w:rsidR="008C5CF1">
        <w:t> </w:t>
      </w:r>
      <w:r w:rsidR="008C6C87" w:rsidRPr="00C661EB">
        <w:t>life</w:t>
      </w:r>
      <w:r w:rsidR="008C5CF1">
        <w:t> </w:t>
      </w:r>
      <w:r w:rsidR="008C6C87" w:rsidRPr="00C661EB">
        <w:t xml:space="preserve">than marriages were for previous generations (McDonald 2020, </w:t>
      </w:r>
      <w:r w:rsidR="008C6C87">
        <w:t>p</w:t>
      </w:r>
      <w:r w:rsidR="008C6C87" w:rsidRPr="00C661EB">
        <w:t xml:space="preserve"> 15).</w:t>
      </w:r>
    </w:p>
    <w:p w14:paraId="6EC40DFC" w14:textId="57546AE9" w:rsidR="005B6960" w:rsidRDefault="00370564" w:rsidP="00546F21">
      <w:r w:rsidRPr="00370564">
        <w:t xml:space="preserve">Social norms around parenting have changed too. Intensive parenting, which expects higher levels of money and time spent on active parenting than ever before, has become the norm (Gray et al. 2022, </w:t>
      </w:r>
      <w:r w:rsidR="007225E7">
        <w:t>p</w:t>
      </w:r>
      <w:r w:rsidRPr="00370564">
        <w:t xml:space="preserve"> 32). This means that prospective parents must make a careful trade</w:t>
      </w:r>
      <w:r w:rsidR="009040A2">
        <w:noBreakHyphen/>
      </w:r>
      <w:r w:rsidRPr="00370564">
        <w:t xml:space="preserve">off between the number of children they choose to have and the amount of time and energy they want to dedicate to other opportunities. </w:t>
      </w:r>
    </w:p>
    <w:p w14:paraId="6F99012B" w14:textId="700D0D38" w:rsidR="002359E7" w:rsidRDefault="002359E7" w:rsidP="00546F21">
      <w:r w:rsidRPr="38FAB90E">
        <w:rPr>
          <w:lang w:val="en-GB"/>
        </w:rPr>
        <w:t>The</w:t>
      </w:r>
      <w:r w:rsidR="008C6C87" w:rsidRPr="38FAB90E">
        <w:rPr>
          <w:lang w:val="en-GB"/>
        </w:rPr>
        <w:t>se</w:t>
      </w:r>
      <w:r w:rsidRPr="38FAB90E">
        <w:rPr>
          <w:lang w:val="en-GB"/>
        </w:rPr>
        <w:t xml:space="preserve"> societal shifts have expanded the opportunities available to many people, causing them to pursue life paths that don</w:t>
      </w:r>
      <w:r w:rsidR="009040A2">
        <w:rPr>
          <w:lang w:val="en-GB"/>
        </w:rPr>
        <w:t>’</w:t>
      </w:r>
      <w:r w:rsidRPr="38FAB90E">
        <w:rPr>
          <w:lang w:val="en-GB"/>
        </w:rPr>
        <w:t xml:space="preserve">t involve parenting. An increasing share of the population </w:t>
      </w:r>
      <w:r w:rsidR="00E93563" w:rsidRPr="38FAB90E">
        <w:rPr>
          <w:lang w:val="en-GB"/>
        </w:rPr>
        <w:t xml:space="preserve">is </w:t>
      </w:r>
      <w:r w:rsidR="00951F8A" w:rsidRPr="38FAB90E">
        <w:rPr>
          <w:lang w:val="en-GB"/>
        </w:rPr>
        <w:t xml:space="preserve">not having </w:t>
      </w:r>
      <w:r w:rsidRPr="38FAB90E">
        <w:rPr>
          <w:lang w:val="en-GB"/>
        </w:rPr>
        <w:t>child</w:t>
      </w:r>
      <w:r w:rsidR="00951F8A" w:rsidRPr="38FAB90E">
        <w:rPr>
          <w:lang w:val="en-GB"/>
        </w:rPr>
        <w:t>ren</w:t>
      </w:r>
      <w:r w:rsidR="003A39FD" w:rsidRPr="38FAB90E">
        <w:rPr>
          <w:lang w:val="en-GB"/>
        </w:rPr>
        <w:t xml:space="preserve"> </w:t>
      </w:r>
      <w:r w:rsidRPr="38FAB90E">
        <w:rPr>
          <w:lang w:val="en-GB"/>
        </w:rPr>
        <w:t xml:space="preserve">(AIFS 2023). </w:t>
      </w:r>
      <w:r w:rsidR="00932429" w:rsidRPr="38FAB90E">
        <w:rPr>
          <w:lang w:val="en-GB"/>
        </w:rPr>
        <w:t>In</w:t>
      </w:r>
      <w:r w:rsidR="008C5CF1">
        <w:rPr>
          <w:lang w:val="en-GB"/>
        </w:rPr>
        <w:t> </w:t>
      </w:r>
      <w:r w:rsidR="00932429" w:rsidRPr="38FAB90E">
        <w:rPr>
          <w:lang w:val="en-GB"/>
        </w:rPr>
        <w:t>some cases, n</w:t>
      </w:r>
      <w:r w:rsidR="00C357DE" w:rsidRPr="38FAB90E">
        <w:rPr>
          <w:lang w:val="en-GB"/>
        </w:rPr>
        <w:t xml:space="preserve">ot having children is choice, </w:t>
      </w:r>
      <w:r w:rsidRPr="38FAB90E">
        <w:rPr>
          <w:lang w:val="en-GB"/>
        </w:rPr>
        <w:t xml:space="preserve">because of the personal or career cost, </w:t>
      </w:r>
      <w:r w:rsidR="00BF6888" w:rsidRPr="38FAB90E">
        <w:rPr>
          <w:lang w:val="en-GB"/>
        </w:rPr>
        <w:t>or simply not wanting children</w:t>
      </w:r>
      <w:r w:rsidR="0044177E" w:rsidRPr="38FAB90E">
        <w:rPr>
          <w:lang w:val="en-GB"/>
        </w:rPr>
        <w:t xml:space="preserve">. In other cases, it is not by choice, such as </w:t>
      </w:r>
      <w:r w:rsidR="00E93563" w:rsidRPr="38FAB90E">
        <w:rPr>
          <w:lang w:val="en-GB"/>
        </w:rPr>
        <w:t>when people</w:t>
      </w:r>
      <w:r w:rsidRPr="38FAB90E">
        <w:rPr>
          <w:lang w:val="en-GB"/>
        </w:rPr>
        <w:t xml:space="preserve"> were unable to conceive after postponing having children to later in life (</w:t>
      </w:r>
      <w:proofErr w:type="spellStart"/>
      <w:r w:rsidRPr="38FAB90E">
        <w:rPr>
          <w:lang w:val="en-GB"/>
        </w:rPr>
        <w:t>Dariotis</w:t>
      </w:r>
      <w:proofErr w:type="spellEnd"/>
      <w:r w:rsidRPr="38FAB90E">
        <w:rPr>
          <w:lang w:val="en-GB"/>
        </w:rPr>
        <w:t xml:space="preserve"> 2004).</w:t>
      </w:r>
      <w:r w:rsidR="009C5D12">
        <w:t xml:space="preserve"> </w:t>
      </w:r>
    </w:p>
    <w:p w14:paraId="355184FA" w14:textId="77777777" w:rsidR="00546F21" w:rsidRDefault="00546F21"/>
    <w:p w14:paraId="19326EDF" w14:textId="77777777" w:rsidR="00546F21" w:rsidRDefault="00546F21"/>
    <w:tbl>
      <w:tblPr>
        <w:tblStyle w:val="TableGrid"/>
        <w:tblW w:w="5000" w:type="pct"/>
        <w:shd w:val="clear" w:color="auto" w:fill="F6FCF9"/>
        <w:tblCellMar>
          <w:top w:w="284" w:type="dxa"/>
          <w:left w:w="284" w:type="dxa"/>
          <w:bottom w:w="284" w:type="dxa"/>
          <w:right w:w="284" w:type="dxa"/>
        </w:tblCellMar>
        <w:tblLook w:val="04A0" w:firstRow="1" w:lastRow="0" w:firstColumn="1" w:lastColumn="0" w:noHBand="0" w:noVBand="1"/>
        <w:tblCaption w:val="Box 1. DEEP DIVE: FERTILITY, FEMALE LABOUR FORCE PARTICIPATION, AND HOUSEHOLD DIVISION OF LABOUR"/>
      </w:tblPr>
      <w:tblGrid>
        <w:gridCol w:w="9072"/>
      </w:tblGrid>
      <w:tr w:rsidR="00085D00" w14:paraId="79F134A1" w14:textId="77777777" w:rsidTr="00546F21">
        <w:trPr>
          <w:cantSplit/>
          <w:trHeight w:val="6657"/>
        </w:trPr>
        <w:tc>
          <w:tcPr>
            <w:tcW w:w="5000" w:type="pct"/>
            <w:shd w:val="clear" w:color="auto" w:fill="F0FAF6"/>
          </w:tcPr>
          <w:p w14:paraId="6F71CD9C" w14:textId="79E12777" w:rsidR="00EF7261" w:rsidRPr="00F01B6F" w:rsidRDefault="00F01B6F" w:rsidP="00F01B6F">
            <w:pPr>
              <w:pStyle w:val="BoxHeading"/>
            </w:pPr>
            <w:r w:rsidRPr="00F01B6F">
              <w:lastRenderedPageBreak/>
              <w:t>Deep dive: fertility, female labour force participation, and household division of</w:t>
            </w:r>
            <w:r>
              <w:t> </w:t>
            </w:r>
            <w:r w:rsidRPr="00F01B6F">
              <w:t xml:space="preserve">labour </w:t>
            </w:r>
          </w:p>
          <w:p w14:paraId="2F5AF6D6" w14:textId="04F6A1CF" w:rsidR="007410CF" w:rsidRPr="00546F21" w:rsidRDefault="0063478C" w:rsidP="00546F21">
            <w:pPr>
              <w:pStyle w:val="BoxText"/>
              <w:jc w:val="left"/>
            </w:pPr>
            <w:r w:rsidRPr="00546F21">
              <w:t>The relationship between low fertility and female labour force participation is a complex one. Shocks</w:t>
            </w:r>
            <w:r w:rsidR="00F01B6F" w:rsidRPr="00546F21">
              <w:t> </w:t>
            </w:r>
            <w:r w:rsidRPr="00546F21">
              <w:t>or</w:t>
            </w:r>
            <w:r w:rsidR="00F01B6F" w:rsidRPr="00546F21">
              <w:t> </w:t>
            </w:r>
            <w:r w:rsidRPr="00546F21">
              <w:t>policies</w:t>
            </w:r>
            <w:r w:rsidR="00271718" w:rsidRPr="00546F21">
              <w:t xml:space="preserve"> </w:t>
            </w:r>
            <w:r w:rsidRPr="00546F21">
              <w:t>that cause fertility to decline</w:t>
            </w:r>
            <w:r w:rsidR="004A0563" w:rsidRPr="00546F21">
              <w:t>, such as restrictions on the number of children a family can have</w:t>
            </w:r>
            <w:r w:rsidR="00F01B6F" w:rsidRPr="00546F21">
              <w:t> </w:t>
            </w:r>
            <w:r w:rsidR="004A0563" w:rsidRPr="00546F21">
              <w:t xml:space="preserve">or </w:t>
            </w:r>
            <w:r w:rsidR="00923948" w:rsidRPr="00546F21">
              <w:t>limiting IVF to only single</w:t>
            </w:r>
            <w:r w:rsidR="009040A2" w:rsidRPr="00546F21">
              <w:noBreakHyphen/>
            </w:r>
            <w:r w:rsidR="00923948" w:rsidRPr="00546F21">
              <w:t>embryo transfers</w:t>
            </w:r>
            <w:r w:rsidR="004A0563" w:rsidRPr="00546F21">
              <w:t>,</w:t>
            </w:r>
            <w:r w:rsidRPr="00546F21">
              <w:t xml:space="preserve"> often also lead to increases in female labour force participation (</w:t>
            </w:r>
            <w:proofErr w:type="spellStart"/>
            <w:r w:rsidRPr="00546F21">
              <w:t>Bhalotra</w:t>
            </w:r>
            <w:proofErr w:type="spellEnd"/>
            <w:r w:rsidRPr="00546F21">
              <w:t xml:space="preserve">, Clarke &amp; Walther 2021, </w:t>
            </w:r>
            <w:r w:rsidR="007225E7" w:rsidRPr="00546F21">
              <w:t>p</w:t>
            </w:r>
            <w:r w:rsidRPr="00546F21">
              <w:t xml:space="preserve"> </w:t>
            </w:r>
            <w:r w:rsidR="00F2287F" w:rsidRPr="00546F21">
              <w:t>14</w:t>
            </w:r>
            <w:r w:rsidR="00735202" w:rsidRPr="00546F21">
              <w:t xml:space="preserve">, 19, </w:t>
            </w:r>
            <w:r w:rsidRPr="00546F21">
              <w:t>21</w:t>
            </w:r>
            <w:r w:rsidR="009040A2" w:rsidRPr="00546F21">
              <w:noBreakHyphen/>
            </w:r>
            <w:r w:rsidRPr="00546F21">
              <w:t>22</w:t>
            </w:r>
            <w:r w:rsidR="00F2287F" w:rsidRPr="00546F21">
              <w:t xml:space="preserve">, </w:t>
            </w:r>
            <w:r w:rsidR="00931B2A" w:rsidRPr="00546F21">
              <w:t>25</w:t>
            </w:r>
            <w:r w:rsidRPr="00546F21">
              <w:t>). In the other direction, it is well</w:t>
            </w:r>
            <w:r w:rsidR="009040A2" w:rsidRPr="00546F21">
              <w:noBreakHyphen/>
            </w:r>
            <w:r w:rsidRPr="00546F21">
              <w:t xml:space="preserve">established that female labour force participation </w:t>
            </w:r>
            <w:r w:rsidR="00984AD1" w:rsidRPr="00546F21">
              <w:t>is correlated with</w:t>
            </w:r>
            <w:r w:rsidRPr="00546F21">
              <w:t xml:space="preserve"> low fertility (Gray et al. 2022, </w:t>
            </w:r>
            <w:r w:rsidR="007225E7" w:rsidRPr="00546F21">
              <w:t>p</w:t>
            </w:r>
            <w:r w:rsidR="008C5CF1" w:rsidRPr="00546F21">
              <w:t> </w:t>
            </w:r>
            <w:r w:rsidRPr="00546F21">
              <w:t xml:space="preserve">32). </w:t>
            </w:r>
          </w:p>
          <w:p w14:paraId="572D0C30" w14:textId="36211A26" w:rsidR="007410CF" w:rsidRDefault="007049C9" w:rsidP="008C5CF1">
            <w:pPr>
              <w:pStyle w:val="BoxText"/>
              <w:rPr>
                <w:lang w:val="en-GB"/>
              </w:rPr>
            </w:pPr>
            <w:r>
              <w:t>Accessible</w:t>
            </w:r>
            <w:r w:rsidR="00AD1243">
              <w:t xml:space="preserve"> and affordable childcare is an enabler </w:t>
            </w:r>
            <w:r w:rsidR="00AD1243" w:rsidRPr="008C5CF1">
              <w:t>to</w:t>
            </w:r>
            <w:r w:rsidR="00AD1243">
              <w:t xml:space="preserve"> supporting </w:t>
            </w:r>
            <w:r>
              <w:t xml:space="preserve">higher female labour force participation and higher fertility rates. </w:t>
            </w:r>
            <w:r w:rsidR="0063478C" w:rsidRPr="0063478C">
              <w:rPr>
                <w:lang w:val="en-GB"/>
              </w:rPr>
              <w:t xml:space="preserve">In Sweden and Denmark, where female labour force participation is high and childcare is easily accessible, fertility is higher than countries with less accessible childcare. </w:t>
            </w:r>
          </w:p>
          <w:p w14:paraId="00058759" w14:textId="37852EE2" w:rsidR="000D7F2B" w:rsidRPr="000D7F2B" w:rsidRDefault="0063478C" w:rsidP="000D7F2B">
            <w:pPr>
              <w:pStyle w:val="BoxText"/>
              <w:rPr>
                <w:lang w:val="en-GB"/>
              </w:rPr>
            </w:pPr>
            <w:r w:rsidRPr="0063478C">
              <w:rPr>
                <w:lang w:val="en-GB"/>
              </w:rPr>
              <w:t xml:space="preserve">In addition, a study of mostly European countries found fertility to be higher in countries with an </w:t>
            </w:r>
            <w:r w:rsidR="003964B3">
              <w:rPr>
                <w:lang w:val="en-GB"/>
              </w:rPr>
              <w:t>equitable</w:t>
            </w:r>
            <w:r w:rsidR="003964B3" w:rsidRPr="0063478C">
              <w:rPr>
                <w:lang w:val="en-GB"/>
              </w:rPr>
              <w:t xml:space="preserve"> </w:t>
            </w:r>
            <w:r w:rsidRPr="0063478C">
              <w:rPr>
                <w:lang w:val="en-GB"/>
              </w:rPr>
              <w:t>division of childcare and housework compared to those where this work disproportionately fell to women (</w:t>
            </w:r>
            <w:proofErr w:type="spellStart"/>
            <w:r w:rsidRPr="0063478C">
              <w:rPr>
                <w:lang w:val="en-GB"/>
              </w:rPr>
              <w:t>Doepke</w:t>
            </w:r>
            <w:proofErr w:type="spellEnd"/>
            <w:r w:rsidRPr="0063478C">
              <w:rPr>
                <w:lang w:val="en-GB"/>
              </w:rPr>
              <w:t xml:space="preserve"> et al. 2022). This trend can also be seen in </w:t>
            </w:r>
            <w:r w:rsidR="005542CC">
              <w:rPr>
                <w:lang w:val="en-GB"/>
              </w:rPr>
              <w:t>Chart</w:t>
            </w:r>
            <w:r w:rsidR="005542CC" w:rsidRPr="0063478C">
              <w:rPr>
                <w:lang w:val="en-GB"/>
              </w:rPr>
              <w:t xml:space="preserve"> </w:t>
            </w:r>
            <w:r w:rsidR="005542CC">
              <w:rPr>
                <w:lang w:val="en-GB"/>
              </w:rPr>
              <w:t>4</w:t>
            </w:r>
            <w:r w:rsidRPr="0063478C">
              <w:rPr>
                <w:lang w:val="en-GB"/>
              </w:rPr>
              <w:t xml:space="preserve">. </w:t>
            </w:r>
          </w:p>
          <w:p w14:paraId="2E40F564" w14:textId="1C215D64" w:rsidR="009926D3" w:rsidRDefault="00D762DA" w:rsidP="002D621D">
            <w:pPr>
              <w:pStyle w:val="ChartMainHeading"/>
              <w:spacing w:after="120"/>
            </w:pPr>
            <w:bookmarkStart w:id="7" w:name="_Household_division_of"/>
            <w:bookmarkEnd w:id="7"/>
            <w:r w:rsidRPr="00EF7261">
              <w:t>Household division of labour and total fertility rate in selected OECD countries, 2019</w:t>
            </w:r>
          </w:p>
          <w:tbl>
            <w:tblPr>
              <w:tblStyle w:val="TableGrid"/>
              <w:tblW w:w="0" w:type="auto"/>
              <w:shd w:val="clear" w:color="auto" w:fill="FFFFFF" w:themeFill="background1"/>
              <w:tblLook w:val="04A0" w:firstRow="1" w:lastRow="0" w:firstColumn="1" w:lastColumn="0" w:noHBand="0" w:noVBand="1"/>
            </w:tblPr>
            <w:tblGrid>
              <w:gridCol w:w="8504"/>
            </w:tblGrid>
            <w:tr w:rsidR="000D7F2B" w14:paraId="606ACEFA" w14:textId="77777777" w:rsidTr="002D621D">
              <w:trPr>
                <w:trHeight w:val="5078"/>
              </w:trPr>
              <w:tc>
                <w:tcPr>
                  <w:tcW w:w="8504" w:type="dxa"/>
                  <w:shd w:val="clear" w:color="auto" w:fill="FFFFFF" w:themeFill="background1"/>
                </w:tcPr>
                <w:p w14:paraId="47383340" w14:textId="00EDDDA5" w:rsidR="002D621D" w:rsidRDefault="002D621D" w:rsidP="002D621D">
                  <w:pPr>
                    <w:pStyle w:val="ChartheadingArial8pt"/>
                    <w:spacing w:after="0"/>
                    <w:ind w:left="113"/>
                  </w:pPr>
                  <w:r w:rsidRPr="000D7F2B">
                    <w:t>Babies per woman</w:t>
                  </w:r>
                </w:p>
                <w:p w14:paraId="4CAD8EC6" w14:textId="77777777" w:rsidR="000D7F2B" w:rsidRDefault="002D621D" w:rsidP="002D621D">
                  <w:pPr>
                    <w:spacing w:before="0" w:after="0"/>
                  </w:pPr>
                  <w:r w:rsidRPr="00D762DA">
                    <w:rPr>
                      <w:noProof/>
                      <w:shd w:val="clear" w:color="auto" w:fill="E6E6E6"/>
                    </w:rPr>
                    <w:drawing>
                      <wp:inline distT="0" distB="0" distL="0" distR="0" wp14:anchorId="3CBD1C8C" wp14:editId="3C7C3509">
                        <wp:extent cx="5316220" cy="2743200"/>
                        <wp:effectExtent l="0" t="0" r="0" b="0"/>
                        <wp:docPr id="120958474" name="Chart 120958474" descr="This chart shows the total fertility rate of various OECD countries by their level of gender gap in household and care work. The chart shows that the more work women do as compared to men, the lower the fertility rate. ">
                          <a:extLst xmlns:a="http://schemas.openxmlformats.org/drawingml/2006/main">
                            <a:ext uri="{FF2B5EF4-FFF2-40B4-BE49-F238E27FC236}">
                              <a16:creationId xmlns:a16="http://schemas.microsoft.com/office/drawing/2014/main" id="{1FAC1896-DFE2-4B37-93DE-0AE051059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910B4A" w14:textId="13DC4A91" w:rsidR="002D621D" w:rsidRPr="002D621D" w:rsidRDefault="002D621D" w:rsidP="002D621D">
                  <w:pPr>
                    <w:pStyle w:val="ChartheadingArial8pt"/>
                    <w:jc w:val="center"/>
                  </w:pPr>
                  <w:r w:rsidRPr="000D7F2B">
                    <w:t>Gender gap in percentage of time in a day spent on unpaid domestic and care work (female</w:t>
                  </w:r>
                  <w:r w:rsidRPr="000D7F2B">
                    <w:noBreakHyphen/>
                    <w:t>male)</w:t>
                  </w:r>
                </w:p>
              </w:tc>
            </w:tr>
          </w:tbl>
          <w:p w14:paraId="4DC19D3F" w14:textId="3CC555C3" w:rsidR="001E467D" w:rsidRPr="001B2848" w:rsidRDefault="001B2848" w:rsidP="001B2848">
            <w:pPr>
              <w:pStyle w:val="Source"/>
            </w:pPr>
            <w:r w:rsidRPr="001B2848">
              <w:rPr>
                <w:lang w:val="en-GB"/>
              </w:rPr>
              <w:t>Source: UN 2022a &amp; World Bank 2024</w:t>
            </w:r>
          </w:p>
          <w:p w14:paraId="66377E32" w14:textId="4AE8CC81" w:rsidR="001F0CB3" w:rsidRPr="002E5E08" w:rsidRDefault="7E0C237B" w:rsidP="00A048F6">
            <w:pPr>
              <w:pStyle w:val="BoxText"/>
              <w:spacing w:after="0"/>
              <w:jc w:val="left"/>
              <w:rPr>
                <w:spacing w:val="-2"/>
                <w:lang w:val="en-GB"/>
              </w:rPr>
            </w:pPr>
            <w:r w:rsidRPr="00546F21">
              <w:rPr>
                <w:spacing w:val="-2"/>
                <w:lang w:val="en-GB"/>
              </w:rPr>
              <w:t xml:space="preserve">In Australia, the gender gap in unpaid care time and household labour has remained relatively steady over the past 20 years (HILDA 2022). These gaps show that women undertake a </w:t>
            </w:r>
            <w:r w:rsidR="6BEA73F3" w:rsidRPr="00546F21">
              <w:rPr>
                <w:spacing w:val="-2"/>
                <w:lang w:val="en-GB"/>
              </w:rPr>
              <w:t xml:space="preserve">higher and </w:t>
            </w:r>
            <w:r w:rsidRPr="00546F21">
              <w:rPr>
                <w:spacing w:val="-2"/>
                <w:lang w:val="en-GB"/>
              </w:rPr>
              <w:t>disproportionate amount of unpaid care and household labour compared to men. This trend has continued over timeframes where women</w:t>
            </w:r>
            <w:r w:rsidR="009040A2" w:rsidRPr="00546F21">
              <w:rPr>
                <w:spacing w:val="-2"/>
                <w:lang w:val="en-GB"/>
              </w:rPr>
              <w:t>’</w:t>
            </w:r>
            <w:r w:rsidRPr="00546F21">
              <w:rPr>
                <w:spacing w:val="-2"/>
                <w:lang w:val="en-GB"/>
              </w:rPr>
              <w:t xml:space="preserve">s labour force participation has increased, and the fertility rate has fallen. These outcomes are consistent with international literature that finds a potential response to balancing work and family obligations is to postpone or forgo childbearing (Gray et al. 2022, </w:t>
            </w:r>
            <w:r w:rsidR="007225E7" w:rsidRPr="00546F21">
              <w:rPr>
                <w:spacing w:val="-2"/>
                <w:lang w:val="en-GB"/>
              </w:rPr>
              <w:t>p</w:t>
            </w:r>
            <w:r w:rsidRPr="00546F21">
              <w:rPr>
                <w:spacing w:val="-2"/>
                <w:lang w:val="en-GB"/>
              </w:rPr>
              <w:t xml:space="preserve"> 35).</w:t>
            </w:r>
          </w:p>
        </w:tc>
      </w:tr>
    </w:tbl>
    <w:p w14:paraId="267988EF" w14:textId="77777777" w:rsidR="005B6960" w:rsidRDefault="005B6960" w:rsidP="00A048F6"/>
    <w:tbl>
      <w:tblPr>
        <w:tblStyle w:val="TableGrid"/>
        <w:tblW w:w="5000" w:type="pct"/>
        <w:shd w:val="clear" w:color="auto" w:fill="F6FCF9"/>
        <w:tblCellMar>
          <w:top w:w="284" w:type="dxa"/>
          <w:left w:w="284" w:type="dxa"/>
          <w:bottom w:w="284" w:type="dxa"/>
          <w:right w:w="284" w:type="dxa"/>
        </w:tblCellMar>
        <w:tblLook w:val="04A0" w:firstRow="1" w:lastRow="0" w:firstColumn="1" w:lastColumn="0" w:noHBand="0" w:noVBand="1"/>
        <w:tblCaption w:val="Box 1. DEEP DIVE: FERTILITY, FEMALE LABOUR FORCE PARTICIPATION, AND HOUSEHOLD DIVISION OF LABOUR "/>
      </w:tblPr>
      <w:tblGrid>
        <w:gridCol w:w="9072"/>
      </w:tblGrid>
      <w:tr w:rsidR="002E5E08" w14:paraId="49F3EEA7" w14:textId="77777777" w:rsidTr="00A048F6">
        <w:trPr>
          <w:cantSplit/>
          <w:trHeight w:val="9081"/>
        </w:trPr>
        <w:tc>
          <w:tcPr>
            <w:tcW w:w="5000" w:type="pct"/>
            <w:shd w:val="clear" w:color="auto" w:fill="F0FAF6"/>
          </w:tcPr>
          <w:p w14:paraId="6DA43303" w14:textId="37178F99" w:rsidR="002E5E08" w:rsidRDefault="002E5E08" w:rsidP="002E5E08">
            <w:pPr>
              <w:pStyle w:val="BoxHeading"/>
              <w:numPr>
                <w:ilvl w:val="0"/>
                <w:numId w:val="0"/>
              </w:numPr>
              <w:rPr>
                <w:lang w:val="en-GB"/>
              </w:rPr>
            </w:pPr>
            <w:r>
              <w:rPr>
                <w:lang w:val="en-GB"/>
              </w:rPr>
              <w:lastRenderedPageBreak/>
              <w:t>Box 1. continued</w:t>
            </w:r>
          </w:p>
          <w:p w14:paraId="672FA3D6" w14:textId="3F885EA8" w:rsidR="002E5E08" w:rsidRPr="00B46CC4" w:rsidRDefault="002E5E08" w:rsidP="002E5E08">
            <w:pPr>
              <w:pStyle w:val="BoxText"/>
              <w:keepNext/>
              <w:keepLines/>
              <w:jc w:val="left"/>
            </w:pPr>
            <w:r w:rsidRPr="38FAB90E">
              <w:rPr>
                <w:lang w:val="en-GB"/>
              </w:rPr>
              <w:t>Policies that support a more equal division of unpaid care and household labour have the potential to positively affect fertility in Australia. Several studies have found that higher contributions of housework by men raise fertility intentions as well as fertility outcomes (Gray et al. 2022, p 35). Moving towards greater equality in unpaid care and household labour is challenging due to persistence in attitudes towards traditional gender roles. International studies indicate higher educational attainment is associated with more equitable division of home and family roles (Gray et al. 2022, p 35). Despite relatively good educational attainment levels, Australia continues to have a significant gap in the division of household labour and childcare.</w:t>
            </w:r>
          </w:p>
          <w:p w14:paraId="29AD27C1" w14:textId="77777777" w:rsidR="002E5E08" w:rsidRPr="000D7F2B" w:rsidRDefault="002E5E08" w:rsidP="00F3200A">
            <w:pPr>
              <w:pStyle w:val="ChartMainHeading"/>
              <w:keepLines/>
            </w:pPr>
            <w:r w:rsidRPr="000D7F2B">
              <w:t>Hours per week spent on unpaid work and caring, by age and sex, 2002 and 2022</w:t>
            </w:r>
          </w:p>
          <w:p w14:paraId="72DAD6E0" w14:textId="77777777" w:rsidR="002E5E08" w:rsidRDefault="002E5E08" w:rsidP="00FE3D8F">
            <w:pPr>
              <w:keepNext/>
              <w:keepLines/>
              <w:spacing w:before="120" w:after="120"/>
            </w:pPr>
            <w:r w:rsidRPr="007B4060">
              <w:rPr>
                <w:noProof/>
                <w:shd w:val="clear" w:color="auto" w:fill="E6E6E6"/>
              </w:rPr>
              <w:drawing>
                <wp:inline distT="0" distB="0" distL="0" distR="0" wp14:anchorId="506DE3DC" wp14:editId="22CB4910">
                  <wp:extent cx="5391150" cy="3423684"/>
                  <wp:effectExtent l="0" t="0" r="0" b="5715"/>
                  <wp:docPr id="760778998" name="Chart 760778998" descr="This chart shows the hours per week spent on unpaid work and caring by age and sex between 2002 and 2022.&#10;&#10;The chart shows that the gap of unpaid work between men and women has remained relatively stable with a slight reduction in the amount of hours women have dedicated to unpaid work and care and only a slight increase in the amount of hours men have dedicated to unpaid work and care. The gap remains largest in the 26-30; 31-35; and 36-40 age groups.">
                    <a:extLst xmlns:a="http://schemas.openxmlformats.org/drawingml/2006/main">
                      <a:ext uri="{FF2B5EF4-FFF2-40B4-BE49-F238E27FC236}">
                        <a16:creationId xmlns:a16="http://schemas.microsoft.com/office/drawing/2014/main" id="{A4D21FF8-FB79-4EE5-A77C-EB0A6B687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723F51" w14:textId="77777777" w:rsidR="002E5E08" w:rsidRPr="001F0CB3" w:rsidRDefault="002E5E08" w:rsidP="00FE3D8F">
            <w:pPr>
              <w:pStyle w:val="Source"/>
            </w:pPr>
            <w:r>
              <w:t xml:space="preserve">Source: </w:t>
            </w:r>
            <w:r w:rsidRPr="001F0CB3">
              <w:t>HILDA Restricted Releases 2 and 22</w:t>
            </w:r>
            <w:r>
              <w:t xml:space="preserve">. Note: </w:t>
            </w:r>
            <w:r w:rsidRPr="00FE3D8F">
              <w:t>Includes</w:t>
            </w:r>
            <w:r w:rsidRPr="00030B5F">
              <w:t xml:space="preserve"> all surveyed men and women, regardless of couple status of household type. Time use includes time spent caring for a relative, caring for own and others</w:t>
            </w:r>
            <w:r>
              <w:t>’</w:t>
            </w:r>
            <w:r w:rsidRPr="00030B5F">
              <w:t xml:space="preserve"> children, domestic household work and errands, and outdoor domestic tasks</w:t>
            </w:r>
          </w:p>
        </w:tc>
      </w:tr>
    </w:tbl>
    <w:p w14:paraId="79BA8719" w14:textId="348ACAC0" w:rsidR="00A048F6" w:rsidRDefault="00A048F6" w:rsidP="00A048F6">
      <w:r>
        <w:br w:type="page"/>
      </w:r>
    </w:p>
    <w:p w14:paraId="1ACD0F78" w14:textId="4F9CAA52" w:rsidR="00905FBB" w:rsidRDefault="00800E2B" w:rsidP="002E4772">
      <w:pPr>
        <w:pStyle w:val="Heading1"/>
      </w:pPr>
      <w:bookmarkStart w:id="8" w:name="_Childlessness"/>
      <w:bookmarkStart w:id="9" w:name="_The_second_demoraphic"/>
      <w:bookmarkEnd w:id="8"/>
      <w:bookmarkEnd w:id="9"/>
      <w:r>
        <w:lastRenderedPageBreak/>
        <w:t xml:space="preserve">The </w:t>
      </w:r>
      <w:r w:rsidR="00225A0E">
        <w:t xml:space="preserve">second </w:t>
      </w:r>
      <w:r w:rsidR="007D1CF1">
        <w:t>demographic</w:t>
      </w:r>
      <w:r w:rsidR="00225A0E">
        <w:t xml:space="preserve"> transition</w:t>
      </w:r>
    </w:p>
    <w:p w14:paraId="66C5C691" w14:textId="0605EE28" w:rsidR="00432C6F" w:rsidRPr="00432C6F" w:rsidRDefault="00432C6F" w:rsidP="00432C6F">
      <w:r w:rsidRPr="00432C6F">
        <w:rPr>
          <w:lang w:val="en-GB"/>
        </w:rPr>
        <w:t>These fertility trends are not exclusive to Australia. They have also been occurring in other countries, in a</w:t>
      </w:r>
      <w:r w:rsidR="00A048F6">
        <w:rPr>
          <w:lang w:val="en-GB"/>
        </w:rPr>
        <w:t> </w:t>
      </w:r>
      <w:r w:rsidRPr="00432C6F">
        <w:rPr>
          <w:lang w:val="en-GB"/>
        </w:rPr>
        <w:t xml:space="preserve">phenomenon that demographers term the </w:t>
      </w:r>
      <w:r w:rsidR="009040A2">
        <w:rPr>
          <w:lang w:val="en-GB"/>
        </w:rPr>
        <w:t>‘</w:t>
      </w:r>
      <w:r w:rsidRPr="00432C6F">
        <w:rPr>
          <w:lang w:val="en-GB"/>
        </w:rPr>
        <w:t>second demographic transition</w:t>
      </w:r>
      <w:r w:rsidR="009040A2">
        <w:rPr>
          <w:lang w:val="en-GB"/>
        </w:rPr>
        <w:t>’</w:t>
      </w:r>
      <w:r w:rsidRPr="00432C6F">
        <w:rPr>
          <w:lang w:val="en-GB"/>
        </w:rPr>
        <w:t>. The second demographic transition occurs as a population shifts from replacement level fertility (2.1 babies per woman) to sub replacement and declining fertility. Importantly, this change in fertility rates is accompanied by a diversification in family structures, particularly the uptake of cohabitation. Once this transition occurs, low fertility becomes sustained by society (</w:t>
      </w:r>
      <w:proofErr w:type="spellStart"/>
      <w:r w:rsidRPr="00432C6F">
        <w:rPr>
          <w:lang w:val="en-GB"/>
        </w:rPr>
        <w:t>Lesthaeghe</w:t>
      </w:r>
      <w:proofErr w:type="spellEnd"/>
      <w:r w:rsidRPr="00432C6F">
        <w:rPr>
          <w:lang w:val="en-GB"/>
        </w:rPr>
        <w:t xml:space="preserve"> 2014, </w:t>
      </w:r>
      <w:r w:rsidR="007225E7">
        <w:rPr>
          <w:lang w:val="en-GB"/>
        </w:rPr>
        <w:t>p</w:t>
      </w:r>
      <w:r w:rsidRPr="00432C6F">
        <w:rPr>
          <w:lang w:val="en-GB"/>
        </w:rPr>
        <w:t xml:space="preserve"> 18112</w:t>
      </w:r>
      <w:r w:rsidR="009040A2">
        <w:rPr>
          <w:lang w:val="en-GB"/>
        </w:rPr>
        <w:noBreakHyphen/>
      </w:r>
      <w:r w:rsidRPr="00432C6F">
        <w:rPr>
          <w:lang w:val="en-GB"/>
        </w:rPr>
        <w:t xml:space="preserve">18113). </w:t>
      </w:r>
    </w:p>
    <w:p w14:paraId="4C5F8B95" w14:textId="4C378EDE" w:rsidR="00432C6F" w:rsidRPr="00432C6F" w:rsidRDefault="00432C6F" w:rsidP="00432C6F">
      <w:r w:rsidRPr="00432C6F">
        <w:rPr>
          <w:lang w:val="en-GB"/>
        </w:rPr>
        <w:t>The second demographic transition occurred first in Northwestern Europe after the Second World War (</w:t>
      </w:r>
      <w:proofErr w:type="spellStart"/>
      <w:r w:rsidRPr="00432C6F">
        <w:rPr>
          <w:lang w:val="en-GB"/>
        </w:rPr>
        <w:t>Lesthaeghe</w:t>
      </w:r>
      <w:proofErr w:type="spellEnd"/>
      <w:r w:rsidRPr="00432C6F">
        <w:rPr>
          <w:lang w:val="en-GB"/>
        </w:rPr>
        <w:t xml:space="preserve"> 2014; Zaidi &amp; Morgan 2023). Next, it occurred in the United States, Canada, Australia, New</w:t>
      </w:r>
      <w:r w:rsidR="00A048F6">
        <w:rPr>
          <w:lang w:val="en-GB"/>
        </w:rPr>
        <w:t> </w:t>
      </w:r>
      <w:r w:rsidRPr="00432C6F">
        <w:rPr>
          <w:lang w:val="en-GB"/>
        </w:rPr>
        <w:t>Zealand and Southern and Eastern Europe. It has more recently occurred in East Asia and Latin America (</w:t>
      </w:r>
      <w:proofErr w:type="spellStart"/>
      <w:r w:rsidRPr="00432C6F">
        <w:rPr>
          <w:lang w:val="en-GB"/>
        </w:rPr>
        <w:t>Lesthaeghe</w:t>
      </w:r>
      <w:proofErr w:type="spellEnd"/>
      <w:r w:rsidRPr="00432C6F">
        <w:rPr>
          <w:lang w:val="en-GB"/>
        </w:rPr>
        <w:t xml:space="preserve"> 2014). </w:t>
      </w:r>
    </w:p>
    <w:p w14:paraId="13F78D0E" w14:textId="1B1E27E6" w:rsidR="00407C61" w:rsidRDefault="00432C6F" w:rsidP="00407C61">
      <w:r w:rsidRPr="00432C6F">
        <w:t>Countries such as South Korea, Japan and Italy have experienced much larger declines in fertility (with TFRs of</w:t>
      </w:r>
      <w:r w:rsidR="00A048F6">
        <w:t> </w:t>
      </w:r>
      <w:r w:rsidRPr="00432C6F">
        <w:t xml:space="preserve">0.8, 1.3 and 1.3, respectively; Human Fertility Database 2023) compared to Australia. This may be due to growing educational and labour force opportunities for women </w:t>
      </w:r>
      <w:r w:rsidR="001467B4">
        <w:t>which</w:t>
      </w:r>
      <w:r w:rsidR="00934DD0">
        <w:t>, until recently,</w:t>
      </w:r>
      <w:r w:rsidR="001467B4">
        <w:t xml:space="preserve"> </w:t>
      </w:r>
      <w:r w:rsidR="002C02FD">
        <w:t>were</w:t>
      </w:r>
      <w:r w:rsidR="001467B4">
        <w:t xml:space="preserve"> </w:t>
      </w:r>
      <w:r w:rsidRPr="00432C6F">
        <w:t>coupled with limited</w:t>
      </w:r>
      <w:r w:rsidR="00A048F6">
        <w:t> </w:t>
      </w:r>
      <w:r w:rsidRPr="00432C6F">
        <w:t>workplace support for parents and a persistent unequal division of household labour between spouses (</w:t>
      </w:r>
      <w:proofErr w:type="spellStart"/>
      <w:r w:rsidRPr="00432C6F">
        <w:t>Tsuya</w:t>
      </w:r>
      <w:proofErr w:type="spellEnd"/>
      <w:r w:rsidR="00A048F6">
        <w:t> </w:t>
      </w:r>
      <w:r w:rsidRPr="00432C6F">
        <w:t>2022; UN 2015; Seo 2019). Births outside of marriage are rare and less socially acceptable in Japan and South Korea (</w:t>
      </w:r>
      <w:proofErr w:type="spellStart"/>
      <w:r w:rsidRPr="00432C6F">
        <w:t>Tsuya</w:t>
      </w:r>
      <w:proofErr w:type="spellEnd"/>
      <w:r w:rsidRPr="00432C6F">
        <w:t xml:space="preserve"> 2022; Seo 2019) and rates of singleness and childlessness are high (</w:t>
      </w:r>
      <w:proofErr w:type="spellStart"/>
      <w:r w:rsidRPr="00432C6F">
        <w:t>Tsuya</w:t>
      </w:r>
      <w:proofErr w:type="spellEnd"/>
      <w:r w:rsidRPr="00432C6F">
        <w:t xml:space="preserve"> 2022; Seo 2019).</w:t>
      </w:r>
    </w:p>
    <w:p w14:paraId="506E3C34" w14:textId="642324B7" w:rsidR="006C5B73" w:rsidRDefault="00362ED6" w:rsidP="00923184">
      <w:pPr>
        <w:pStyle w:val="Heading1"/>
      </w:pPr>
      <w:bookmarkStart w:id="10" w:name="_Low_fertility_–"/>
      <w:bookmarkEnd w:id="10"/>
      <w:r>
        <w:t>Low fertility – where next?</w:t>
      </w:r>
    </w:p>
    <w:p w14:paraId="0CAEA2B4" w14:textId="788AE927" w:rsidR="001C4578" w:rsidRPr="001C4578" w:rsidRDefault="006E2438" w:rsidP="001C4578">
      <w:r>
        <w:rPr>
          <w:lang w:val="en-GB"/>
        </w:rPr>
        <w:t>Based on our research, it appears</w:t>
      </w:r>
      <w:r w:rsidR="001C4578" w:rsidRPr="001C4578">
        <w:rPr>
          <w:lang w:val="en-GB"/>
        </w:rPr>
        <w:t xml:space="preserve"> that low fertility </w:t>
      </w:r>
      <w:r w:rsidR="005914A1">
        <w:rPr>
          <w:lang w:val="en-GB"/>
        </w:rPr>
        <w:t>will persist</w:t>
      </w:r>
      <w:r w:rsidR="001C4578" w:rsidRPr="001C4578">
        <w:rPr>
          <w:lang w:val="en-GB"/>
        </w:rPr>
        <w:t xml:space="preserve">. Within the 38 OECD countries, the only countries with a fertility rate above 2.1 in 2011 were Israel, </w:t>
      </w:r>
      <w:proofErr w:type="gramStart"/>
      <w:r w:rsidR="001C4578" w:rsidRPr="001C4578">
        <w:rPr>
          <w:lang w:val="en-GB"/>
        </w:rPr>
        <w:t>Mexico</w:t>
      </w:r>
      <w:proofErr w:type="gramEnd"/>
      <w:r w:rsidR="001C4578" w:rsidRPr="001C4578">
        <w:rPr>
          <w:lang w:val="en-GB"/>
        </w:rPr>
        <w:t xml:space="preserve"> and Turkey. Ten years later,</w:t>
      </w:r>
      <w:r w:rsidR="00945E3D">
        <w:rPr>
          <w:lang w:val="en-GB"/>
        </w:rPr>
        <w:t xml:space="preserve"> in 2021,</w:t>
      </w:r>
      <w:r w:rsidR="001C4578" w:rsidRPr="001C4578">
        <w:rPr>
          <w:lang w:val="en-GB"/>
        </w:rPr>
        <w:t xml:space="preserve"> Israel was the only country with a fertility rate above 2.1. Almost all OECD countries experienced fertility decline within this ten</w:t>
      </w:r>
      <w:r w:rsidR="009040A2">
        <w:rPr>
          <w:lang w:val="en-GB"/>
        </w:rPr>
        <w:noBreakHyphen/>
      </w:r>
      <w:r w:rsidR="001C4578" w:rsidRPr="001C4578">
        <w:rPr>
          <w:lang w:val="en-GB"/>
        </w:rPr>
        <w:t xml:space="preserve">year period (UN 2022b). The only exceptions were Eastern European states, Germany, </w:t>
      </w:r>
      <w:proofErr w:type="gramStart"/>
      <w:r w:rsidR="001C4578" w:rsidRPr="001C4578">
        <w:rPr>
          <w:lang w:val="en-GB"/>
        </w:rPr>
        <w:t>Austria</w:t>
      </w:r>
      <w:proofErr w:type="gramEnd"/>
      <w:r w:rsidR="001C4578" w:rsidRPr="001C4578">
        <w:rPr>
          <w:lang w:val="en-GB"/>
        </w:rPr>
        <w:t xml:space="preserve"> and Portugal, which generally had higher fertility rates to begin with. This supports the theory of the second demographic transition that once fertility is low, it remains low. </w:t>
      </w:r>
    </w:p>
    <w:p w14:paraId="22A492EF" w14:textId="488966B4" w:rsidR="001C4578" w:rsidRPr="001C4578" w:rsidRDefault="001C4578" w:rsidP="5CFD8628">
      <w:pPr>
        <w:rPr>
          <w:lang w:val="en-GB"/>
        </w:rPr>
      </w:pPr>
      <w:r w:rsidRPr="5CFD8628">
        <w:rPr>
          <w:lang w:val="en-GB"/>
        </w:rPr>
        <w:t xml:space="preserve">Many factors contributing to the fertility </w:t>
      </w:r>
      <w:proofErr w:type="gramStart"/>
      <w:r w:rsidRPr="5CFD8628">
        <w:rPr>
          <w:lang w:val="en-GB"/>
        </w:rPr>
        <w:t>decline</w:t>
      </w:r>
      <w:proofErr w:type="gramEnd"/>
      <w:r w:rsidRPr="5CFD8628">
        <w:rPr>
          <w:lang w:val="en-GB"/>
        </w:rPr>
        <w:t xml:space="preserve"> in Australia reflect strong societal change that is unlikely to revert to what it once was. For example, female labour force participation has increased steadily for decades and is projected to remain stable over the next 40 years (Department of the Treasury 2023, </w:t>
      </w:r>
      <w:r w:rsidR="007225E7" w:rsidRPr="5CFD8628">
        <w:rPr>
          <w:lang w:val="en-GB"/>
        </w:rPr>
        <w:t>p</w:t>
      </w:r>
      <w:r w:rsidRPr="5CFD8628">
        <w:rPr>
          <w:lang w:val="en-GB"/>
        </w:rPr>
        <w:t xml:space="preserve"> 67). The rise in </w:t>
      </w:r>
      <w:r w:rsidR="00B376F6" w:rsidRPr="5CFD8628">
        <w:rPr>
          <w:lang w:val="en-GB"/>
        </w:rPr>
        <w:t>non</w:t>
      </w:r>
      <w:r w:rsidR="009040A2">
        <w:rPr>
          <w:lang w:val="en-GB"/>
        </w:rPr>
        <w:noBreakHyphen/>
      </w:r>
      <w:r w:rsidR="00B376F6" w:rsidRPr="5CFD8628">
        <w:rPr>
          <w:lang w:val="en-GB"/>
        </w:rPr>
        <w:t>permanent</w:t>
      </w:r>
      <w:r w:rsidRPr="5CFD8628">
        <w:rPr>
          <w:lang w:val="en-GB"/>
        </w:rPr>
        <w:t xml:space="preserve"> work </w:t>
      </w:r>
      <w:r w:rsidR="005E3D7B" w:rsidRPr="5CFD8628">
        <w:rPr>
          <w:lang w:val="en-GB"/>
        </w:rPr>
        <w:t xml:space="preserve">that </w:t>
      </w:r>
      <w:r w:rsidRPr="5CFD8628">
        <w:rPr>
          <w:lang w:val="en-GB"/>
        </w:rPr>
        <w:t>occurred in the 1980s and 1990s and has remained stable (</w:t>
      </w:r>
      <w:r w:rsidR="00A44E33">
        <w:t>t</w:t>
      </w:r>
      <w:r w:rsidR="0089373A">
        <w:t xml:space="preserve">he Australian Government </w:t>
      </w:r>
      <w:r>
        <w:t xml:space="preserve">2023, </w:t>
      </w:r>
      <w:r w:rsidR="007225E7">
        <w:t>p</w:t>
      </w:r>
      <w:r>
        <w:t xml:space="preserve"> 49)</w:t>
      </w:r>
      <w:r w:rsidRPr="5CFD8628">
        <w:rPr>
          <w:lang w:val="en-GB"/>
        </w:rPr>
        <w:t xml:space="preserve">. </w:t>
      </w:r>
    </w:p>
    <w:p w14:paraId="1EA58F80" w14:textId="0E843546" w:rsidR="001C4578" w:rsidRPr="001C4578" w:rsidRDefault="001C4578" w:rsidP="38FAB90E">
      <w:pPr>
        <w:rPr>
          <w:lang w:val="en-GB"/>
        </w:rPr>
      </w:pPr>
      <w:r w:rsidRPr="38FAB90E">
        <w:rPr>
          <w:lang w:val="en-GB"/>
        </w:rPr>
        <w:t>Even if it were possible, addressing many of the macro</w:t>
      </w:r>
      <w:r w:rsidR="009040A2">
        <w:rPr>
          <w:lang w:val="en-GB"/>
        </w:rPr>
        <w:noBreakHyphen/>
      </w:r>
      <w:r w:rsidRPr="38FAB90E">
        <w:rPr>
          <w:lang w:val="en-GB"/>
        </w:rPr>
        <w:t xml:space="preserve">level factors in the fertility decline </w:t>
      </w:r>
      <w:r w:rsidR="1A84C301" w:rsidRPr="38FAB90E">
        <w:rPr>
          <w:lang w:val="en-GB"/>
        </w:rPr>
        <w:t xml:space="preserve">may </w:t>
      </w:r>
      <w:r w:rsidRPr="38FAB90E">
        <w:rPr>
          <w:lang w:val="en-GB"/>
        </w:rPr>
        <w:t>come at the cost</w:t>
      </w:r>
      <w:r w:rsidR="008C5CF1">
        <w:rPr>
          <w:lang w:val="en-GB"/>
        </w:rPr>
        <w:t> </w:t>
      </w:r>
      <w:r w:rsidRPr="38FAB90E">
        <w:rPr>
          <w:lang w:val="en-GB"/>
        </w:rPr>
        <w:t xml:space="preserve">of more desirable social outcomes. For example, the social ramifications of limiting contraception availability would </w:t>
      </w:r>
      <w:r w:rsidR="2B4E9480" w:rsidRPr="38FAB90E">
        <w:rPr>
          <w:lang w:val="en-GB"/>
        </w:rPr>
        <w:t>limit women</w:t>
      </w:r>
      <w:r w:rsidR="009040A2">
        <w:rPr>
          <w:lang w:val="en-GB"/>
        </w:rPr>
        <w:t>’</w:t>
      </w:r>
      <w:r w:rsidR="2B4E9480" w:rsidRPr="38FAB90E">
        <w:rPr>
          <w:lang w:val="en-GB"/>
        </w:rPr>
        <w:t>s choices</w:t>
      </w:r>
      <w:r w:rsidRPr="38FAB90E">
        <w:rPr>
          <w:lang w:val="en-GB"/>
        </w:rPr>
        <w:t xml:space="preserve"> </w:t>
      </w:r>
      <w:r w:rsidR="0F97BFB6" w:rsidRPr="38FAB90E">
        <w:rPr>
          <w:lang w:val="en-GB"/>
        </w:rPr>
        <w:t xml:space="preserve">to </w:t>
      </w:r>
      <w:r w:rsidRPr="38FAB90E">
        <w:rPr>
          <w:lang w:val="en-GB"/>
        </w:rPr>
        <w:t xml:space="preserve">pursue opportunities, a crucial step in female empowerment. </w:t>
      </w:r>
    </w:p>
    <w:p w14:paraId="507EEF93" w14:textId="332B0C80" w:rsidR="001C4578" w:rsidRPr="001C4578" w:rsidRDefault="001C4578" w:rsidP="00CB28C0">
      <w:r w:rsidRPr="001C4578">
        <w:rPr>
          <w:lang w:val="en-GB"/>
        </w:rPr>
        <w:t xml:space="preserve">Although many of the factors in low fertility, such as female labour force participation and contraceptive availability represent positive change in society, </w:t>
      </w:r>
      <w:r w:rsidR="00801740">
        <w:rPr>
          <w:lang w:val="en-GB"/>
        </w:rPr>
        <w:t xml:space="preserve">low fertility </w:t>
      </w:r>
      <w:r w:rsidR="00D13E4B">
        <w:rPr>
          <w:lang w:val="en-GB"/>
        </w:rPr>
        <w:t>should not be considered</w:t>
      </w:r>
      <w:r w:rsidR="003268DA">
        <w:rPr>
          <w:lang w:val="en-GB"/>
        </w:rPr>
        <w:t xml:space="preserve"> as</w:t>
      </w:r>
      <w:r w:rsidR="00D13E4B">
        <w:rPr>
          <w:lang w:val="en-GB"/>
        </w:rPr>
        <w:t xml:space="preserve"> </w:t>
      </w:r>
      <w:r w:rsidR="00336C98">
        <w:rPr>
          <w:lang w:val="en-GB"/>
        </w:rPr>
        <w:t xml:space="preserve">entirely </w:t>
      </w:r>
      <w:r w:rsidR="00BF5785">
        <w:rPr>
          <w:lang w:val="en-GB"/>
        </w:rPr>
        <w:t>p</w:t>
      </w:r>
      <w:r w:rsidR="00AB4301">
        <w:rPr>
          <w:lang w:val="en-GB"/>
        </w:rPr>
        <w:t>ositive for</w:t>
      </w:r>
      <w:r w:rsidR="008C5CF1">
        <w:rPr>
          <w:lang w:val="en-GB"/>
        </w:rPr>
        <w:t> </w:t>
      </w:r>
      <w:r w:rsidR="00AB4301">
        <w:rPr>
          <w:lang w:val="en-GB"/>
        </w:rPr>
        <w:t>all</w:t>
      </w:r>
      <w:r w:rsidR="008C5CF1">
        <w:rPr>
          <w:lang w:val="en-GB"/>
        </w:rPr>
        <w:t> </w:t>
      </w:r>
      <w:r w:rsidR="00AB4301">
        <w:rPr>
          <w:lang w:val="en-GB"/>
        </w:rPr>
        <w:t>women.</w:t>
      </w:r>
      <w:r w:rsidR="00107899">
        <w:rPr>
          <w:lang w:val="en-GB"/>
        </w:rPr>
        <w:t xml:space="preserve"> </w:t>
      </w:r>
      <w:r w:rsidRPr="001C4578">
        <w:rPr>
          <w:lang w:val="en-GB"/>
        </w:rPr>
        <w:t>Surveys consistently show that people are having fewer children than they intend to (Gray</w:t>
      </w:r>
      <w:r w:rsidR="008C5CF1">
        <w:rPr>
          <w:lang w:val="en-GB"/>
        </w:rPr>
        <w:t> </w:t>
      </w:r>
      <w:r w:rsidRPr="001C4578">
        <w:rPr>
          <w:lang w:val="en-GB"/>
        </w:rPr>
        <w:t>et</w:t>
      </w:r>
      <w:r w:rsidR="008C5CF1">
        <w:rPr>
          <w:lang w:val="en-GB"/>
        </w:rPr>
        <w:t> </w:t>
      </w:r>
      <w:r w:rsidRPr="001C4578">
        <w:rPr>
          <w:lang w:val="en-GB"/>
        </w:rPr>
        <w:t>al.</w:t>
      </w:r>
      <w:r w:rsidR="008C5CF1">
        <w:rPr>
          <w:lang w:val="en-GB"/>
        </w:rPr>
        <w:t> </w:t>
      </w:r>
      <w:r w:rsidRPr="001C4578">
        <w:rPr>
          <w:lang w:val="en-GB"/>
        </w:rPr>
        <w:t xml:space="preserve">2022, </w:t>
      </w:r>
      <w:r w:rsidR="007225E7">
        <w:rPr>
          <w:lang w:val="en-GB"/>
        </w:rPr>
        <w:t>p</w:t>
      </w:r>
      <w:r w:rsidRPr="001C4578">
        <w:rPr>
          <w:lang w:val="en-GB"/>
        </w:rPr>
        <w:t xml:space="preserve"> 4).</w:t>
      </w:r>
    </w:p>
    <w:p w14:paraId="62921FBD" w14:textId="21A37FD8" w:rsidR="001C4578" w:rsidRPr="008C5CF1" w:rsidRDefault="001C4578" w:rsidP="001C4578">
      <w:pPr>
        <w:rPr>
          <w:lang w:val="en-GB"/>
        </w:rPr>
      </w:pPr>
      <w:r w:rsidRPr="38FAB90E">
        <w:rPr>
          <w:lang w:val="en-GB"/>
        </w:rPr>
        <w:t xml:space="preserve">As seen in this analysis, the financial and career barriers to having children are a large part of the current low fertility story. </w:t>
      </w:r>
      <w:r w:rsidR="4CB36B63" w:rsidRPr="38FAB90E">
        <w:rPr>
          <w:lang w:val="en-GB"/>
        </w:rPr>
        <w:t>Based on our research, p</w:t>
      </w:r>
      <w:r w:rsidRPr="38FAB90E">
        <w:rPr>
          <w:lang w:val="en-GB"/>
        </w:rPr>
        <w:t xml:space="preserve">olicies that support working parents, encourage egalitarian division of household labour, alleviate the financial risk of having children and promote housing security could be effective in raising fertility to meet the desires of individuals. </w:t>
      </w:r>
      <w:r w:rsidR="3F592655" w:rsidRPr="38FAB90E">
        <w:rPr>
          <w:lang w:val="en-GB"/>
        </w:rPr>
        <w:t xml:space="preserve">Noting the gap between fertility intentions and outcomes, policies that support people to </w:t>
      </w:r>
      <w:r w:rsidR="364E911B" w:rsidRPr="38FAB90E">
        <w:rPr>
          <w:lang w:val="en-GB"/>
        </w:rPr>
        <w:t>have the family size and composition they aspire to</w:t>
      </w:r>
      <w:r w:rsidR="7E4DF20B" w:rsidRPr="38FAB90E">
        <w:rPr>
          <w:lang w:val="en-GB"/>
        </w:rPr>
        <w:t xml:space="preserve"> should be prioritised</w:t>
      </w:r>
      <w:r w:rsidR="364E911B" w:rsidRPr="38FAB90E">
        <w:rPr>
          <w:lang w:val="en-GB"/>
        </w:rPr>
        <w:t>.</w:t>
      </w:r>
    </w:p>
    <w:p w14:paraId="2234D25F" w14:textId="77777777" w:rsidR="00913048" w:rsidRDefault="00913048">
      <w:pPr>
        <w:spacing w:before="0" w:after="160" w:line="259" w:lineRule="auto"/>
        <w:rPr>
          <w:b/>
          <w:smallCaps/>
          <w:color w:val="FFFFFF" w:themeColor="background1"/>
          <w:spacing w:val="15"/>
          <w:sz w:val="22"/>
          <w:szCs w:val="22"/>
        </w:rPr>
      </w:pPr>
      <w:r>
        <w:br w:type="page"/>
      </w:r>
    </w:p>
    <w:p w14:paraId="10B7F64A" w14:textId="47946007" w:rsidR="00432C6F" w:rsidRDefault="00432C6F" w:rsidP="00432C6F">
      <w:pPr>
        <w:pStyle w:val="Heading1"/>
      </w:pPr>
      <w:bookmarkStart w:id="11" w:name="_References"/>
      <w:bookmarkEnd w:id="11"/>
      <w:r>
        <w:lastRenderedPageBreak/>
        <w:t>References</w:t>
      </w:r>
    </w:p>
    <w:p w14:paraId="47A34C57" w14:textId="2C00D588" w:rsidR="001A52F2" w:rsidRPr="001A52F2" w:rsidRDefault="001A52F2" w:rsidP="001A52F2">
      <w:r w:rsidRPr="001A52F2">
        <w:rPr>
          <w:lang w:val="en-GB"/>
        </w:rPr>
        <w:t xml:space="preserve">Australian Bureau of Statistics (ABS) (2023a). Education and Work, Australia. Retrieved from </w:t>
      </w:r>
      <w:hyperlink r:id="rId23" w:anchor="qualifications-held" w:history="1">
        <w:r w:rsidR="002B6A8B" w:rsidRPr="00156517">
          <w:rPr>
            <w:rStyle w:val="Hyperlink"/>
            <w:lang w:val="en-GB"/>
          </w:rPr>
          <w:t>https://www.abs.gov.au/statistics/people/education/education-and-work-australia/latest-release#qualifications-held</w:t>
        </w:r>
      </w:hyperlink>
      <w:r w:rsidRPr="001A52F2">
        <w:rPr>
          <w:lang w:val="en-GB"/>
        </w:rPr>
        <w:t xml:space="preserve"> </w:t>
      </w:r>
    </w:p>
    <w:p w14:paraId="5EB48BA8" w14:textId="5707C46D" w:rsidR="001A52F2" w:rsidRDefault="001A52F2" w:rsidP="001A52F2">
      <w:pPr>
        <w:rPr>
          <w:rStyle w:val="Hyperlink"/>
          <w:lang w:val="en-GB"/>
        </w:rPr>
      </w:pPr>
      <w:r w:rsidRPr="001A52F2">
        <w:rPr>
          <w:lang w:val="en-GB"/>
        </w:rPr>
        <w:t xml:space="preserve">Australian Bureau of Statistics (ABS) (2023b) Births, Australia. Retrieved </w:t>
      </w:r>
      <w:r w:rsidR="001D21D9">
        <w:rPr>
          <w:lang w:val="en-GB"/>
        </w:rPr>
        <w:t>f</w:t>
      </w:r>
      <w:r w:rsidRPr="001A52F2">
        <w:rPr>
          <w:lang w:val="en-GB"/>
        </w:rPr>
        <w:t>rom</w:t>
      </w:r>
      <w:r w:rsidR="001D21D9">
        <w:rPr>
          <w:lang w:val="en-GB"/>
        </w:rPr>
        <w:t xml:space="preserve"> </w:t>
      </w:r>
      <w:hyperlink r:id="rId24" w:history="1">
        <w:r w:rsidRPr="001A52F2">
          <w:rPr>
            <w:rStyle w:val="Hyperlink"/>
            <w:lang w:val="en-GB"/>
          </w:rPr>
          <w:t>https://www.abs.gov.au/statistics/people/population/births</w:t>
        </w:r>
        <w:r w:rsidR="009040A2">
          <w:rPr>
            <w:rStyle w:val="Hyperlink"/>
            <w:lang w:val="en-GB"/>
          </w:rPr>
          <w:noBreakHyphen/>
        </w:r>
        <w:r w:rsidRPr="001A52F2">
          <w:rPr>
            <w:rStyle w:val="Hyperlink"/>
            <w:lang w:val="en-GB"/>
          </w:rPr>
          <w:t>australia/2022</w:t>
        </w:r>
      </w:hyperlink>
    </w:p>
    <w:p w14:paraId="4F5E9501" w14:textId="623D2CC5" w:rsidR="001A52F2" w:rsidRDefault="001A52F2" w:rsidP="001A52F2">
      <w:pPr>
        <w:rPr>
          <w:lang w:val="en-GB"/>
        </w:rPr>
      </w:pPr>
      <w:r w:rsidRPr="001A52F2">
        <w:rPr>
          <w:lang w:val="en-GB"/>
        </w:rPr>
        <w:t>Australian Bureau of Statistics (ABS) (2024</w:t>
      </w:r>
      <w:r w:rsidR="00AD30C9">
        <w:rPr>
          <w:lang w:val="en-GB"/>
        </w:rPr>
        <w:t>a</w:t>
      </w:r>
      <w:r w:rsidRPr="001A52F2">
        <w:rPr>
          <w:lang w:val="en-GB"/>
        </w:rPr>
        <w:t xml:space="preserve">). Labour Force, Australia. Retrieved from </w:t>
      </w:r>
      <w:hyperlink r:id="rId25" w:anchor="historical-charts" w:history="1">
        <w:r w:rsidR="00D73D4B" w:rsidRPr="00156517">
          <w:rPr>
            <w:rStyle w:val="Hyperlink"/>
            <w:lang w:val="en-GB"/>
          </w:rPr>
          <w:t>https://www.abs.gov.au/statistics/labour/employment-and-unemployment/labour-force-australia/latest-release#historical-charts</w:t>
        </w:r>
      </w:hyperlink>
      <w:r w:rsidRPr="001A52F2">
        <w:rPr>
          <w:lang w:val="en-GB"/>
        </w:rPr>
        <w:t xml:space="preserve"> </w:t>
      </w:r>
    </w:p>
    <w:p w14:paraId="593A6ACA" w14:textId="7554D174" w:rsidR="00F15F65" w:rsidRDefault="00F15F65" w:rsidP="001A52F2">
      <w:pPr>
        <w:rPr>
          <w:lang w:val="en-GB"/>
        </w:rPr>
      </w:pPr>
      <w:r>
        <w:rPr>
          <w:lang w:val="en-GB"/>
        </w:rPr>
        <w:t>Australian Bureau of Statistics (ABS) (2024</w:t>
      </w:r>
      <w:r w:rsidR="00AD30C9">
        <w:rPr>
          <w:lang w:val="en-GB"/>
        </w:rPr>
        <w:t>b</w:t>
      </w:r>
      <w:r>
        <w:rPr>
          <w:lang w:val="en-GB"/>
        </w:rPr>
        <w:t xml:space="preserve">). </w:t>
      </w:r>
      <w:r w:rsidR="00255B0C">
        <w:rPr>
          <w:lang w:val="en-GB"/>
        </w:rPr>
        <w:t>Total Value of Dwellings</w:t>
      </w:r>
      <w:r>
        <w:rPr>
          <w:lang w:val="en-GB"/>
        </w:rPr>
        <w:t xml:space="preserve">, Australia. Retrieved from </w:t>
      </w:r>
      <w:hyperlink r:id="rId26" w:anchor="data-downloads" w:history="1">
        <w:r w:rsidR="00EF63F8" w:rsidRPr="00EF63F8">
          <w:rPr>
            <w:rStyle w:val="Hyperlink"/>
          </w:rPr>
          <w:t>Total Value of Dwell...~https://www.abs.gov.au/statistics/economy/price</w:t>
        </w:r>
        <w:r w:rsidR="00D73D4B">
          <w:rPr>
            <w:rStyle w:val="Hyperlink"/>
          </w:rPr>
          <w:t>-</w:t>
        </w:r>
        <w:r w:rsidR="00EF63F8" w:rsidRPr="00EF63F8">
          <w:rPr>
            <w:rStyle w:val="Hyperlink"/>
          </w:rPr>
          <w:t>indexes</w:t>
        </w:r>
        <w:r w:rsidR="00D73D4B">
          <w:rPr>
            <w:rStyle w:val="Hyperlink"/>
          </w:rPr>
          <w:t>-</w:t>
        </w:r>
        <w:r w:rsidR="00EF63F8" w:rsidRPr="00EF63F8">
          <w:rPr>
            <w:rStyle w:val="Hyperlink"/>
          </w:rPr>
          <w:t>and</w:t>
        </w:r>
        <w:r w:rsidR="00D73D4B">
          <w:rPr>
            <w:rStyle w:val="Hyperlink"/>
          </w:rPr>
          <w:t>-</w:t>
        </w:r>
        <w:r w:rsidR="00EF63F8" w:rsidRPr="00EF63F8">
          <w:rPr>
            <w:rStyle w:val="Hyperlink"/>
          </w:rPr>
          <w:t>inflation/total</w:t>
        </w:r>
        <w:r w:rsidR="00D73D4B">
          <w:rPr>
            <w:rStyle w:val="Hyperlink"/>
          </w:rPr>
          <w:t>-</w:t>
        </w:r>
        <w:r w:rsidR="00EF63F8" w:rsidRPr="00EF63F8">
          <w:rPr>
            <w:rStyle w:val="Hyperlink"/>
          </w:rPr>
          <w:t>value</w:t>
        </w:r>
        <w:r w:rsidR="00D73D4B">
          <w:rPr>
            <w:rStyle w:val="Hyperlink"/>
          </w:rPr>
          <w:t>-</w:t>
        </w:r>
        <w:r w:rsidR="00EF63F8" w:rsidRPr="00EF63F8">
          <w:rPr>
            <w:rStyle w:val="Hyperlink"/>
          </w:rPr>
          <w:t>dwellings/latest</w:t>
        </w:r>
        <w:r w:rsidR="00D73D4B">
          <w:rPr>
            <w:rStyle w:val="Hyperlink"/>
          </w:rPr>
          <w:t>-</w:t>
        </w:r>
        <w:r w:rsidR="00EF63F8" w:rsidRPr="00EF63F8">
          <w:rPr>
            <w:rStyle w:val="Hyperlink"/>
          </w:rPr>
          <w:t>release#data</w:t>
        </w:r>
        <w:r w:rsidR="00D73D4B">
          <w:rPr>
            <w:rStyle w:val="Hyperlink"/>
          </w:rPr>
          <w:t>-</w:t>
        </w:r>
        <w:r w:rsidR="00EF63F8" w:rsidRPr="00EF63F8">
          <w:rPr>
            <w:rStyle w:val="Hyperlink"/>
          </w:rPr>
          <w:t>downloads</w:t>
        </w:r>
      </w:hyperlink>
      <w:r>
        <w:rPr>
          <w:lang w:val="en-GB"/>
        </w:rPr>
        <w:t xml:space="preserve"> </w:t>
      </w:r>
    </w:p>
    <w:p w14:paraId="26F5F9B4" w14:textId="0E1BCB04" w:rsidR="00B0162C" w:rsidRDefault="00B0162C" w:rsidP="001A52F2">
      <w:pPr>
        <w:rPr>
          <w:lang w:val="en-GB"/>
        </w:rPr>
      </w:pPr>
      <w:r>
        <w:rPr>
          <w:lang w:val="en-GB"/>
        </w:rPr>
        <w:t>Australian Bureau of Statistics (ABS) (2024c). Selected Living Cost Indexes, Australia</w:t>
      </w:r>
      <w:r w:rsidR="00DE3671">
        <w:rPr>
          <w:lang w:val="en-GB"/>
        </w:rPr>
        <w:t xml:space="preserve">. Retrieved from </w:t>
      </w:r>
      <w:hyperlink r:id="rId27" w:anchor="data-downloads" w:history="1">
        <w:r w:rsidR="00D73D4B" w:rsidRPr="00156517">
          <w:rPr>
            <w:rStyle w:val="Hyperlink"/>
            <w:lang w:val="en-GB"/>
          </w:rPr>
          <w:t>https://www.abs.gov.au/statistics/economy/price-indexes-and-inflation/selected-living-cost-indexes-australia/latest-release#data-downloads</w:t>
        </w:r>
      </w:hyperlink>
      <w:r w:rsidR="00DE3671">
        <w:rPr>
          <w:lang w:val="en-GB"/>
        </w:rPr>
        <w:t xml:space="preserve"> </w:t>
      </w:r>
    </w:p>
    <w:p w14:paraId="1352913D" w14:textId="00D80B21" w:rsidR="006B4057" w:rsidRDefault="00AE663A" w:rsidP="001A52F2">
      <w:r>
        <w:rPr>
          <w:lang w:val="en-GB"/>
        </w:rPr>
        <w:t>Australian Bureau of Statistics (ABS) (</w:t>
      </w:r>
      <w:r w:rsidR="005212A3">
        <w:rPr>
          <w:lang w:val="en-GB"/>
        </w:rPr>
        <w:t>2024</w:t>
      </w:r>
      <w:r w:rsidR="005B3217">
        <w:rPr>
          <w:lang w:val="en-GB"/>
        </w:rPr>
        <w:t>d</w:t>
      </w:r>
      <w:r>
        <w:rPr>
          <w:lang w:val="en-GB"/>
        </w:rPr>
        <w:t xml:space="preserve">). </w:t>
      </w:r>
      <w:r w:rsidR="005B3217">
        <w:rPr>
          <w:lang w:val="en-GB"/>
        </w:rPr>
        <w:t>Australian National Accounts: National Income, Expenditure and</w:t>
      </w:r>
      <w:r w:rsidR="00FE3D8F">
        <w:rPr>
          <w:lang w:val="en-GB"/>
        </w:rPr>
        <w:t> </w:t>
      </w:r>
      <w:r w:rsidR="005B3217">
        <w:rPr>
          <w:lang w:val="en-GB"/>
        </w:rPr>
        <w:t>Product</w:t>
      </w:r>
      <w:r>
        <w:rPr>
          <w:lang w:val="en-GB"/>
        </w:rPr>
        <w:t xml:space="preserve">. Retrieved from </w:t>
      </w:r>
      <w:hyperlink r:id="rId28" w:anchor="data-downloads" w:history="1">
        <w:r w:rsidR="005B3217" w:rsidRPr="005B3217">
          <w:rPr>
            <w:rStyle w:val="Hyperlink"/>
          </w:rPr>
          <w:t>Australian National ...~https://www.abs.gov.au/statistics/economy/national</w:t>
        </w:r>
        <w:r w:rsidR="00D73D4B">
          <w:rPr>
            <w:rStyle w:val="Hyperlink"/>
          </w:rPr>
          <w:t>-</w:t>
        </w:r>
        <w:r w:rsidR="005B3217" w:rsidRPr="005B3217">
          <w:rPr>
            <w:rStyle w:val="Hyperlink"/>
          </w:rPr>
          <w:t>accounts/australian</w:t>
        </w:r>
        <w:r w:rsidR="00D73D4B">
          <w:rPr>
            <w:rStyle w:val="Hyperlink"/>
          </w:rPr>
          <w:t>-</w:t>
        </w:r>
        <w:r w:rsidR="005B3217" w:rsidRPr="005B3217">
          <w:rPr>
            <w:rStyle w:val="Hyperlink"/>
          </w:rPr>
          <w:t>national</w:t>
        </w:r>
        <w:r w:rsidR="00D73D4B">
          <w:rPr>
            <w:rStyle w:val="Hyperlink"/>
          </w:rPr>
          <w:t>-</w:t>
        </w:r>
        <w:r w:rsidR="005B3217" w:rsidRPr="005B3217">
          <w:rPr>
            <w:rStyle w:val="Hyperlink"/>
          </w:rPr>
          <w:t>accounts</w:t>
        </w:r>
        <w:r w:rsidR="00D73D4B">
          <w:rPr>
            <w:rStyle w:val="Hyperlink"/>
          </w:rPr>
          <w:t>-</w:t>
        </w:r>
        <w:r w:rsidR="005B3217" w:rsidRPr="005B3217">
          <w:rPr>
            <w:rStyle w:val="Hyperlink"/>
          </w:rPr>
          <w:t>national</w:t>
        </w:r>
        <w:r w:rsidR="00D73D4B">
          <w:rPr>
            <w:rStyle w:val="Hyperlink"/>
          </w:rPr>
          <w:t>-</w:t>
        </w:r>
        <w:r w:rsidR="005B3217" w:rsidRPr="005B3217">
          <w:rPr>
            <w:rStyle w:val="Hyperlink"/>
          </w:rPr>
          <w:t>income</w:t>
        </w:r>
        <w:r w:rsidR="00D73D4B">
          <w:rPr>
            <w:rStyle w:val="Hyperlink"/>
          </w:rPr>
          <w:t>-</w:t>
        </w:r>
        <w:r w:rsidR="005B3217" w:rsidRPr="005B3217">
          <w:rPr>
            <w:rStyle w:val="Hyperlink"/>
          </w:rPr>
          <w:t>expenditure</w:t>
        </w:r>
        <w:r w:rsidR="00D73D4B">
          <w:rPr>
            <w:rStyle w:val="Hyperlink"/>
          </w:rPr>
          <w:t>-</w:t>
        </w:r>
        <w:r w:rsidR="005B3217" w:rsidRPr="005B3217">
          <w:rPr>
            <w:rStyle w:val="Hyperlink"/>
          </w:rPr>
          <w:t>and</w:t>
        </w:r>
        <w:r w:rsidR="00D73D4B">
          <w:rPr>
            <w:rStyle w:val="Hyperlink"/>
          </w:rPr>
          <w:t>-</w:t>
        </w:r>
        <w:r w:rsidR="005B3217" w:rsidRPr="005B3217">
          <w:rPr>
            <w:rStyle w:val="Hyperlink"/>
          </w:rPr>
          <w:t>product/jun</w:t>
        </w:r>
        <w:r w:rsidR="00D73D4B">
          <w:rPr>
            <w:rStyle w:val="Hyperlink"/>
          </w:rPr>
          <w:t>-</w:t>
        </w:r>
        <w:r w:rsidR="005B3217" w:rsidRPr="005B3217">
          <w:rPr>
            <w:rStyle w:val="Hyperlink"/>
          </w:rPr>
          <w:t>2024#data</w:t>
        </w:r>
        <w:r w:rsidR="00D73D4B">
          <w:rPr>
            <w:rStyle w:val="Hyperlink"/>
          </w:rPr>
          <w:t>-</w:t>
        </w:r>
        <w:r w:rsidR="005B3217" w:rsidRPr="005B3217">
          <w:rPr>
            <w:rStyle w:val="Hyperlink"/>
          </w:rPr>
          <w:t>downloads</w:t>
        </w:r>
      </w:hyperlink>
      <w:r w:rsidR="005B3217" w:rsidRPr="005B3217" w:rsidDel="005B3217">
        <w:t xml:space="preserve"> </w:t>
      </w:r>
    </w:p>
    <w:p w14:paraId="4B531B9D" w14:textId="614256C8" w:rsidR="00AE663A" w:rsidRPr="004852FA" w:rsidRDefault="006B4057" w:rsidP="001A52F2">
      <w:pPr>
        <w:rPr>
          <w:lang w:val="en-GB"/>
        </w:rPr>
      </w:pPr>
      <w:r w:rsidRPr="001A52F2">
        <w:rPr>
          <w:lang w:val="en-GB"/>
        </w:rPr>
        <w:t>Australian Bureau of Statistics (ABS) (202</w:t>
      </w:r>
      <w:r>
        <w:rPr>
          <w:lang w:val="en-GB"/>
        </w:rPr>
        <w:t>4e</w:t>
      </w:r>
      <w:r w:rsidRPr="001A52F2">
        <w:rPr>
          <w:lang w:val="en-GB"/>
        </w:rPr>
        <w:t xml:space="preserve">) </w:t>
      </w:r>
      <w:r>
        <w:rPr>
          <w:lang w:val="en-GB"/>
        </w:rPr>
        <w:t>Consumer Price Index</w:t>
      </w:r>
      <w:r w:rsidRPr="001A52F2">
        <w:rPr>
          <w:lang w:val="en-GB"/>
        </w:rPr>
        <w:t xml:space="preserve">, Australia. Retrieved </w:t>
      </w:r>
      <w:r w:rsidR="001D21D9">
        <w:rPr>
          <w:lang w:val="en-GB"/>
        </w:rPr>
        <w:t>f</w:t>
      </w:r>
      <w:r w:rsidRPr="001A52F2">
        <w:rPr>
          <w:lang w:val="en-GB"/>
        </w:rPr>
        <w:t>rom</w:t>
      </w:r>
      <w:r>
        <w:rPr>
          <w:lang w:val="en-GB"/>
        </w:rPr>
        <w:t xml:space="preserve"> </w:t>
      </w:r>
      <w:hyperlink r:id="rId29" w:history="1">
        <w:r w:rsidRPr="000D392B">
          <w:rPr>
            <w:rStyle w:val="Hyperlink"/>
          </w:rPr>
          <w:t>Consumer Price Index...~https://www.abs.gov.au/statistics/economy/price</w:t>
        </w:r>
        <w:r w:rsidR="00D73D4B">
          <w:rPr>
            <w:rStyle w:val="Hyperlink"/>
          </w:rPr>
          <w:t>-</w:t>
        </w:r>
        <w:r w:rsidRPr="000D392B">
          <w:rPr>
            <w:rStyle w:val="Hyperlink"/>
          </w:rPr>
          <w:t>indexes</w:t>
        </w:r>
        <w:r w:rsidR="00D73D4B">
          <w:rPr>
            <w:rStyle w:val="Hyperlink"/>
          </w:rPr>
          <w:t>-</w:t>
        </w:r>
        <w:r w:rsidRPr="000D392B">
          <w:rPr>
            <w:rStyle w:val="Hyperlink"/>
          </w:rPr>
          <w:t>and</w:t>
        </w:r>
        <w:r w:rsidR="00D73D4B">
          <w:rPr>
            <w:rStyle w:val="Hyperlink"/>
          </w:rPr>
          <w:t>-</w:t>
        </w:r>
        <w:r w:rsidRPr="000D392B">
          <w:rPr>
            <w:rStyle w:val="Hyperlink"/>
          </w:rPr>
          <w:t>inflation/consumer</w:t>
        </w:r>
        <w:r w:rsidR="00D73D4B">
          <w:rPr>
            <w:rStyle w:val="Hyperlink"/>
          </w:rPr>
          <w:t>-</w:t>
        </w:r>
        <w:r w:rsidRPr="000D392B">
          <w:rPr>
            <w:rStyle w:val="Hyperlink"/>
          </w:rPr>
          <w:t>price</w:t>
        </w:r>
        <w:r w:rsidR="00D73D4B">
          <w:rPr>
            <w:rStyle w:val="Hyperlink"/>
          </w:rPr>
          <w:t>-</w:t>
        </w:r>
        <w:r w:rsidRPr="000D392B">
          <w:rPr>
            <w:rStyle w:val="Hyperlink"/>
          </w:rPr>
          <w:t>index</w:t>
        </w:r>
        <w:r w:rsidR="00D73D4B">
          <w:rPr>
            <w:rStyle w:val="Hyperlink"/>
          </w:rPr>
          <w:t>-</w:t>
        </w:r>
        <w:r w:rsidRPr="000D392B">
          <w:rPr>
            <w:rStyle w:val="Hyperlink"/>
          </w:rPr>
          <w:t>australia/jun</w:t>
        </w:r>
        <w:r w:rsidR="00D73D4B">
          <w:rPr>
            <w:rStyle w:val="Hyperlink"/>
          </w:rPr>
          <w:t>-</w:t>
        </w:r>
        <w:r w:rsidRPr="000D392B">
          <w:rPr>
            <w:rStyle w:val="Hyperlink"/>
          </w:rPr>
          <w:t>quarter</w:t>
        </w:r>
        <w:r w:rsidR="00D73D4B">
          <w:rPr>
            <w:rStyle w:val="Hyperlink"/>
          </w:rPr>
          <w:t>-</w:t>
        </w:r>
        <w:r w:rsidRPr="000D392B">
          <w:rPr>
            <w:rStyle w:val="Hyperlink"/>
          </w:rPr>
          <w:t>2024</w:t>
        </w:r>
      </w:hyperlink>
      <w:r w:rsidR="00281A24">
        <w:rPr>
          <w:lang w:val="en-GB"/>
        </w:rPr>
        <w:t xml:space="preserve"> </w:t>
      </w:r>
    </w:p>
    <w:p w14:paraId="7A87338E" w14:textId="3086850A" w:rsidR="001A52F2" w:rsidRPr="001A52F2" w:rsidRDefault="001A52F2" w:rsidP="001A52F2">
      <w:r w:rsidRPr="001A52F2">
        <w:rPr>
          <w:lang w:val="en-GB"/>
        </w:rPr>
        <w:t xml:space="preserve">Australian Institute of Family Studies (AIFS) (2023). Births in Australia. Retrieved from </w:t>
      </w:r>
      <w:hyperlink r:id="rId30" w:history="1">
        <w:r w:rsidR="00D73D4B" w:rsidRPr="00156517">
          <w:rPr>
            <w:rStyle w:val="Hyperlink"/>
            <w:lang w:val="en-GB"/>
          </w:rPr>
          <w:t>https://aifs.gov.au/research/facts-and-figures/births-australia-2023</w:t>
        </w:r>
      </w:hyperlink>
      <w:r w:rsidRPr="001A52F2">
        <w:rPr>
          <w:lang w:val="en-GB"/>
        </w:rPr>
        <w:t xml:space="preserve"> </w:t>
      </w:r>
    </w:p>
    <w:p w14:paraId="2FD1D9E1" w14:textId="4FFB91C6" w:rsidR="001A52F2" w:rsidRPr="001A52F2" w:rsidRDefault="001A52F2" w:rsidP="001A52F2">
      <w:proofErr w:type="spellStart"/>
      <w:r w:rsidRPr="001A52F2">
        <w:rPr>
          <w:lang w:val="en-GB"/>
        </w:rPr>
        <w:t>Bhalotra</w:t>
      </w:r>
      <w:proofErr w:type="spellEnd"/>
      <w:r w:rsidRPr="001A52F2">
        <w:rPr>
          <w:lang w:val="en-GB"/>
        </w:rPr>
        <w:t>, S., Clarke, D., &amp; Walther, S. (2021). Women</w:t>
      </w:r>
      <w:r w:rsidR="009040A2">
        <w:rPr>
          <w:lang w:val="en-GB"/>
        </w:rPr>
        <w:t>’</w:t>
      </w:r>
      <w:r w:rsidRPr="001A52F2">
        <w:rPr>
          <w:lang w:val="en-GB"/>
        </w:rPr>
        <w:t>s Careers and Family Formation. In Zimmermann, K.</w:t>
      </w:r>
      <w:r w:rsidR="00FE3D8F">
        <w:rPr>
          <w:lang w:val="en-GB"/>
        </w:rPr>
        <w:t> </w:t>
      </w:r>
      <w:r w:rsidRPr="001A52F2">
        <w:rPr>
          <w:lang w:val="en-GB"/>
        </w:rPr>
        <w:t>F.</w:t>
      </w:r>
      <w:r w:rsidR="00FE3D8F">
        <w:rPr>
          <w:lang w:val="en-GB"/>
        </w:rPr>
        <w:t> </w:t>
      </w:r>
      <w:r w:rsidRPr="001A52F2">
        <w:rPr>
          <w:lang w:val="en-GB"/>
        </w:rPr>
        <w:t xml:space="preserve">(eds.) </w:t>
      </w:r>
      <w:r w:rsidRPr="001A52F2">
        <w:rPr>
          <w:i/>
          <w:iCs/>
          <w:lang w:val="en-GB"/>
        </w:rPr>
        <w:t>Handbook of Labor, Human Resources and Population</w:t>
      </w:r>
      <w:r w:rsidRPr="001A52F2">
        <w:rPr>
          <w:lang w:val="en-GB"/>
        </w:rPr>
        <w:t>, 1</w:t>
      </w:r>
      <w:r w:rsidR="009040A2">
        <w:rPr>
          <w:lang w:val="en-GB"/>
        </w:rPr>
        <w:noBreakHyphen/>
      </w:r>
      <w:r w:rsidRPr="001A52F2">
        <w:rPr>
          <w:lang w:val="en-GB"/>
        </w:rPr>
        <w:t xml:space="preserve">33. Retrieved from </w:t>
      </w:r>
      <w:hyperlink r:id="rId31" w:history="1">
        <w:r w:rsidRPr="001A52F2">
          <w:rPr>
            <w:rStyle w:val="Hyperlink"/>
            <w:lang w:val="en-GB"/>
          </w:rPr>
          <w:t>https://www.damianclarke.net/research/papers/fertilityFLFPchapter.pdf</w:t>
        </w:r>
      </w:hyperlink>
      <w:r w:rsidRPr="001A52F2">
        <w:rPr>
          <w:lang w:val="en-GB"/>
        </w:rPr>
        <w:t xml:space="preserve"> </w:t>
      </w:r>
    </w:p>
    <w:p w14:paraId="20A059FE" w14:textId="4BC3F30D" w:rsidR="001A52F2" w:rsidRPr="001A52F2" w:rsidRDefault="001A52F2" w:rsidP="001A52F2">
      <w:r w:rsidRPr="001A52F2">
        <w:rPr>
          <w:lang w:val="en-GB"/>
        </w:rPr>
        <w:t xml:space="preserve">Boivin, J., Buntin, L., </w:t>
      </w:r>
      <w:proofErr w:type="spellStart"/>
      <w:r w:rsidRPr="001A52F2">
        <w:rPr>
          <w:lang w:val="en-GB"/>
        </w:rPr>
        <w:t>Kalebic</w:t>
      </w:r>
      <w:proofErr w:type="spellEnd"/>
      <w:r w:rsidRPr="001A52F2">
        <w:rPr>
          <w:lang w:val="en-GB"/>
        </w:rPr>
        <w:t>, N. &amp; Harrison, C. (2018). What Makes People Ready to Conceive? Findings from the International Fertility Decision</w:t>
      </w:r>
      <w:r w:rsidR="009040A2">
        <w:rPr>
          <w:lang w:val="en-GB"/>
        </w:rPr>
        <w:noBreakHyphen/>
      </w:r>
      <w:r w:rsidRPr="001A52F2">
        <w:rPr>
          <w:lang w:val="en-GB"/>
        </w:rPr>
        <w:t xml:space="preserve">Making Study. </w:t>
      </w:r>
      <w:r w:rsidRPr="001A52F2">
        <w:rPr>
          <w:i/>
          <w:iCs/>
          <w:lang w:val="en-GB"/>
        </w:rPr>
        <w:t xml:space="preserve">Reproductive </w:t>
      </w:r>
      <w:proofErr w:type="spellStart"/>
      <w:r w:rsidRPr="001A52F2">
        <w:rPr>
          <w:i/>
          <w:iCs/>
          <w:lang w:val="en-GB"/>
        </w:rPr>
        <w:t>BioMedicine</w:t>
      </w:r>
      <w:proofErr w:type="spellEnd"/>
      <w:r w:rsidRPr="001A52F2">
        <w:rPr>
          <w:i/>
          <w:iCs/>
          <w:lang w:val="en-GB"/>
        </w:rPr>
        <w:t xml:space="preserve"> and Society Online, </w:t>
      </w:r>
      <w:r w:rsidRPr="001A52F2">
        <w:rPr>
          <w:lang w:val="en-GB"/>
        </w:rPr>
        <w:t>6, 90</w:t>
      </w:r>
      <w:r w:rsidR="009040A2">
        <w:rPr>
          <w:lang w:val="en-GB"/>
        </w:rPr>
        <w:noBreakHyphen/>
      </w:r>
      <w:r w:rsidRPr="001A52F2">
        <w:rPr>
          <w:lang w:val="en-GB"/>
        </w:rPr>
        <w:t xml:space="preserve">101. Retrieved from </w:t>
      </w:r>
      <w:hyperlink r:id="rId32" w:history="1">
        <w:r w:rsidRPr="001A52F2">
          <w:rPr>
            <w:rStyle w:val="Hyperlink"/>
            <w:lang w:val="en-GB"/>
          </w:rPr>
          <w:t>https://www.ncbi.nlm.nih.gov/pmc/articles/PMC6282098/pdf/main.pdf</w:t>
        </w:r>
      </w:hyperlink>
      <w:r w:rsidRPr="001A52F2">
        <w:rPr>
          <w:lang w:val="en-GB"/>
        </w:rPr>
        <w:t xml:space="preserve"> </w:t>
      </w:r>
    </w:p>
    <w:p w14:paraId="42A9232A" w14:textId="4908161D" w:rsidR="001A52F2" w:rsidRPr="001A52F2" w:rsidRDefault="001A52F2" w:rsidP="001A52F2">
      <w:r w:rsidRPr="001A52F2">
        <w:rPr>
          <w:lang w:val="en-GB"/>
        </w:rPr>
        <w:t xml:space="preserve">Craig, L. &amp; </w:t>
      </w:r>
      <w:proofErr w:type="spellStart"/>
      <w:r w:rsidRPr="001A52F2">
        <w:rPr>
          <w:lang w:val="en-GB"/>
        </w:rPr>
        <w:t>Siminski</w:t>
      </w:r>
      <w:proofErr w:type="spellEnd"/>
      <w:r w:rsidRPr="001A52F2">
        <w:rPr>
          <w:lang w:val="en-GB"/>
        </w:rPr>
        <w:t>, P. (2010). Men</w:t>
      </w:r>
      <w:r w:rsidR="009040A2">
        <w:rPr>
          <w:lang w:val="en-GB"/>
        </w:rPr>
        <w:t>’</w:t>
      </w:r>
      <w:r w:rsidRPr="001A52F2">
        <w:rPr>
          <w:lang w:val="en-GB"/>
        </w:rPr>
        <w:t>s Housework, Women</w:t>
      </w:r>
      <w:r w:rsidR="009040A2">
        <w:rPr>
          <w:lang w:val="en-GB"/>
        </w:rPr>
        <w:t>’</w:t>
      </w:r>
      <w:r w:rsidRPr="001A52F2">
        <w:rPr>
          <w:lang w:val="en-GB"/>
        </w:rPr>
        <w:t xml:space="preserve">s Housework, and Second Births in Australia. </w:t>
      </w:r>
      <w:r w:rsidRPr="001A52F2">
        <w:rPr>
          <w:i/>
          <w:iCs/>
          <w:lang w:val="en-GB"/>
        </w:rPr>
        <w:t>Social</w:t>
      </w:r>
      <w:r w:rsidR="00D73D4B">
        <w:rPr>
          <w:i/>
          <w:iCs/>
          <w:lang w:val="en-GB"/>
        </w:rPr>
        <w:t> </w:t>
      </w:r>
      <w:r w:rsidRPr="001A52F2">
        <w:rPr>
          <w:i/>
          <w:iCs/>
          <w:lang w:val="en-GB"/>
        </w:rPr>
        <w:t>Politics: International Studies in Gender, State &amp; Society,</w:t>
      </w:r>
      <w:r w:rsidRPr="001A52F2">
        <w:rPr>
          <w:lang w:val="en-GB"/>
        </w:rPr>
        <w:t xml:space="preserve"> 17(2), 235–266. Retrieved from </w:t>
      </w:r>
      <w:hyperlink r:id="rId33" w:history="1">
        <w:r w:rsidR="00D73D4B" w:rsidRPr="00156517">
          <w:rPr>
            <w:rStyle w:val="Hyperlink"/>
            <w:lang w:val="en-GB"/>
          </w:rPr>
          <w:t>https://doi-org.virtual.anu.edu.au/10.1093/sp/jxq004</w:t>
        </w:r>
      </w:hyperlink>
      <w:r w:rsidRPr="001A52F2">
        <w:rPr>
          <w:lang w:val="en-GB"/>
        </w:rPr>
        <w:t xml:space="preserve"> </w:t>
      </w:r>
    </w:p>
    <w:p w14:paraId="6DB6DD71" w14:textId="04418C52" w:rsidR="001A52F2" w:rsidRPr="001A52F2" w:rsidRDefault="001A52F2" w:rsidP="001A52F2">
      <w:r w:rsidRPr="001A52F2">
        <w:rPr>
          <w:lang w:val="en-GB"/>
        </w:rPr>
        <w:t xml:space="preserve">Craig, L. &amp; </w:t>
      </w:r>
      <w:proofErr w:type="spellStart"/>
      <w:r w:rsidRPr="001A52F2">
        <w:rPr>
          <w:lang w:val="en-GB"/>
        </w:rPr>
        <w:t>Siminski</w:t>
      </w:r>
      <w:proofErr w:type="spellEnd"/>
      <w:r w:rsidRPr="001A52F2">
        <w:rPr>
          <w:lang w:val="en-GB"/>
        </w:rPr>
        <w:t xml:space="preserve">, P. (2011). If Men Do More Housework, Do Their Wives Have More Babies? </w:t>
      </w:r>
      <w:r w:rsidRPr="001A52F2">
        <w:rPr>
          <w:i/>
          <w:iCs/>
          <w:lang w:val="en-GB"/>
        </w:rPr>
        <w:t>Social Indicators Research</w:t>
      </w:r>
      <w:r w:rsidRPr="001A52F2">
        <w:rPr>
          <w:lang w:val="en-GB"/>
        </w:rPr>
        <w:t xml:space="preserve">, 101, 255–258. Retrieved from </w:t>
      </w:r>
      <w:hyperlink r:id="rId34" w:history="1">
        <w:r w:rsidR="001D21D9" w:rsidRPr="00156517">
          <w:rPr>
            <w:rStyle w:val="Hyperlink"/>
            <w:lang w:val="en-GB"/>
          </w:rPr>
          <w:t>https://doi-org.virtual.anu.edu.au/10.1007/s11205-010-9644-1</w:t>
        </w:r>
      </w:hyperlink>
      <w:r w:rsidRPr="001A52F2">
        <w:rPr>
          <w:lang w:val="en-GB"/>
        </w:rPr>
        <w:t xml:space="preserve"> </w:t>
      </w:r>
    </w:p>
    <w:p w14:paraId="1B5A3A6E" w14:textId="7F7A72A8" w:rsidR="001A52F2" w:rsidRPr="001A52F2" w:rsidRDefault="001A52F2" w:rsidP="001A52F2">
      <w:proofErr w:type="spellStart"/>
      <w:r w:rsidRPr="001A52F2">
        <w:rPr>
          <w:lang w:val="en-GB"/>
        </w:rPr>
        <w:t>Dariotis</w:t>
      </w:r>
      <w:proofErr w:type="spellEnd"/>
      <w:r w:rsidRPr="001A52F2">
        <w:rPr>
          <w:lang w:val="en-GB"/>
        </w:rPr>
        <w:t xml:space="preserve">, J. K. (2004). Fertility Intention Emergence and Process During Late Adolescence and Early Adulthood: Voluntary Childlessness as a Special Case. </w:t>
      </w:r>
      <w:r w:rsidRPr="001A52F2">
        <w:rPr>
          <w:i/>
          <w:iCs/>
          <w:lang w:val="en-GB"/>
        </w:rPr>
        <w:t>Paper presented at the Population Association of America 2004 Annual Conference, USA</w:t>
      </w:r>
      <w:r w:rsidRPr="001A52F2">
        <w:rPr>
          <w:lang w:val="en-GB"/>
        </w:rPr>
        <w:t>, 10</w:t>
      </w:r>
      <w:r w:rsidR="009040A2">
        <w:rPr>
          <w:lang w:val="en-GB"/>
        </w:rPr>
        <w:noBreakHyphen/>
      </w:r>
      <w:r w:rsidRPr="001A52F2">
        <w:rPr>
          <w:lang w:val="en-GB"/>
        </w:rPr>
        <w:t xml:space="preserve">11. Retrieved from </w:t>
      </w:r>
      <w:hyperlink r:id="rId35" w:history="1">
        <w:r w:rsidRPr="001A52F2">
          <w:rPr>
            <w:rStyle w:val="Hyperlink"/>
            <w:lang w:val="en-GB"/>
          </w:rPr>
          <w:t>https://paa2004.populationassociation.org/papers/41632</w:t>
        </w:r>
      </w:hyperlink>
    </w:p>
    <w:p w14:paraId="6F804388" w14:textId="4297B189" w:rsidR="001A52F2" w:rsidRPr="001A52F2" w:rsidRDefault="001A52F2" w:rsidP="001A52F2">
      <w:r w:rsidRPr="001A52F2">
        <w:lastRenderedPageBreak/>
        <w:t xml:space="preserve">Department of Social Services (2024). Household, Income and Labour Dynamics in Australia Survey (HILDA). Retrieved from </w:t>
      </w:r>
      <w:hyperlink r:id="rId36" w:history="1">
        <w:r w:rsidR="001D21D9" w:rsidRPr="00156517">
          <w:rPr>
            <w:rStyle w:val="Hyperlink"/>
          </w:rPr>
          <w:t>https://www.dss.gov.au/about-the-department/longitudinal-studies/living-in-australia-hilda-household-income-and-labour-dynamics-in-australia-overview</w:t>
        </w:r>
      </w:hyperlink>
      <w:r w:rsidRPr="001A52F2">
        <w:t xml:space="preserve"> </w:t>
      </w:r>
    </w:p>
    <w:p w14:paraId="26ABB3BD" w14:textId="06102BC1" w:rsidR="001A52F2" w:rsidRPr="001A52F2" w:rsidRDefault="00EA089C" w:rsidP="001A52F2">
      <w:r>
        <w:rPr>
          <w:lang w:val="en-GB"/>
        </w:rPr>
        <w:t>The Australian Government</w:t>
      </w:r>
      <w:r w:rsidR="001A52F2" w:rsidRPr="001A52F2">
        <w:rPr>
          <w:lang w:val="en-GB"/>
        </w:rPr>
        <w:t xml:space="preserve"> (2023). </w:t>
      </w:r>
      <w:r w:rsidR="001A52F2" w:rsidRPr="001A52F2">
        <w:t>Working Future: The Australian Government</w:t>
      </w:r>
      <w:r w:rsidR="009040A2">
        <w:t>’</w:t>
      </w:r>
      <w:r w:rsidR="001A52F2" w:rsidRPr="001A52F2">
        <w:t xml:space="preserve">s White Paper on Jobs and Opportunities. Retrieved from </w:t>
      </w:r>
      <w:hyperlink r:id="rId37" w:history="1">
        <w:r w:rsidR="001D21D9" w:rsidRPr="00156517">
          <w:rPr>
            <w:rStyle w:val="Hyperlink"/>
          </w:rPr>
          <w:t>https://treasury.gov.au/employment-whitepaper/final-report</w:t>
        </w:r>
      </w:hyperlink>
    </w:p>
    <w:p w14:paraId="241B32E7" w14:textId="379BFD34" w:rsidR="001A52F2" w:rsidRPr="001A52F2" w:rsidRDefault="005E7A04" w:rsidP="001A52F2">
      <w:r>
        <w:rPr>
          <w:lang w:val="en-GB"/>
        </w:rPr>
        <w:t>The Australian Government</w:t>
      </w:r>
      <w:r w:rsidRPr="001A52F2">
        <w:rPr>
          <w:lang w:val="en-GB"/>
        </w:rPr>
        <w:t xml:space="preserve"> </w:t>
      </w:r>
      <w:r w:rsidR="4DACE34B" w:rsidRPr="38FAB90E">
        <w:rPr>
          <w:lang w:val="en-GB"/>
        </w:rPr>
        <w:t xml:space="preserve">(2023). </w:t>
      </w:r>
      <w:r w:rsidR="4DACE34B">
        <w:t xml:space="preserve">Intergenerational Report 2023. Retrieved from </w:t>
      </w:r>
      <w:hyperlink r:id="rId38" w:history="1">
        <w:r w:rsidR="001D21D9" w:rsidRPr="00156517">
          <w:rPr>
            <w:rStyle w:val="Hyperlink"/>
          </w:rPr>
          <w:t>https://treasury.gov.au/publication/2023-intergenerational-report</w:t>
        </w:r>
      </w:hyperlink>
      <w:r w:rsidR="4DACE34B">
        <w:t xml:space="preserve"> </w:t>
      </w:r>
    </w:p>
    <w:p w14:paraId="427C8835" w14:textId="3880B375" w:rsidR="001A52F2" w:rsidRPr="001A52F2" w:rsidRDefault="001A52F2" w:rsidP="001A52F2">
      <w:proofErr w:type="spellStart"/>
      <w:r w:rsidRPr="001A52F2">
        <w:rPr>
          <w:lang w:val="en-GB"/>
        </w:rPr>
        <w:t>Doepke</w:t>
      </w:r>
      <w:proofErr w:type="spellEnd"/>
      <w:r w:rsidRPr="001A52F2">
        <w:rPr>
          <w:lang w:val="en-GB"/>
        </w:rPr>
        <w:t xml:space="preserve">, M., </w:t>
      </w:r>
      <w:proofErr w:type="spellStart"/>
      <w:r w:rsidRPr="001A52F2">
        <w:rPr>
          <w:lang w:val="en-GB"/>
        </w:rPr>
        <w:t>Hannusch</w:t>
      </w:r>
      <w:proofErr w:type="spellEnd"/>
      <w:r w:rsidRPr="001A52F2">
        <w:rPr>
          <w:lang w:val="en-GB"/>
        </w:rPr>
        <w:t xml:space="preserve">, A., </w:t>
      </w:r>
      <w:proofErr w:type="spellStart"/>
      <w:r w:rsidRPr="001A52F2">
        <w:rPr>
          <w:lang w:val="en-GB"/>
        </w:rPr>
        <w:t>Kindermann</w:t>
      </w:r>
      <w:proofErr w:type="spellEnd"/>
      <w:r w:rsidRPr="001A52F2">
        <w:rPr>
          <w:lang w:val="en-GB"/>
        </w:rPr>
        <w:t xml:space="preserve">, F. &amp; </w:t>
      </w:r>
      <w:proofErr w:type="spellStart"/>
      <w:r w:rsidRPr="001A52F2">
        <w:rPr>
          <w:lang w:val="en-GB"/>
        </w:rPr>
        <w:t>Tertilt</w:t>
      </w:r>
      <w:proofErr w:type="spellEnd"/>
      <w:r w:rsidRPr="001A52F2">
        <w:rPr>
          <w:lang w:val="en-GB"/>
        </w:rPr>
        <w:t xml:space="preserve">, M. (2022). The New Economics of Fertility. International Monetary Fund. Retrieved from </w:t>
      </w:r>
      <w:hyperlink r:id="rId39" w:history="1">
        <w:r w:rsidR="001D21D9" w:rsidRPr="00156517">
          <w:rPr>
            <w:rStyle w:val="Hyperlink"/>
            <w:lang w:val="en-GB"/>
          </w:rPr>
          <w:t>https://www.imf.org/en/Publications/fandd/issues/Series/Analytical-Series/new-economics-of-fertility-doepke-hannusch-kindermann-tertilt</w:t>
        </w:r>
      </w:hyperlink>
      <w:r w:rsidRPr="001A52F2">
        <w:rPr>
          <w:lang w:val="en-GB"/>
        </w:rPr>
        <w:t xml:space="preserve"> </w:t>
      </w:r>
    </w:p>
    <w:p w14:paraId="65AFBCC8" w14:textId="3DF754CE" w:rsidR="00913048" w:rsidRDefault="001A52F2" w:rsidP="00432C6F">
      <w:r w:rsidRPr="001A52F2">
        <w:rPr>
          <w:lang w:val="en-GB"/>
        </w:rPr>
        <w:t xml:space="preserve">Gray, E. et al. (2022). Impacts of Policies on Fertility Rates. For the Centre for Population. Retrieved from </w:t>
      </w:r>
      <w:hyperlink r:id="rId40" w:history="1">
        <w:r w:rsidR="00FE3D8F" w:rsidRPr="00156517">
          <w:rPr>
            <w:rStyle w:val="Hyperlink"/>
            <w:spacing w:val="-2"/>
            <w:lang w:val="en-GB"/>
          </w:rPr>
          <w:t>https://population.gov.au/sites/population.gov.au/files/2022</w:t>
        </w:r>
        <w:r w:rsidR="00FE3D8F" w:rsidRPr="00156517">
          <w:rPr>
            <w:rStyle w:val="Hyperlink"/>
            <w:spacing w:val="-2"/>
            <w:lang w:val="en-GB"/>
          </w:rPr>
          <w:noBreakHyphen/>
          <w:t>03/ANU_Impacts</w:t>
        </w:r>
        <w:r w:rsidR="00FE3D8F" w:rsidRPr="00156517">
          <w:rPr>
            <w:rStyle w:val="Hyperlink"/>
            <w:spacing w:val="-2"/>
            <w:lang w:val="en-GB"/>
          </w:rPr>
          <w:noBreakHyphen/>
          <w:t>of</w:t>
        </w:r>
        <w:r w:rsidR="00FE3D8F" w:rsidRPr="00156517">
          <w:rPr>
            <w:rStyle w:val="Hyperlink"/>
            <w:spacing w:val="-2"/>
            <w:lang w:val="en-GB"/>
          </w:rPr>
          <w:noBreakHyphen/>
          <w:t>Policies</w:t>
        </w:r>
        <w:r w:rsidR="00FE3D8F" w:rsidRPr="00156517">
          <w:rPr>
            <w:rStyle w:val="Hyperlink"/>
            <w:spacing w:val="-2"/>
            <w:lang w:val="en-GB"/>
          </w:rPr>
          <w:noBreakHyphen/>
          <w:t>on</w:t>
        </w:r>
        <w:r w:rsidR="00FE3D8F" w:rsidRPr="00156517">
          <w:rPr>
            <w:rStyle w:val="Hyperlink"/>
            <w:spacing w:val="-2"/>
            <w:lang w:val="en-GB"/>
          </w:rPr>
          <w:noBreakHyphen/>
          <w:t>Fertility</w:t>
        </w:r>
        <w:r w:rsidR="00FE3D8F" w:rsidRPr="00156517">
          <w:rPr>
            <w:rStyle w:val="Hyperlink"/>
            <w:spacing w:val="-2"/>
            <w:lang w:val="en-GB"/>
          </w:rPr>
          <w:noBreakHyphen/>
          <w:t>Rates</w:t>
        </w:r>
        <w:r w:rsidR="00FE3D8F" w:rsidRPr="00156517">
          <w:rPr>
            <w:rStyle w:val="Hyperlink"/>
            <w:spacing w:val="-2"/>
            <w:lang w:val="en-GB"/>
          </w:rPr>
          <w:noBreakHyphen/>
          <w:t>Full</w:t>
        </w:r>
        <w:r w:rsidR="00FE3D8F" w:rsidRPr="00156517">
          <w:rPr>
            <w:rStyle w:val="Hyperlink"/>
            <w:spacing w:val="-2"/>
            <w:lang w:val="en-GB"/>
          </w:rPr>
          <w:noBreakHyphen/>
          <w:t>report.pdf</w:t>
        </w:r>
      </w:hyperlink>
      <w:r w:rsidRPr="001A52F2">
        <w:rPr>
          <w:lang w:val="en-GB"/>
        </w:rPr>
        <w:t xml:space="preserve"> </w:t>
      </w:r>
    </w:p>
    <w:p w14:paraId="0F72BF05" w14:textId="77777777" w:rsidR="00913048" w:rsidRPr="00913048" w:rsidRDefault="00913048" w:rsidP="00913048">
      <w:r w:rsidRPr="00913048">
        <w:rPr>
          <w:lang w:val="en-GB"/>
        </w:rPr>
        <w:t xml:space="preserve">Human Fertility Database (2023). Total Fertility Rate. Retrieved from </w:t>
      </w:r>
      <w:hyperlink r:id="rId41" w:history="1">
        <w:r w:rsidRPr="00913048">
          <w:rPr>
            <w:rStyle w:val="Hyperlink"/>
            <w:lang w:val="en-GB"/>
          </w:rPr>
          <w:t>https://www.humanfertility.org/</w:t>
        </w:r>
      </w:hyperlink>
      <w:r w:rsidRPr="00913048">
        <w:rPr>
          <w:lang w:val="en-GB"/>
        </w:rPr>
        <w:t xml:space="preserve"> </w:t>
      </w:r>
    </w:p>
    <w:p w14:paraId="4016CAFA" w14:textId="7A665BD3" w:rsidR="00913048" w:rsidRPr="00913048" w:rsidRDefault="00913048" w:rsidP="00913048">
      <w:proofErr w:type="spellStart"/>
      <w:r w:rsidRPr="00913048">
        <w:rPr>
          <w:lang w:val="en-GB"/>
        </w:rPr>
        <w:t>Lesthaeghe</w:t>
      </w:r>
      <w:proofErr w:type="spellEnd"/>
      <w:r w:rsidRPr="00913048">
        <w:rPr>
          <w:lang w:val="en-GB"/>
        </w:rPr>
        <w:t xml:space="preserve">, R. (2014). The Second Demographic Transition: A Concise Overview of its Development. </w:t>
      </w:r>
      <w:r w:rsidRPr="00913048">
        <w:rPr>
          <w:i/>
          <w:iCs/>
          <w:lang w:val="en-GB"/>
        </w:rPr>
        <w:t>Proceedings of the National Academy of Sciences</w:t>
      </w:r>
      <w:r w:rsidRPr="00913048">
        <w:rPr>
          <w:lang w:val="en-GB"/>
        </w:rPr>
        <w:t>, 111(51), 18112</w:t>
      </w:r>
      <w:r w:rsidR="009040A2">
        <w:rPr>
          <w:lang w:val="en-GB"/>
        </w:rPr>
        <w:noBreakHyphen/>
      </w:r>
      <w:r w:rsidRPr="00913048">
        <w:rPr>
          <w:lang w:val="en-GB"/>
        </w:rPr>
        <w:t xml:space="preserve">18115. Retrieved from </w:t>
      </w:r>
      <w:hyperlink r:id="rId42" w:history="1">
        <w:r w:rsidRPr="00913048">
          <w:rPr>
            <w:rStyle w:val="Hyperlink"/>
            <w:lang w:val="en-GB"/>
          </w:rPr>
          <w:t>https://www.pnas.org/doi/10.1073/pnas.1420441111</w:t>
        </w:r>
      </w:hyperlink>
      <w:r w:rsidRPr="00913048">
        <w:rPr>
          <w:lang w:val="en-GB"/>
        </w:rPr>
        <w:t xml:space="preserve"> </w:t>
      </w:r>
    </w:p>
    <w:p w14:paraId="4575C072" w14:textId="0773924A" w:rsidR="00913048" w:rsidRPr="00913048" w:rsidRDefault="00913048" w:rsidP="00913048">
      <w:r w:rsidRPr="00913048">
        <w:rPr>
          <w:lang w:val="en-GB"/>
        </w:rPr>
        <w:t xml:space="preserve">McDonald, P. &amp; Moyle, H. (2019). In Australia Fertility is Falling Only </w:t>
      </w:r>
      <w:r w:rsidR="00A20B70" w:rsidRPr="00913048">
        <w:rPr>
          <w:lang w:val="en-GB"/>
        </w:rPr>
        <w:t>for</w:t>
      </w:r>
      <w:r w:rsidRPr="00913048">
        <w:rPr>
          <w:lang w:val="en-GB"/>
        </w:rPr>
        <w:t xml:space="preserve"> Low Educated Women</w:t>
      </w:r>
      <w:r w:rsidR="009040A2">
        <w:rPr>
          <w:lang w:val="en-GB"/>
        </w:rPr>
        <w:t xml:space="preserve">. </w:t>
      </w:r>
      <w:r w:rsidRPr="00913048">
        <w:rPr>
          <w:lang w:val="en-GB"/>
        </w:rPr>
        <w:t>N</w:t>
      </w:r>
      <w:r w:rsidR="009040A2">
        <w:rPr>
          <w:lang w:val="en-GB"/>
        </w:rPr>
        <w:noBreakHyphen/>
      </w:r>
      <w:r w:rsidRPr="00913048">
        <w:rPr>
          <w:lang w:val="en-GB"/>
        </w:rPr>
        <w:t xml:space="preserve">IUSSP. Retrieved from </w:t>
      </w:r>
      <w:hyperlink r:id="rId43" w:history="1">
        <w:r w:rsidR="001D21D9" w:rsidRPr="00156517">
          <w:rPr>
            <w:rStyle w:val="Hyperlink"/>
            <w:lang w:val="en-GB"/>
          </w:rPr>
          <w:t>https://www.niussp.org/fertility-and-reproduction/in-australia-fertility-is-falling-only-for-low-educated-womenen-australie-la-fecondite-baisse-uniquement-chez-les-femmes-peu-scolarisees/</w:t>
        </w:r>
      </w:hyperlink>
      <w:r w:rsidRPr="00913048">
        <w:rPr>
          <w:lang w:val="en-GB"/>
        </w:rPr>
        <w:t xml:space="preserve"> </w:t>
      </w:r>
    </w:p>
    <w:p w14:paraId="5164B745" w14:textId="41C4D7F1" w:rsidR="00913048" w:rsidRPr="00913048" w:rsidRDefault="00913048" w:rsidP="00913048">
      <w:r w:rsidRPr="00913048">
        <w:rPr>
          <w:lang w:val="en-GB"/>
        </w:rPr>
        <w:t>McDonald, P. (2020). A Projection of Australia</w:t>
      </w:r>
      <w:r w:rsidR="009040A2">
        <w:rPr>
          <w:lang w:val="en-GB"/>
        </w:rPr>
        <w:t>’</w:t>
      </w:r>
      <w:r w:rsidRPr="00913048">
        <w:rPr>
          <w:lang w:val="en-GB"/>
        </w:rPr>
        <w:t>s Future Fertility Rates. For the Centre for Population. Retrieved</w:t>
      </w:r>
      <w:r w:rsidR="008C5CF1">
        <w:rPr>
          <w:lang w:val="en-GB"/>
        </w:rPr>
        <w:t> </w:t>
      </w:r>
      <w:r w:rsidRPr="00913048">
        <w:rPr>
          <w:lang w:val="en-GB"/>
        </w:rPr>
        <w:t xml:space="preserve">from </w:t>
      </w:r>
      <w:hyperlink r:id="rId44" w:history="1">
        <w:r w:rsidR="001D21D9" w:rsidRPr="00156517">
          <w:rPr>
            <w:rStyle w:val="Hyperlink"/>
            <w:lang w:val="en-GB"/>
          </w:rPr>
          <w:t>https://population.gov.au/sites/population.gov.au/files/2021-09/2020_mcdonald_fertility_projections.pdf</w:t>
        </w:r>
      </w:hyperlink>
      <w:r w:rsidRPr="00913048">
        <w:rPr>
          <w:lang w:val="en-GB"/>
        </w:rPr>
        <w:t xml:space="preserve"> </w:t>
      </w:r>
    </w:p>
    <w:p w14:paraId="1FD7B473" w14:textId="7792EFAE" w:rsidR="00913048" w:rsidRPr="00913048" w:rsidRDefault="00913048" w:rsidP="00913048">
      <w:r w:rsidRPr="00913048">
        <w:rPr>
          <w:lang w:val="en-GB"/>
        </w:rPr>
        <w:t xml:space="preserve">Ono, H. (2022). Japan Must Reform its Inflexible Work Culture. East Asia Forum. Retrieved from  </w:t>
      </w:r>
      <w:hyperlink r:id="rId45" w:history="1">
        <w:r w:rsidR="001D21D9" w:rsidRPr="00156517">
          <w:rPr>
            <w:rStyle w:val="Hyperlink"/>
            <w:lang w:val="en-GB"/>
          </w:rPr>
          <w:t>https://www.eastasiaforum.org/2022/11/24/japan-must-reform-its-inflexible-work-culture</w:t>
        </w:r>
      </w:hyperlink>
      <w:r w:rsidRPr="00913048">
        <w:rPr>
          <w:lang w:val="en-GB"/>
        </w:rPr>
        <w:t xml:space="preserve"> </w:t>
      </w:r>
    </w:p>
    <w:p w14:paraId="31326636" w14:textId="699236D6" w:rsidR="00913048" w:rsidRPr="00913048" w:rsidRDefault="00913048" w:rsidP="00913048">
      <w:r w:rsidRPr="00913048">
        <w:rPr>
          <w:lang w:val="en-GB"/>
        </w:rPr>
        <w:t xml:space="preserve">Safi, M. (2016). The Death of the Great Australian Dream. The Guardian. Retrieved from </w:t>
      </w:r>
      <w:hyperlink r:id="rId46" w:history="1">
        <w:r w:rsidRPr="00913048">
          <w:rPr>
            <w:rStyle w:val="Hyperlink"/>
            <w:lang w:val="en-GB"/>
          </w:rPr>
          <w:t>https://www.theguardian.com/world/2016/mar/10/the</w:t>
        </w:r>
        <w:r w:rsidR="009040A2">
          <w:rPr>
            <w:rStyle w:val="Hyperlink"/>
            <w:lang w:val="en-GB"/>
          </w:rPr>
          <w:noBreakHyphen/>
        </w:r>
        <w:r w:rsidRPr="00913048">
          <w:rPr>
            <w:rStyle w:val="Hyperlink"/>
            <w:lang w:val="en-GB"/>
          </w:rPr>
          <w:t>death</w:t>
        </w:r>
        <w:r w:rsidR="009040A2">
          <w:rPr>
            <w:rStyle w:val="Hyperlink"/>
            <w:lang w:val="en-GB"/>
          </w:rPr>
          <w:noBreakHyphen/>
        </w:r>
        <w:r w:rsidRPr="00913048">
          <w:rPr>
            <w:rStyle w:val="Hyperlink"/>
            <w:lang w:val="en-GB"/>
          </w:rPr>
          <w:t>of</w:t>
        </w:r>
        <w:r w:rsidR="009040A2">
          <w:rPr>
            <w:rStyle w:val="Hyperlink"/>
            <w:lang w:val="en-GB"/>
          </w:rPr>
          <w:noBreakHyphen/>
        </w:r>
        <w:r w:rsidRPr="00913048">
          <w:rPr>
            <w:rStyle w:val="Hyperlink"/>
            <w:lang w:val="en-GB"/>
          </w:rPr>
          <w:t>the</w:t>
        </w:r>
        <w:r w:rsidR="009040A2">
          <w:rPr>
            <w:rStyle w:val="Hyperlink"/>
            <w:lang w:val="en-GB"/>
          </w:rPr>
          <w:noBreakHyphen/>
        </w:r>
        <w:r w:rsidRPr="00913048">
          <w:rPr>
            <w:rStyle w:val="Hyperlink"/>
            <w:lang w:val="en-GB"/>
          </w:rPr>
          <w:t>great</w:t>
        </w:r>
        <w:r w:rsidR="009040A2">
          <w:rPr>
            <w:rStyle w:val="Hyperlink"/>
            <w:lang w:val="en-GB"/>
          </w:rPr>
          <w:noBreakHyphen/>
        </w:r>
        <w:r w:rsidRPr="00913048">
          <w:rPr>
            <w:rStyle w:val="Hyperlink"/>
            <w:lang w:val="en-GB"/>
          </w:rPr>
          <w:t>australian</w:t>
        </w:r>
        <w:r w:rsidR="009040A2">
          <w:rPr>
            <w:rStyle w:val="Hyperlink"/>
            <w:lang w:val="en-GB"/>
          </w:rPr>
          <w:noBreakHyphen/>
        </w:r>
        <w:r w:rsidRPr="00913048">
          <w:rPr>
            <w:rStyle w:val="Hyperlink"/>
            <w:lang w:val="en-GB"/>
          </w:rPr>
          <w:t>dream</w:t>
        </w:r>
      </w:hyperlink>
      <w:r w:rsidRPr="00913048">
        <w:rPr>
          <w:lang w:val="en-GB"/>
        </w:rPr>
        <w:t xml:space="preserve"> </w:t>
      </w:r>
    </w:p>
    <w:p w14:paraId="7587F590" w14:textId="7F0614B9" w:rsidR="00913048" w:rsidRPr="00913048" w:rsidRDefault="00913048" w:rsidP="00913048">
      <w:r w:rsidRPr="00913048">
        <w:rPr>
          <w:lang w:val="en-GB"/>
        </w:rPr>
        <w:t xml:space="preserve">Seo, S. H. (2019). Low Fertility Trend in the Republic of Korea and the Problems of its Family and Demographic Policy Implementation. </w:t>
      </w:r>
      <w:r w:rsidRPr="00913048">
        <w:rPr>
          <w:i/>
          <w:iCs/>
          <w:lang w:val="en-GB"/>
        </w:rPr>
        <w:t>Population and Economics,</w:t>
      </w:r>
      <w:r w:rsidRPr="00913048">
        <w:rPr>
          <w:lang w:val="en-GB"/>
        </w:rPr>
        <w:t xml:space="preserve"> 3(2), 29</w:t>
      </w:r>
      <w:r w:rsidR="009040A2">
        <w:rPr>
          <w:lang w:val="en-GB"/>
        </w:rPr>
        <w:noBreakHyphen/>
      </w:r>
      <w:r w:rsidRPr="00913048">
        <w:rPr>
          <w:lang w:val="en-GB"/>
        </w:rPr>
        <w:t xml:space="preserve">35. Retrieved from </w:t>
      </w:r>
      <w:hyperlink r:id="rId47" w:history="1">
        <w:r w:rsidR="008C5CF1" w:rsidRPr="00156517">
          <w:rPr>
            <w:rStyle w:val="Hyperlink"/>
            <w:lang w:val="en-GB"/>
          </w:rPr>
          <w:t>https://populationandeconomics.pensoft.net/article/37938/list/1/</w:t>
        </w:r>
      </w:hyperlink>
      <w:r w:rsidRPr="00913048">
        <w:rPr>
          <w:lang w:val="en-GB"/>
        </w:rPr>
        <w:t xml:space="preserve"> </w:t>
      </w:r>
    </w:p>
    <w:p w14:paraId="7BE48E3E" w14:textId="2672EAB9" w:rsidR="00913048" w:rsidRPr="00913048" w:rsidRDefault="00913048" w:rsidP="00913048">
      <w:proofErr w:type="spellStart"/>
      <w:r w:rsidRPr="00913048">
        <w:rPr>
          <w:lang w:val="en-GB"/>
        </w:rPr>
        <w:t>Snopkowski</w:t>
      </w:r>
      <w:proofErr w:type="spellEnd"/>
      <w:r w:rsidRPr="00913048">
        <w:rPr>
          <w:lang w:val="en-GB"/>
        </w:rPr>
        <w:t>, K. (2023). Division of Household Labour and Fertility Outcomes Among Dual</w:t>
      </w:r>
      <w:r w:rsidR="009040A2">
        <w:rPr>
          <w:lang w:val="en-GB"/>
        </w:rPr>
        <w:noBreakHyphen/>
      </w:r>
      <w:r w:rsidRPr="00913048">
        <w:rPr>
          <w:lang w:val="en-GB"/>
        </w:rPr>
        <w:t xml:space="preserve">Income Australian Couples. </w:t>
      </w:r>
      <w:r w:rsidRPr="00913048">
        <w:rPr>
          <w:i/>
          <w:iCs/>
          <w:lang w:val="en-GB"/>
        </w:rPr>
        <w:t>Australian Economic Review</w:t>
      </w:r>
      <w:r w:rsidRPr="00913048">
        <w:rPr>
          <w:lang w:val="en-GB"/>
        </w:rPr>
        <w:t>, 56(4), 524</w:t>
      </w:r>
      <w:r w:rsidR="009040A2">
        <w:rPr>
          <w:lang w:val="en-GB"/>
        </w:rPr>
        <w:noBreakHyphen/>
      </w:r>
      <w:r w:rsidRPr="00913048">
        <w:rPr>
          <w:lang w:val="en-GB"/>
        </w:rPr>
        <w:t xml:space="preserve">537. Retrieved from </w:t>
      </w:r>
      <w:hyperlink r:id="rId48" w:history="1">
        <w:r w:rsidR="001D21D9" w:rsidRPr="00156517">
          <w:rPr>
            <w:rStyle w:val="Hyperlink"/>
            <w:lang w:val="en-GB"/>
          </w:rPr>
          <w:t>https://doi-org.virtual.anu.edu.au/10.1111/1467-8462.12540</w:t>
        </w:r>
      </w:hyperlink>
      <w:r w:rsidRPr="00913048">
        <w:rPr>
          <w:lang w:val="en-GB"/>
        </w:rPr>
        <w:t xml:space="preserve"> </w:t>
      </w:r>
    </w:p>
    <w:p w14:paraId="0A31E753" w14:textId="0940ABCF" w:rsidR="00913048" w:rsidRPr="00913048" w:rsidRDefault="00913048" w:rsidP="00913048">
      <w:proofErr w:type="spellStart"/>
      <w:r w:rsidRPr="00913048">
        <w:rPr>
          <w:lang w:val="en-GB"/>
        </w:rPr>
        <w:t>Tsuya</w:t>
      </w:r>
      <w:proofErr w:type="spellEnd"/>
      <w:r w:rsidRPr="00913048">
        <w:rPr>
          <w:lang w:val="en-GB"/>
        </w:rPr>
        <w:t>, N. (2022). Will Japan</w:t>
      </w:r>
      <w:r w:rsidR="009040A2">
        <w:rPr>
          <w:lang w:val="en-GB"/>
        </w:rPr>
        <w:t>’</w:t>
      </w:r>
      <w:r w:rsidRPr="00913048">
        <w:rPr>
          <w:lang w:val="en-GB"/>
        </w:rPr>
        <w:t xml:space="preserve">s Population Shrink or Swim? East Asia Forum. Retrieved from </w:t>
      </w:r>
      <w:hyperlink r:id="rId49" w:history="1">
        <w:r w:rsidR="001D21D9" w:rsidRPr="00156517">
          <w:rPr>
            <w:rStyle w:val="Hyperlink"/>
            <w:lang w:val="en-GB"/>
          </w:rPr>
          <w:t>https://www.eastasiaforum.org/2022/10/26/will-japans-population-shrink-or-swim</w:t>
        </w:r>
      </w:hyperlink>
      <w:r w:rsidRPr="00913048">
        <w:rPr>
          <w:lang w:val="en-GB"/>
        </w:rPr>
        <w:t xml:space="preserve"> </w:t>
      </w:r>
    </w:p>
    <w:p w14:paraId="378405F0" w14:textId="77777777" w:rsidR="00913048" w:rsidRPr="00913048" w:rsidRDefault="00913048" w:rsidP="00913048">
      <w:r w:rsidRPr="00913048">
        <w:t xml:space="preserve">United Nations Department of Economic and Social Affairs Population Division (UN) (2022a). World Population Prospects 2022. Retrieved from </w:t>
      </w:r>
      <w:hyperlink r:id="rId50" w:history="1">
        <w:r w:rsidRPr="00913048">
          <w:rPr>
            <w:rStyle w:val="Hyperlink"/>
          </w:rPr>
          <w:t>https://data.worldbank.org/indicator/SP.DYN.TFRT.IN?end=2019&amp;most_recent_year_desc=false&amp;start=2019&amp;view=chart</w:t>
        </w:r>
      </w:hyperlink>
      <w:r w:rsidRPr="00913048">
        <w:t xml:space="preserve"> </w:t>
      </w:r>
    </w:p>
    <w:p w14:paraId="5EE49729" w14:textId="151DCF2F" w:rsidR="00913048" w:rsidRPr="00913048" w:rsidRDefault="00913048" w:rsidP="00913048">
      <w:r w:rsidRPr="00913048">
        <w:lastRenderedPageBreak/>
        <w:t xml:space="preserve">United Nations Department of Economic and Social Affairs Population Division (UN) (2022b). World Population Prospects 2022. Retrieved from </w:t>
      </w:r>
      <w:hyperlink r:id="rId51" w:history="1">
        <w:r w:rsidR="001D21D9" w:rsidRPr="00156517">
          <w:rPr>
            <w:rStyle w:val="Hyperlink"/>
          </w:rPr>
          <w:t>https://ourworldindata.org/fertility-rate</w:t>
        </w:r>
      </w:hyperlink>
      <w:r w:rsidRPr="00913048">
        <w:t xml:space="preserve"> </w:t>
      </w:r>
    </w:p>
    <w:p w14:paraId="0287EAF9" w14:textId="77777777" w:rsidR="00913048" w:rsidRPr="00913048" w:rsidRDefault="00913048" w:rsidP="00913048">
      <w:r w:rsidRPr="00913048">
        <w:rPr>
          <w:lang w:val="en-GB"/>
        </w:rPr>
        <w:t xml:space="preserve">United Nations Department of Economic and Social Affairs Population Division (UN) (2015). Low Fertility, Social Rigidity and Government Policies in Italy. Retrieved from </w:t>
      </w:r>
      <w:hyperlink r:id="rId52" w:history="1">
        <w:r w:rsidRPr="00913048">
          <w:rPr>
            <w:rStyle w:val="Hyperlink"/>
            <w:lang w:val="en-GB"/>
          </w:rPr>
          <w:t>https://www.un.org/en/development/desa/population/events/pdf/expert/24/Policy_Briefs/PB_Italy.pdf</w:t>
        </w:r>
      </w:hyperlink>
      <w:r w:rsidRPr="00913048">
        <w:rPr>
          <w:lang w:val="en-GB"/>
        </w:rPr>
        <w:t xml:space="preserve"> </w:t>
      </w:r>
    </w:p>
    <w:p w14:paraId="334DF53A" w14:textId="5BEFF344" w:rsidR="00913048" w:rsidRPr="00913048" w:rsidRDefault="00913048" w:rsidP="00913048">
      <w:r w:rsidRPr="00913048">
        <w:rPr>
          <w:lang w:val="en-GB"/>
        </w:rPr>
        <w:t xml:space="preserve">World Bank (2024). </w:t>
      </w:r>
      <w:r w:rsidRPr="00913048">
        <w:t>Proportion of time spent on unpaid domestic and care work (</w:t>
      </w:r>
      <w:r w:rsidR="008C5CF1">
        <w:t>per cent</w:t>
      </w:r>
      <w:r w:rsidRPr="00913048">
        <w:t xml:space="preserve"> of </w:t>
      </w:r>
      <w:proofErr w:type="gramStart"/>
      <w:r w:rsidRPr="00913048">
        <w:t>24 hour</w:t>
      </w:r>
      <w:proofErr w:type="gramEnd"/>
      <w:r w:rsidRPr="00913048">
        <w:t xml:space="preserve"> day). Retrieved from </w:t>
      </w:r>
      <w:hyperlink r:id="rId53" w:anchor="idEconomyComparison" w:history="1">
        <w:r w:rsidR="001D21D9" w:rsidRPr="00156517">
          <w:rPr>
            <w:rStyle w:val="Hyperlink"/>
          </w:rPr>
          <w:t>https://genderdata.worldbank.org/en/indicator/sg-tim-uwrk?gender=gender-gap&amp;year=2019#idEconomyComparison</w:t>
        </w:r>
      </w:hyperlink>
      <w:r w:rsidRPr="00913048">
        <w:t xml:space="preserve"> </w:t>
      </w:r>
    </w:p>
    <w:p w14:paraId="636DC2F9" w14:textId="2B47D89C" w:rsidR="000F0A2A" w:rsidRPr="00C30B41" w:rsidRDefault="00913048" w:rsidP="0085551E">
      <w:r w:rsidRPr="00913048">
        <w:rPr>
          <w:lang w:val="en-GB"/>
        </w:rPr>
        <w:t xml:space="preserve">Zaidi, B. &amp; Phillip Morgan, S. (2017). The Second Demographic Transition Theory: A Review and Appraisal. </w:t>
      </w:r>
      <w:r w:rsidRPr="00913048">
        <w:rPr>
          <w:i/>
          <w:iCs/>
          <w:lang w:val="en-GB"/>
        </w:rPr>
        <w:t>Annual Review of Sociology,</w:t>
      </w:r>
      <w:r w:rsidRPr="00913048">
        <w:rPr>
          <w:lang w:val="en-GB"/>
        </w:rPr>
        <w:t xml:space="preserve"> 43, 473</w:t>
      </w:r>
      <w:r w:rsidR="009040A2">
        <w:rPr>
          <w:lang w:val="en-GB"/>
        </w:rPr>
        <w:noBreakHyphen/>
      </w:r>
      <w:r w:rsidRPr="00913048">
        <w:rPr>
          <w:lang w:val="en-GB"/>
        </w:rPr>
        <w:t xml:space="preserve">492. Retrieved from </w:t>
      </w:r>
      <w:hyperlink r:id="rId54" w:history="1">
        <w:r w:rsidRPr="00913048">
          <w:rPr>
            <w:rStyle w:val="Hyperlink"/>
            <w:lang w:val="en-GB"/>
          </w:rPr>
          <w:t>https://www.ncbi.nlm.nih.gov/pmc/articles/PMC5548437/</w:t>
        </w:r>
      </w:hyperlink>
    </w:p>
    <w:sectPr w:rsidR="000F0A2A" w:rsidRPr="00C30B41" w:rsidSect="00EC236D">
      <w:headerReference w:type="even" r:id="rId55"/>
      <w:headerReference w:type="default" r:id="rId56"/>
      <w:footerReference w:type="even" r:id="rId57"/>
      <w:footerReference w:type="default" r:id="rId58"/>
      <w:headerReference w:type="first" r:id="rId59"/>
      <w:footerReference w:type="first" r:id="rId6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5572" w14:textId="77777777" w:rsidR="00C82559" w:rsidRDefault="00C82559" w:rsidP="00A11B48">
      <w:r>
        <w:separator/>
      </w:r>
    </w:p>
  </w:endnote>
  <w:endnote w:type="continuationSeparator" w:id="0">
    <w:p w14:paraId="606829D1" w14:textId="77777777" w:rsidR="00C82559" w:rsidRDefault="00C82559" w:rsidP="00A11B48">
      <w:r>
        <w:continuationSeparator/>
      </w:r>
    </w:p>
  </w:endnote>
  <w:endnote w:type="continuationNotice" w:id="1">
    <w:p w14:paraId="3BA732B5" w14:textId="77777777" w:rsidR="00C82559" w:rsidRDefault="00C825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820E" w14:textId="5C121EEE" w:rsidR="00DB2847" w:rsidRDefault="00DB2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5F24" w14:textId="179C6511" w:rsidR="00DB2847" w:rsidRPr="00285081" w:rsidRDefault="00794A31" w:rsidP="00285081">
    <w:pPr>
      <w:pStyle w:val="FooterOdd"/>
    </w:pPr>
    <w:r>
      <w:fldChar w:fldCharType="begin"/>
    </w:r>
    <w:r>
      <w:instrText xml:space="preserve"> STYLEREF  Title  \* MERGEFORMAT </w:instrText>
    </w:r>
    <w:r>
      <w:fldChar w:fldCharType="separate"/>
    </w:r>
    <w:r>
      <w:rPr>
        <w:noProof/>
      </w:rPr>
      <w:t>Fertility decline in Australia: Is it here to stay?</w:t>
    </w:r>
    <w:r>
      <w:rPr>
        <w:noProof/>
      </w:rPr>
      <w:fldChar w:fldCharType="end"/>
    </w:r>
    <w:r w:rsidR="00285081">
      <w:t xml:space="preserve"> | </w:t>
    </w:r>
    <w:r w:rsidR="00285081" w:rsidRPr="00F60198">
      <w:fldChar w:fldCharType="begin"/>
    </w:r>
    <w:r w:rsidR="00285081" w:rsidRPr="00F60198">
      <w:instrText xml:space="preserve"> PAGE   \* MERGEFORMAT </w:instrText>
    </w:r>
    <w:r w:rsidR="00285081" w:rsidRPr="00F60198">
      <w:fldChar w:fldCharType="separate"/>
    </w:r>
    <w:r w:rsidR="00285081">
      <w:t>i</w:t>
    </w:r>
    <w:r w:rsidR="00285081" w:rsidRPr="00F6019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6173" w14:textId="0FA75E98" w:rsidR="00DB2847" w:rsidRDefault="00DB28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F5EB" w14:textId="77F2DD74" w:rsidR="00EF145E" w:rsidRPr="00EF2737" w:rsidRDefault="00EF145E" w:rsidP="00EF27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92B3" w14:textId="7A9D29A9" w:rsidR="00EF145E" w:rsidRPr="00285081" w:rsidRDefault="00337901" w:rsidP="00285081">
    <w:pPr>
      <w:pStyle w:val="FooterOdd"/>
    </w:pPr>
    <w:fldSimple w:instr=" STYLEREF  Title  \* MERGEFORMAT ">
      <w:r w:rsidR="00794A31">
        <w:rPr>
          <w:noProof/>
        </w:rPr>
        <w:t>Fertility decline in Australia: Is it here to stay?</w:t>
      </w:r>
    </w:fldSimple>
    <w:r w:rsidR="00285081">
      <w:t xml:space="preserve"> | </w:t>
    </w:r>
    <w:r w:rsidR="00285081" w:rsidRPr="00F60198">
      <w:fldChar w:fldCharType="begin"/>
    </w:r>
    <w:r w:rsidR="00285081" w:rsidRPr="00F60198">
      <w:instrText xml:space="preserve"> PAGE   \* MERGEFORMAT </w:instrText>
    </w:r>
    <w:r w:rsidR="00285081" w:rsidRPr="00F60198">
      <w:fldChar w:fldCharType="separate"/>
    </w:r>
    <w:r w:rsidR="00285081">
      <w:t>1</w:t>
    </w:r>
    <w:r w:rsidR="00285081" w:rsidRPr="00F60198">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6A86" w14:textId="64BA4355" w:rsidR="00EF145E" w:rsidRDefault="00EF145E" w:rsidP="00A1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5CBA" w14:textId="77777777" w:rsidR="00C82559" w:rsidRDefault="00C82559" w:rsidP="00A11B48">
      <w:r>
        <w:separator/>
      </w:r>
    </w:p>
  </w:footnote>
  <w:footnote w:type="continuationSeparator" w:id="0">
    <w:p w14:paraId="3CF99963" w14:textId="77777777" w:rsidR="00C82559" w:rsidRDefault="00C82559" w:rsidP="00A11B48">
      <w:r>
        <w:continuationSeparator/>
      </w:r>
    </w:p>
  </w:footnote>
  <w:footnote w:type="continuationNotice" w:id="1">
    <w:p w14:paraId="5D3C4358" w14:textId="77777777" w:rsidR="00C82559" w:rsidRDefault="00C825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342E" w14:textId="0773F117" w:rsidR="00DB2847" w:rsidRDefault="00DB2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0213" w14:textId="2ACBC4F4" w:rsidR="00EF145E" w:rsidRPr="00EF2737" w:rsidRDefault="00794A31" w:rsidP="00CB064B">
    <w:pPr>
      <w:pStyle w:val="HeaderOdd"/>
    </w:pPr>
    <w:r>
      <w:fldChar w:fldCharType="begin"/>
    </w:r>
    <w:r>
      <w:instrText xml:space="preserve"> STYLEREF  "Heading 1"  \* MERGEFORMAT </w:instrText>
    </w:r>
    <w:r>
      <w:fldChar w:fldCharType="separate"/>
    </w:r>
    <w:r>
      <w:rPr>
        <w:noProof/>
      </w:rPr>
      <w:t>Foreword</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A105" w14:textId="0F4A02B4" w:rsidR="00DB2847" w:rsidRDefault="00DB2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1C14" w14:textId="2D3C28B8" w:rsidR="00EF145E" w:rsidRPr="00EF2737" w:rsidRDefault="00EF145E" w:rsidP="00EF27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9050" w14:textId="41518714" w:rsidR="00EF145E" w:rsidRPr="00EF2737" w:rsidRDefault="00794A31" w:rsidP="00CB064B">
    <w:pPr>
      <w:pStyle w:val="HeaderOdd"/>
    </w:pPr>
    <w:r>
      <w:fldChar w:fldCharType="begin"/>
    </w:r>
    <w:r>
      <w:instrText xml:space="preserve"> STYLEREF  "Heading 1"  \* MERGEFORMAT </w:instrText>
    </w:r>
    <w:r>
      <w:fldChar w:fldCharType="separate"/>
    </w:r>
    <w:r>
      <w:rPr>
        <w:noProof/>
      </w:rPr>
      <w:t>References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216" w14:textId="3F8311FD" w:rsidR="00EF145E" w:rsidRDefault="00EF145E" w:rsidP="00A11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40C"/>
    <w:multiLevelType w:val="hybridMultilevel"/>
    <w:tmpl w:val="B178F9DA"/>
    <w:lvl w:ilvl="0" w:tplc="E24866DE">
      <w:start w:val="1"/>
      <w:numFmt w:val="decimal"/>
      <w:pStyle w:val="Heading8"/>
      <w:lvlText w:val="Table %1."/>
      <w:lvlJc w:val="left"/>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D3FC7"/>
    <w:multiLevelType w:val="multilevel"/>
    <w:tmpl w:val="88BE7110"/>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4A0461"/>
    <w:multiLevelType w:val="hybridMultilevel"/>
    <w:tmpl w:val="0C208D94"/>
    <w:lvl w:ilvl="0" w:tplc="0A7CB426">
      <w:start w:val="1"/>
      <w:numFmt w:val="decimal"/>
      <w:lvlText w:val="Chart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38AFCF" w:themeColor="text2"/>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5"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A86B00"/>
    <w:multiLevelType w:val="hybridMultilevel"/>
    <w:tmpl w:val="56F2E2A2"/>
    <w:lvl w:ilvl="0" w:tplc="E2AA1EA6">
      <w:start w:val="1"/>
      <w:numFmt w:val="bullet"/>
      <w:lvlText w:val="•"/>
      <w:lvlJc w:val="left"/>
      <w:pPr>
        <w:tabs>
          <w:tab w:val="num" w:pos="720"/>
        </w:tabs>
        <w:ind w:left="720" w:hanging="360"/>
      </w:pPr>
      <w:rPr>
        <w:rFonts w:ascii="Arial" w:hAnsi="Arial" w:hint="default"/>
      </w:rPr>
    </w:lvl>
    <w:lvl w:ilvl="1" w:tplc="0C8CDB6C" w:tentative="1">
      <w:start w:val="1"/>
      <w:numFmt w:val="bullet"/>
      <w:lvlText w:val="•"/>
      <w:lvlJc w:val="left"/>
      <w:pPr>
        <w:tabs>
          <w:tab w:val="num" w:pos="1440"/>
        </w:tabs>
        <w:ind w:left="1440" w:hanging="360"/>
      </w:pPr>
      <w:rPr>
        <w:rFonts w:ascii="Arial" w:hAnsi="Arial" w:hint="default"/>
      </w:rPr>
    </w:lvl>
    <w:lvl w:ilvl="2" w:tplc="62EA33EA" w:tentative="1">
      <w:start w:val="1"/>
      <w:numFmt w:val="bullet"/>
      <w:lvlText w:val="•"/>
      <w:lvlJc w:val="left"/>
      <w:pPr>
        <w:tabs>
          <w:tab w:val="num" w:pos="2160"/>
        </w:tabs>
        <w:ind w:left="2160" w:hanging="360"/>
      </w:pPr>
      <w:rPr>
        <w:rFonts w:ascii="Arial" w:hAnsi="Arial" w:hint="default"/>
      </w:rPr>
    </w:lvl>
    <w:lvl w:ilvl="3" w:tplc="E2428754" w:tentative="1">
      <w:start w:val="1"/>
      <w:numFmt w:val="bullet"/>
      <w:lvlText w:val="•"/>
      <w:lvlJc w:val="left"/>
      <w:pPr>
        <w:tabs>
          <w:tab w:val="num" w:pos="2880"/>
        </w:tabs>
        <w:ind w:left="2880" w:hanging="360"/>
      </w:pPr>
      <w:rPr>
        <w:rFonts w:ascii="Arial" w:hAnsi="Arial" w:hint="default"/>
      </w:rPr>
    </w:lvl>
    <w:lvl w:ilvl="4" w:tplc="12EE9680" w:tentative="1">
      <w:start w:val="1"/>
      <w:numFmt w:val="bullet"/>
      <w:lvlText w:val="•"/>
      <w:lvlJc w:val="left"/>
      <w:pPr>
        <w:tabs>
          <w:tab w:val="num" w:pos="3600"/>
        </w:tabs>
        <w:ind w:left="3600" w:hanging="360"/>
      </w:pPr>
      <w:rPr>
        <w:rFonts w:ascii="Arial" w:hAnsi="Arial" w:hint="default"/>
      </w:rPr>
    </w:lvl>
    <w:lvl w:ilvl="5" w:tplc="2530117C" w:tentative="1">
      <w:start w:val="1"/>
      <w:numFmt w:val="bullet"/>
      <w:lvlText w:val="•"/>
      <w:lvlJc w:val="left"/>
      <w:pPr>
        <w:tabs>
          <w:tab w:val="num" w:pos="4320"/>
        </w:tabs>
        <w:ind w:left="4320" w:hanging="360"/>
      </w:pPr>
      <w:rPr>
        <w:rFonts w:ascii="Arial" w:hAnsi="Arial" w:hint="default"/>
      </w:rPr>
    </w:lvl>
    <w:lvl w:ilvl="6" w:tplc="18A83FB4" w:tentative="1">
      <w:start w:val="1"/>
      <w:numFmt w:val="bullet"/>
      <w:lvlText w:val="•"/>
      <w:lvlJc w:val="left"/>
      <w:pPr>
        <w:tabs>
          <w:tab w:val="num" w:pos="5040"/>
        </w:tabs>
        <w:ind w:left="5040" w:hanging="360"/>
      </w:pPr>
      <w:rPr>
        <w:rFonts w:ascii="Arial" w:hAnsi="Arial" w:hint="default"/>
      </w:rPr>
    </w:lvl>
    <w:lvl w:ilvl="7" w:tplc="32FEA024" w:tentative="1">
      <w:start w:val="1"/>
      <w:numFmt w:val="bullet"/>
      <w:lvlText w:val="•"/>
      <w:lvlJc w:val="left"/>
      <w:pPr>
        <w:tabs>
          <w:tab w:val="num" w:pos="5760"/>
        </w:tabs>
        <w:ind w:left="5760" w:hanging="360"/>
      </w:pPr>
      <w:rPr>
        <w:rFonts w:ascii="Arial" w:hAnsi="Arial" w:hint="default"/>
      </w:rPr>
    </w:lvl>
    <w:lvl w:ilvl="8" w:tplc="ECDEB4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8C2710"/>
    <w:multiLevelType w:val="multilevel"/>
    <w:tmpl w:val="C9D2F74E"/>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1F71F29"/>
    <w:multiLevelType w:val="hybridMultilevel"/>
    <w:tmpl w:val="F446BC92"/>
    <w:lvl w:ilvl="0" w:tplc="9BC2CAC4">
      <w:start w:val="1"/>
      <w:numFmt w:val="decimal"/>
      <w:pStyle w:val="TableMainHeading"/>
      <w:lvlText w:val="Table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38442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7F6AB3"/>
    <w:multiLevelType w:val="hybridMultilevel"/>
    <w:tmpl w:val="E8D02006"/>
    <w:lvl w:ilvl="0" w:tplc="56DE09CA">
      <w:start w:val="1"/>
      <w:numFmt w:val="decimal"/>
      <w:pStyle w:val="TableHeadingContinued"/>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D962B3"/>
    <w:multiLevelType w:val="hybridMultilevel"/>
    <w:tmpl w:val="60B68A3A"/>
    <w:lvl w:ilvl="0" w:tplc="32ECD3DE">
      <w:start w:val="1"/>
      <w:numFmt w:val="decimal"/>
      <w:pStyle w:val="ChartMainHeading"/>
      <w:lvlText w:val="Chart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B20637"/>
    <w:multiLevelType w:val="hybridMultilevel"/>
    <w:tmpl w:val="2538191A"/>
    <w:lvl w:ilvl="0" w:tplc="43F80E5A">
      <w:start w:val="1"/>
      <w:numFmt w:val="decimal"/>
      <w:lvlText w:val="Table %1."/>
      <w:lvlJc w:val="left"/>
      <w:pPr>
        <w:ind w:left="360" w:hanging="360"/>
      </w:pPr>
      <w:rPr>
        <w:rFonts w:ascii="Calibri" w:hAnsi="Calibri" w:hint="default"/>
        <w:b/>
        <w:bCs w:val="0"/>
        <w:i w:val="0"/>
        <w:iCs w:val="0"/>
        <w:caps w:val="0"/>
        <w:smallCaps w:val="0"/>
        <w:strike w:val="0"/>
        <w:dstrike w:val="0"/>
        <w:outline w:val="0"/>
        <w:shadow w:val="0"/>
        <w:emboss w:val="0"/>
        <w:imprint w:val="0"/>
        <w:noProof w:val="0"/>
        <w:vanish w:val="0"/>
        <w:color w:val="38AFCF" w:themeColor="text2"/>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4F4428"/>
    <w:multiLevelType w:val="hybridMultilevel"/>
    <w:tmpl w:val="F5C05A48"/>
    <w:lvl w:ilvl="0" w:tplc="E98411AE">
      <w:start w:val="1"/>
      <w:numFmt w:val="bullet"/>
      <w:lvlText w:val="•"/>
      <w:lvlJc w:val="left"/>
      <w:pPr>
        <w:tabs>
          <w:tab w:val="num" w:pos="720"/>
        </w:tabs>
        <w:ind w:left="720" w:hanging="360"/>
      </w:pPr>
      <w:rPr>
        <w:rFonts w:ascii="Arial" w:hAnsi="Arial" w:hint="default"/>
      </w:rPr>
    </w:lvl>
    <w:lvl w:ilvl="1" w:tplc="BC129A46" w:tentative="1">
      <w:start w:val="1"/>
      <w:numFmt w:val="bullet"/>
      <w:lvlText w:val="•"/>
      <w:lvlJc w:val="left"/>
      <w:pPr>
        <w:tabs>
          <w:tab w:val="num" w:pos="1440"/>
        </w:tabs>
        <w:ind w:left="1440" w:hanging="360"/>
      </w:pPr>
      <w:rPr>
        <w:rFonts w:ascii="Arial" w:hAnsi="Arial" w:hint="default"/>
      </w:rPr>
    </w:lvl>
    <w:lvl w:ilvl="2" w:tplc="12083238" w:tentative="1">
      <w:start w:val="1"/>
      <w:numFmt w:val="bullet"/>
      <w:lvlText w:val="•"/>
      <w:lvlJc w:val="left"/>
      <w:pPr>
        <w:tabs>
          <w:tab w:val="num" w:pos="2160"/>
        </w:tabs>
        <w:ind w:left="2160" w:hanging="360"/>
      </w:pPr>
      <w:rPr>
        <w:rFonts w:ascii="Arial" w:hAnsi="Arial" w:hint="default"/>
      </w:rPr>
    </w:lvl>
    <w:lvl w:ilvl="3" w:tplc="0332CEF4" w:tentative="1">
      <w:start w:val="1"/>
      <w:numFmt w:val="bullet"/>
      <w:lvlText w:val="•"/>
      <w:lvlJc w:val="left"/>
      <w:pPr>
        <w:tabs>
          <w:tab w:val="num" w:pos="2880"/>
        </w:tabs>
        <w:ind w:left="2880" w:hanging="360"/>
      </w:pPr>
      <w:rPr>
        <w:rFonts w:ascii="Arial" w:hAnsi="Arial" w:hint="default"/>
      </w:rPr>
    </w:lvl>
    <w:lvl w:ilvl="4" w:tplc="0332DF76" w:tentative="1">
      <w:start w:val="1"/>
      <w:numFmt w:val="bullet"/>
      <w:lvlText w:val="•"/>
      <w:lvlJc w:val="left"/>
      <w:pPr>
        <w:tabs>
          <w:tab w:val="num" w:pos="3600"/>
        </w:tabs>
        <w:ind w:left="3600" w:hanging="360"/>
      </w:pPr>
      <w:rPr>
        <w:rFonts w:ascii="Arial" w:hAnsi="Arial" w:hint="default"/>
      </w:rPr>
    </w:lvl>
    <w:lvl w:ilvl="5" w:tplc="47EA5F54" w:tentative="1">
      <w:start w:val="1"/>
      <w:numFmt w:val="bullet"/>
      <w:lvlText w:val="•"/>
      <w:lvlJc w:val="left"/>
      <w:pPr>
        <w:tabs>
          <w:tab w:val="num" w:pos="4320"/>
        </w:tabs>
        <w:ind w:left="4320" w:hanging="360"/>
      </w:pPr>
      <w:rPr>
        <w:rFonts w:ascii="Arial" w:hAnsi="Arial" w:hint="default"/>
      </w:rPr>
    </w:lvl>
    <w:lvl w:ilvl="6" w:tplc="909E8CB6" w:tentative="1">
      <w:start w:val="1"/>
      <w:numFmt w:val="bullet"/>
      <w:lvlText w:val="•"/>
      <w:lvlJc w:val="left"/>
      <w:pPr>
        <w:tabs>
          <w:tab w:val="num" w:pos="5040"/>
        </w:tabs>
        <w:ind w:left="5040" w:hanging="360"/>
      </w:pPr>
      <w:rPr>
        <w:rFonts w:ascii="Arial" w:hAnsi="Arial" w:hint="default"/>
      </w:rPr>
    </w:lvl>
    <w:lvl w:ilvl="7" w:tplc="8DEABABE" w:tentative="1">
      <w:start w:val="1"/>
      <w:numFmt w:val="bullet"/>
      <w:lvlText w:val="•"/>
      <w:lvlJc w:val="left"/>
      <w:pPr>
        <w:tabs>
          <w:tab w:val="num" w:pos="5760"/>
        </w:tabs>
        <w:ind w:left="5760" w:hanging="360"/>
      </w:pPr>
      <w:rPr>
        <w:rFonts w:ascii="Arial" w:hAnsi="Arial" w:hint="default"/>
      </w:rPr>
    </w:lvl>
    <w:lvl w:ilvl="8" w:tplc="BFEEB0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186108"/>
    <w:multiLevelType w:val="hybridMultilevel"/>
    <w:tmpl w:val="10AE2DFE"/>
    <w:lvl w:ilvl="0" w:tplc="B4549E76">
      <w:start w:val="1"/>
      <w:numFmt w:val="decimal"/>
      <w:pStyle w:val="BoxHeading"/>
      <w:lvlText w:val="Box %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B82AA5"/>
    <w:multiLevelType w:val="hybridMultilevel"/>
    <w:tmpl w:val="8362A734"/>
    <w:lvl w:ilvl="0" w:tplc="9F3407FA">
      <w:start w:val="1"/>
      <w:numFmt w:val="decimal"/>
      <w:lvlText w:val="Table %1."/>
      <w:lvlJc w:val="left"/>
      <w:pPr>
        <w:ind w:left="720" w:hanging="360"/>
      </w:pPr>
      <w:rPr>
        <w:rFonts w:ascii="Calibri" w:hAnsi="Calibri" w:hint="default"/>
        <w:b/>
        <w:i w:val="0"/>
        <w:caps w:val="0"/>
        <w:strike w:val="0"/>
        <w:dstrike w:val="0"/>
        <w:vanish w:val="0"/>
        <w:color w:val="38AFCF" w:themeColor="text2"/>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0725544">
    <w:abstractNumId w:val="1"/>
  </w:num>
  <w:num w:numId="2" w16cid:durableId="843666655">
    <w:abstractNumId w:val="1"/>
  </w:num>
  <w:num w:numId="3" w16cid:durableId="1175147621">
    <w:abstractNumId w:val="1"/>
  </w:num>
  <w:num w:numId="4" w16cid:durableId="208301795">
    <w:abstractNumId w:val="7"/>
  </w:num>
  <w:num w:numId="5" w16cid:durableId="1477140464">
    <w:abstractNumId w:val="16"/>
  </w:num>
  <w:num w:numId="6" w16cid:durableId="1224095539">
    <w:abstractNumId w:val="9"/>
  </w:num>
  <w:num w:numId="7" w16cid:durableId="557328653">
    <w:abstractNumId w:val="7"/>
  </w:num>
  <w:num w:numId="8" w16cid:durableId="1896819822">
    <w:abstractNumId w:val="3"/>
  </w:num>
  <w:num w:numId="9" w16cid:durableId="690179644">
    <w:abstractNumId w:val="11"/>
  </w:num>
  <w:num w:numId="10" w16cid:durableId="878011084">
    <w:abstractNumId w:val="4"/>
  </w:num>
  <w:num w:numId="11" w16cid:durableId="2045868055">
    <w:abstractNumId w:val="10"/>
  </w:num>
  <w:num w:numId="12" w16cid:durableId="330530807">
    <w:abstractNumId w:val="2"/>
  </w:num>
  <w:num w:numId="13" w16cid:durableId="750808095">
    <w:abstractNumId w:val="5"/>
  </w:num>
  <w:num w:numId="14" w16cid:durableId="187838514">
    <w:abstractNumId w:val="5"/>
  </w:num>
  <w:num w:numId="15" w16cid:durableId="1434934193">
    <w:abstractNumId w:val="1"/>
  </w:num>
  <w:num w:numId="16" w16cid:durableId="1777169963">
    <w:abstractNumId w:val="1"/>
  </w:num>
  <w:num w:numId="17" w16cid:durableId="1749380076">
    <w:abstractNumId w:val="7"/>
  </w:num>
  <w:num w:numId="18" w16cid:durableId="745297727">
    <w:abstractNumId w:val="7"/>
  </w:num>
  <w:num w:numId="19" w16cid:durableId="1722240783">
    <w:abstractNumId w:val="9"/>
  </w:num>
  <w:num w:numId="20" w16cid:durableId="1470516253">
    <w:abstractNumId w:val="16"/>
  </w:num>
  <w:num w:numId="21" w16cid:durableId="1984919226">
    <w:abstractNumId w:val="4"/>
  </w:num>
  <w:num w:numId="22" w16cid:durableId="1468355007">
    <w:abstractNumId w:val="9"/>
  </w:num>
  <w:num w:numId="23" w16cid:durableId="2106537068">
    <w:abstractNumId w:val="7"/>
  </w:num>
  <w:num w:numId="24" w16cid:durableId="1054935531">
    <w:abstractNumId w:val="7"/>
  </w:num>
  <w:num w:numId="25" w16cid:durableId="370227649">
    <w:abstractNumId w:val="3"/>
  </w:num>
  <w:num w:numId="26" w16cid:durableId="1660378384">
    <w:abstractNumId w:val="3"/>
  </w:num>
  <w:num w:numId="27" w16cid:durableId="2144425954">
    <w:abstractNumId w:val="3"/>
  </w:num>
  <w:num w:numId="28" w16cid:durableId="423382964">
    <w:abstractNumId w:val="4"/>
  </w:num>
  <w:num w:numId="29" w16cid:durableId="226065306">
    <w:abstractNumId w:val="13"/>
  </w:num>
  <w:num w:numId="30" w16cid:durableId="1631403723">
    <w:abstractNumId w:val="10"/>
  </w:num>
  <w:num w:numId="31" w16cid:durableId="1776362805">
    <w:abstractNumId w:val="10"/>
  </w:num>
  <w:num w:numId="32" w16cid:durableId="1801613234">
    <w:abstractNumId w:val="2"/>
  </w:num>
  <w:num w:numId="33" w16cid:durableId="1703745007">
    <w:abstractNumId w:val="2"/>
  </w:num>
  <w:num w:numId="34" w16cid:durableId="1560242829">
    <w:abstractNumId w:val="2"/>
  </w:num>
  <w:num w:numId="35" w16cid:durableId="1787962969">
    <w:abstractNumId w:val="2"/>
  </w:num>
  <w:num w:numId="36" w16cid:durableId="1595935852">
    <w:abstractNumId w:val="5"/>
  </w:num>
  <w:num w:numId="37" w16cid:durableId="21901406">
    <w:abstractNumId w:val="1"/>
  </w:num>
  <w:num w:numId="38" w16cid:durableId="1604067408">
    <w:abstractNumId w:val="11"/>
  </w:num>
  <w:num w:numId="39" w16cid:durableId="1743093191">
    <w:abstractNumId w:val="1"/>
  </w:num>
  <w:num w:numId="40" w16cid:durableId="552472073">
    <w:abstractNumId w:val="1"/>
  </w:num>
  <w:num w:numId="41" w16cid:durableId="361442176">
    <w:abstractNumId w:val="12"/>
  </w:num>
  <w:num w:numId="42" w16cid:durableId="1122721959">
    <w:abstractNumId w:val="17"/>
  </w:num>
  <w:num w:numId="43" w16cid:durableId="1535390443">
    <w:abstractNumId w:val="8"/>
  </w:num>
  <w:num w:numId="44" w16cid:durableId="1847090131">
    <w:abstractNumId w:val="15"/>
  </w:num>
  <w:num w:numId="45" w16cid:durableId="1425418984">
    <w:abstractNumId w:val="0"/>
  </w:num>
  <w:num w:numId="46" w16cid:durableId="1800146909">
    <w:abstractNumId w:val="6"/>
  </w:num>
  <w:num w:numId="47" w16cid:durableId="121034232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FB"/>
    <w:rsid w:val="000002FD"/>
    <w:rsid w:val="00007BBB"/>
    <w:rsid w:val="00011725"/>
    <w:rsid w:val="00012C62"/>
    <w:rsid w:val="0001396A"/>
    <w:rsid w:val="00017366"/>
    <w:rsid w:val="000207C8"/>
    <w:rsid w:val="0002369C"/>
    <w:rsid w:val="00023CA3"/>
    <w:rsid w:val="00024C76"/>
    <w:rsid w:val="0002544D"/>
    <w:rsid w:val="000269F4"/>
    <w:rsid w:val="00027B4D"/>
    <w:rsid w:val="000309EE"/>
    <w:rsid w:val="00030B5F"/>
    <w:rsid w:val="00031E34"/>
    <w:rsid w:val="00032C21"/>
    <w:rsid w:val="000333EA"/>
    <w:rsid w:val="000346E7"/>
    <w:rsid w:val="00035E5B"/>
    <w:rsid w:val="00035E7F"/>
    <w:rsid w:val="00040906"/>
    <w:rsid w:val="00042165"/>
    <w:rsid w:val="0004274D"/>
    <w:rsid w:val="00043348"/>
    <w:rsid w:val="0004483F"/>
    <w:rsid w:val="00046B29"/>
    <w:rsid w:val="00050925"/>
    <w:rsid w:val="0005138B"/>
    <w:rsid w:val="000522B7"/>
    <w:rsid w:val="000524C2"/>
    <w:rsid w:val="00053407"/>
    <w:rsid w:val="0005343C"/>
    <w:rsid w:val="00053F13"/>
    <w:rsid w:val="0005580A"/>
    <w:rsid w:val="00055A53"/>
    <w:rsid w:val="00056794"/>
    <w:rsid w:val="00056880"/>
    <w:rsid w:val="00057258"/>
    <w:rsid w:val="000579C7"/>
    <w:rsid w:val="00057D77"/>
    <w:rsid w:val="00060828"/>
    <w:rsid w:val="0006255A"/>
    <w:rsid w:val="00062ED0"/>
    <w:rsid w:val="00065EF8"/>
    <w:rsid w:val="00066BB3"/>
    <w:rsid w:val="000675D1"/>
    <w:rsid w:val="00067DC8"/>
    <w:rsid w:val="00071E6C"/>
    <w:rsid w:val="00073521"/>
    <w:rsid w:val="00075065"/>
    <w:rsid w:val="000775DE"/>
    <w:rsid w:val="00077FE3"/>
    <w:rsid w:val="0008081D"/>
    <w:rsid w:val="00080E32"/>
    <w:rsid w:val="000824BB"/>
    <w:rsid w:val="00082516"/>
    <w:rsid w:val="00085D00"/>
    <w:rsid w:val="000862CD"/>
    <w:rsid w:val="00086C79"/>
    <w:rsid w:val="00087FAF"/>
    <w:rsid w:val="00091760"/>
    <w:rsid w:val="00093AB4"/>
    <w:rsid w:val="00094310"/>
    <w:rsid w:val="0009450D"/>
    <w:rsid w:val="000A1E40"/>
    <w:rsid w:val="000A2C00"/>
    <w:rsid w:val="000A32F2"/>
    <w:rsid w:val="000A3369"/>
    <w:rsid w:val="000A382A"/>
    <w:rsid w:val="000A419B"/>
    <w:rsid w:val="000A51E6"/>
    <w:rsid w:val="000A70CE"/>
    <w:rsid w:val="000A7603"/>
    <w:rsid w:val="000B1E53"/>
    <w:rsid w:val="000B5C6E"/>
    <w:rsid w:val="000B67BD"/>
    <w:rsid w:val="000B6825"/>
    <w:rsid w:val="000C175B"/>
    <w:rsid w:val="000C27B2"/>
    <w:rsid w:val="000C2FBE"/>
    <w:rsid w:val="000C571D"/>
    <w:rsid w:val="000C5F40"/>
    <w:rsid w:val="000C620D"/>
    <w:rsid w:val="000C68CE"/>
    <w:rsid w:val="000C7D57"/>
    <w:rsid w:val="000D0CFC"/>
    <w:rsid w:val="000D392B"/>
    <w:rsid w:val="000D42DD"/>
    <w:rsid w:val="000D49E9"/>
    <w:rsid w:val="000D4BE3"/>
    <w:rsid w:val="000D7D27"/>
    <w:rsid w:val="000D7F2B"/>
    <w:rsid w:val="000E0B74"/>
    <w:rsid w:val="000E22EF"/>
    <w:rsid w:val="000E7901"/>
    <w:rsid w:val="000E7C2F"/>
    <w:rsid w:val="000F0A2A"/>
    <w:rsid w:val="000F145E"/>
    <w:rsid w:val="000F2B9D"/>
    <w:rsid w:val="000F31B0"/>
    <w:rsid w:val="000F4F3F"/>
    <w:rsid w:val="000F5485"/>
    <w:rsid w:val="000F609F"/>
    <w:rsid w:val="000F6AE0"/>
    <w:rsid w:val="000F6E8B"/>
    <w:rsid w:val="000F7343"/>
    <w:rsid w:val="000F7CCA"/>
    <w:rsid w:val="001009D3"/>
    <w:rsid w:val="00100C00"/>
    <w:rsid w:val="00102435"/>
    <w:rsid w:val="001071DE"/>
    <w:rsid w:val="00107899"/>
    <w:rsid w:val="00112663"/>
    <w:rsid w:val="00115481"/>
    <w:rsid w:val="00120CD1"/>
    <w:rsid w:val="00121F45"/>
    <w:rsid w:val="0012243A"/>
    <w:rsid w:val="001252F9"/>
    <w:rsid w:val="00125350"/>
    <w:rsid w:val="001275B4"/>
    <w:rsid w:val="00130BA0"/>
    <w:rsid w:val="00131292"/>
    <w:rsid w:val="001316E8"/>
    <w:rsid w:val="00131DC3"/>
    <w:rsid w:val="001321B6"/>
    <w:rsid w:val="00132C30"/>
    <w:rsid w:val="00132D2E"/>
    <w:rsid w:val="00134ECA"/>
    <w:rsid w:val="00135E4C"/>
    <w:rsid w:val="001370A3"/>
    <w:rsid w:val="001373F5"/>
    <w:rsid w:val="00142669"/>
    <w:rsid w:val="0014466E"/>
    <w:rsid w:val="00144B4A"/>
    <w:rsid w:val="001456A1"/>
    <w:rsid w:val="0014606B"/>
    <w:rsid w:val="001467B4"/>
    <w:rsid w:val="00150B84"/>
    <w:rsid w:val="001515E5"/>
    <w:rsid w:val="00151CC5"/>
    <w:rsid w:val="00151FED"/>
    <w:rsid w:val="00155503"/>
    <w:rsid w:val="00156A12"/>
    <w:rsid w:val="0015742B"/>
    <w:rsid w:val="001574C0"/>
    <w:rsid w:val="00160506"/>
    <w:rsid w:val="001606CF"/>
    <w:rsid w:val="00160B5A"/>
    <w:rsid w:val="0016128D"/>
    <w:rsid w:val="0016240F"/>
    <w:rsid w:val="001633BF"/>
    <w:rsid w:val="0016426D"/>
    <w:rsid w:val="00165EE8"/>
    <w:rsid w:val="0017089D"/>
    <w:rsid w:val="00170B4F"/>
    <w:rsid w:val="00171032"/>
    <w:rsid w:val="001721E1"/>
    <w:rsid w:val="00172ACE"/>
    <w:rsid w:val="001745FA"/>
    <w:rsid w:val="001749B9"/>
    <w:rsid w:val="00175110"/>
    <w:rsid w:val="00177FA4"/>
    <w:rsid w:val="00182A15"/>
    <w:rsid w:val="001846EA"/>
    <w:rsid w:val="0018561E"/>
    <w:rsid w:val="001863FB"/>
    <w:rsid w:val="001874EF"/>
    <w:rsid w:val="00190E07"/>
    <w:rsid w:val="0019101A"/>
    <w:rsid w:val="001916F4"/>
    <w:rsid w:val="00196534"/>
    <w:rsid w:val="001972D2"/>
    <w:rsid w:val="001A019C"/>
    <w:rsid w:val="001A0373"/>
    <w:rsid w:val="001A1CA8"/>
    <w:rsid w:val="001A3DE2"/>
    <w:rsid w:val="001A52F2"/>
    <w:rsid w:val="001A5B46"/>
    <w:rsid w:val="001A7270"/>
    <w:rsid w:val="001A79FA"/>
    <w:rsid w:val="001A7A30"/>
    <w:rsid w:val="001B123C"/>
    <w:rsid w:val="001B2848"/>
    <w:rsid w:val="001B30EA"/>
    <w:rsid w:val="001B3DB1"/>
    <w:rsid w:val="001B45B0"/>
    <w:rsid w:val="001C04D5"/>
    <w:rsid w:val="001C1C34"/>
    <w:rsid w:val="001C2073"/>
    <w:rsid w:val="001C358D"/>
    <w:rsid w:val="001C4578"/>
    <w:rsid w:val="001C49AA"/>
    <w:rsid w:val="001C5396"/>
    <w:rsid w:val="001C66FB"/>
    <w:rsid w:val="001C7DBD"/>
    <w:rsid w:val="001D11E6"/>
    <w:rsid w:val="001D1677"/>
    <w:rsid w:val="001D21D9"/>
    <w:rsid w:val="001D2694"/>
    <w:rsid w:val="001D4FE2"/>
    <w:rsid w:val="001E072F"/>
    <w:rsid w:val="001E1AB3"/>
    <w:rsid w:val="001E1D33"/>
    <w:rsid w:val="001E467D"/>
    <w:rsid w:val="001E55FB"/>
    <w:rsid w:val="001E5FB0"/>
    <w:rsid w:val="001F0164"/>
    <w:rsid w:val="001F03B3"/>
    <w:rsid w:val="001F03C8"/>
    <w:rsid w:val="001F0CB3"/>
    <w:rsid w:val="001F1B27"/>
    <w:rsid w:val="001F3515"/>
    <w:rsid w:val="00204872"/>
    <w:rsid w:val="00210493"/>
    <w:rsid w:val="0021246C"/>
    <w:rsid w:val="00213195"/>
    <w:rsid w:val="00213732"/>
    <w:rsid w:val="00213FFE"/>
    <w:rsid w:val="00214836"/>
    <w:rsid w:val="00215D4C"/>
    <w:rsid w:val="0021E92E"/>
    <w:rsid w:val="00221EC0"/>
    <w:rsid w:val="0022483F"/>
    <w:rsid w:val="002258D6"/>
    <w:rsid w:val="00225A0E"/>
    <w:rsid w:val="00226E8D"/>
    <w:rsid w:val="002306B5"/>
    <w:rsid w:val="00231049"/>
    <w:rsid w:val="002314D2"/>
    <w:rsid w:val="00232F6A"/>
    <w:rsid w:val="0023305C"/>
    <w:rsid w:val="002335D8"/>
    <w:rsid w:val="00234638"/>
    <w:rsid w:val="002356AA"/>
    <w:rsid w:val="002359E7"/>
    <w:rsid w:val="002374BF"/>
    <w:rsid w:val="00241881"/>
    <w:rsid w:val="0024294C"/>
    <w:rsid w:val="0024297E"/>
    <w:rsid w:val="00242C7A"/>
    <w:rsid w:val="002441F7"/>
    <w:rsid w:val="00244D4A"/>
    <w:rsid w:val="00247470"/>
    <w:rsid w:val="00253EE5"/>
    <w:rsid w:val="00255B0C"/>
    <w:rsid w:val="0025652F"/>
    <w:rsid w:val="0026022F"/>
    <w:rsid w:val="00260747"/>
    <w:rsid w:val="002610B0"/>
    <w:rsid w:val="00261D0A"/>
    <w:rsid w:val="002629D4"/>
    <w:rsid w:val="00263411"/>
    <w:rsid w:val="0026359E"/>
    <w:rsid w:val="002636D9"/>
    <w:rsid w:val="00263B6C"/>
    <w:rsid w:val="00265E4B"/>
    <w:rsid w:val="002665A9"/>
    <w:rsid w:val="00266F73"/>
    <w:rsid w:val="002703C3"/>
    <w:rsid w:val="00270595"/>
    <w:rsid w:val="00271718"/>
    <w:rsid w:val="00272939"/>
    <w:rsid w:val="0027590B"/>
    <w:rsid w:val="00277EBD"/>
    <w:rsid w:val="00281A24"/>
    <w:rsid w:val="00281BB4"/>
    <w:rsid w:val="002821A7"/>
    <w:rsid w:val="00282DF3"/>
    <w:rsid w:val="00285081"/>
    <w:rsid w:val="00285944"/>
    <w:rsid w:val="00285969"/>
    <w:rsid w:val="00286F9D"/>
    <w:rsid w:val="00290659"/>
    <w:rsid w:val="0029069B"/>
    <w:rsid w:val="00291097"/>
    <w:rsid w:val="00297617"/>
    <w:rsid w:val="00297990"/>
    <w:rsid w:val="002A0BA4"/>
    <w:rsid w:val="002A1C51"/>
    <w:rsid w:val="002A25E1"/>
    <w:rsid w:val="002A3DCF"/>
    <w:rsid w:val="002A55EE"/>
    <w:rsid w:val="002A5DF5"/>
    <w:rsid w:val="002A74EF"/>
    <w:rsid w:val="002A7513"/>
    <w:rsid w:val="002A773A"/>
    <w:rsid w:val="002B3829"/>
    <w:rsid w:val="002B4D88"/>
    <w:rsid w:val="002B6A8B"/>
    <w:rsid w:val="002C01BF"/>
    <w:rsid w:val="002C02FD"/>
    <w:rsid w:val="002C0463"/>
    <w:rsid w:val="002C0B68"/>
    <w:rsid w:val="002C0B76"/>
    <w:rsid w:val="002C0CFD"/>
    <w:rsid w:val="002C22EF"/>
    <w:rsid w:val="002C2697"/>
    <w:rsid w:val="002C3F52"/>
    <w:rsid w:val="002C4760"/>
    <w:rsid w:val="002C55A9"/>
    <w:rsid w:val="002D18EC"/>
    <w:rsid w:val="002D3AEF"/>
    <w:rsid w:val="002D52F1"/>
    <w:rsid w:val="002D5442"/>
    <w:rsid w:val="002D56B9"/>
    <w:rsid w:val="002D597E"/>
    <w:rsid w:val="002D621D"/>
    <w:rsid w:val="002D78FD"/>
    <w:rsid w:val="002E3DFE"/>
    <w:rsid w:val="002E454C"/>
    <w:rsid w:val="002E4772"/>
    <w:rsid w:val="002E5E08"/>
    <w:rsid w:val="002E6D3D"/>
    <w:rsid w:val="002F0E1B"/>
    <w:rsid w:val="002F162B"/>
    <w:rsid w:val="002F21EB"/>
    <w:rsid w:val="002F2B57"/>
    <w:rsid w:val="002F46C4"/>
    <w:rsid w:val="002F617F"/>
    <w:rsid w:val="002F7688"/>
    <w:rsid w:val="00300109"/>
    <w:rsid w:val="00301755"/>
    <w:rsid w:val="003027C6"/>
    <w:rsid w:val="0030463F"/>
    <w:rsid w:val="0030665E"/>
    <w:rsid w:val="00306894"/>
    <w:rsid w:val="003117F2"/>
    <w:rsid w:val="00311E00"/>
    <w:rsid w:val="00312094"/>
    <w:rsid w:val="003122F4"/>
    <w:rsid w:val="00314CB6"/>
    <w:rsid w:val="00314EE2"/>
    <w:rsid w:val="00317153"/>
    <w:rsid w:val="00320FAA"/>
    <w:rsid w:val="00321809"/>
    <w:rsid w:val="00324839"/>
    <w:rsid w:val="003268D5"/>
    <w:rsid w:val="003268DA"/>
    <w:rsid w:val="00330720"/>
    <w:rsid w:val="003307FC"/>
    <w:rsid w:val="003323EB"/>
    <w:rsid w:val="0033326C"/>
    <w:rsid w:val="003334C1"/>
    <w:rsid w:val="00336C98"/>
    <w:rsid w:val="00336E2C"/>
    <w:rsid w:val="00337375"/>
    <w:rsid w:val="00337901"/>
    <w:rsid w:val="003421F3"/>
    <w:rsid w:val="0034366E"/>
    <w:rsid w:val="003444DF"/>
    <w:rsid w:val="003448F6"/>
    <w:rsid w:val="00346F78"/>
    <w:rsid w:val="003500E2"/>
    <w:rsid w:val="00350759"/>
    <w:rsid w:val="0035155E"/>
    <w:rsid w:val="00352772"/>
    <w:rsid w:val="00353978"/>
    <w:rsid w:val="0035474B"/>
    <w:rsid w:val="00354D27"/>
    <w:rsid w:val="0035738A"/>
    <w:rsid w:val="00357574"/>
    <w:rsid w:val="00357FF6"/>
    <w:rsid w:val="00362ED6"/>
    <w:rsid w:val="00363E6C"/>
    <w:rsid w:val="00364ED7"/>
    <w:rsid w:val="003654D9"/>
    <w:rsid w:val="00366497"/>
    <w:rsid w:val="00366EF0"/>
    <w:rsid w:val="003702EE"/>
    <w:rsid w:val="003704BF"/>
    <w:rsid w:val="00370564"/>
    <w:rsid w:val="00372B67"/>
    <w:rsid w:val="00377187"/>
    <w:rsid w:val="00380852"/>
    <w:rsid w:val="00380FE2"/>
    <w:rsid w:val="00381BBC"/>
    <w:rsid w:val="00382C46"/>
    <w:rsid w:val="00383FD3"/>
    <w:rsid w:val="003845CE"/>
    <w:rsid w:val="0038555A"/>
    <w:rsid w:val="003858A6"/>
    <w:rsid w:val="0038599F"/>
    <w:rsid w:val="0038655D"/>
    <w:rsid w:val="00387A2E"/>
    <w:rsid w:val="00392DCC"/>
    <w:rsid w:val="00393895"/>
    <w:rsid w:val="00393F77"/>
    <w:rsid w:val="00396340"/>
    <w:rsid w:val="003964B3"/>
    <w:rsid w:val="00397904"/>
    <w:rsid w:val="003A36DF"/>
    <w:rsid w:val="003A39FD"/>
    <w:rsid w:val="003A3FBC"/>
    <w:rsid w:val="003A5B36"/>
    <w:rsid w:val="003A7530"/>
    <w:rsid w:val="003B17C3"/>
    <w:rsid w:val="003B1D55"/>
    <w:rsid w:val="003B3140"/>
    <w:rsid w:val="003B4DC6"/>
    <w:rsid w:val="003B755B"/>
    <w:rsid w:val="003C15C8"/>
    <w:rsid w:val="003C168B"/>
    <w:rsid w:val="003C24B4"/>
    <w:rsid w:val="003C34B6"/>
    <w:rsid w:val="003C43A9"/>
    <w:rsid w:val="003C61DA"/>
    <w:rsid w:val="003D0EF4"/>
    <w:rsid w:val="003D2E20"/>
    <w:rsid w:val="003D5124"/>
    <w:rsid w:val="003D519E"/>
    <w:rsid w:val="003E0A81"/>
    <w:rsid w:val="003E1D38"/>
    <w:rsid w:val="003E20D6"/>
    <w:rsid w:val="003E4D87"/>
    <w:rsid w:val="003E5505"/>
    <w:rsid w:val="003E5ECB"/>
    <w:rsid w:val="003E6FEC"/>
    <w:rsid w:val="003E7975"/>
    <w:rsid w:val="003F123C"/>
    <w:rsid w:val="003F22F6"/>
    <w:rsid w:val="003F54AC"/>
    <w:rsid w:val="003F7821"/>
    <w:rsid w:val="00400CF2"/>
    <w:rsid w:val="00401082"/>
    <w:rsid w:val="00402DF6"/>
    <w:rsid w:val="00404679"/>
    <w:rsid w:val="00404A6D"/>
    <w:rsid w:val="004051F8"/>
    <w:rsid w:val="00405E3B"/>
    <w:rsid w:val="0040622C"/>
    <w:rsid w:val="00407C61"/>
    <w:rsid w:val="00410865"/>
    <w:rsid w:val="00413CA3"/>
    <w:rsid w:val="00414CE6"/>
    <w:rsid w:val="00415169"/>
    <w:rsid w:val="00416762"/>
    <w:rsid w:val="00416E55"/>
    <w:rsid w:val="00417728"/>
    <w:rsid w:val="00420DDF"/>
    <w:rsid w:val="00420E72"/>
    <w:rsid w:val="004220EE"/>
    <w:rsid w:val="00422A6B"/>
    <w:rsid w:val="004235FB"/>
    <w:rsid w:val="00423CC0"/>
    <w:rsid w:val="0042518A"/>
    <w:rsid w:val="0042665F"/>
    <w:rsid w:val="00427441"/>
    <w:rsid w:val="00427495"/>
    <w:rsid w:val="004276A0"/>
    <w:rsid w:val="00430D1D"/>
    <w:rsid w:val="00432C6F"/>
    <w:rsid w:val="0043305B"/>
    <w:rsid w:val="00433B31"/>
    <w:rsid w:val="00434B42"/>
    <w:rsid w:val="00440701"/>
    <w:rsid w:val="00440D65"/>
    <w:rsid w:val="004415FB"/>
    <w:rsid w:val="0044177E"/>
    <w:rsid w:val="0044385B"/>
    <w:rsid w:val="00443D92"/>
    <w:rsid w:val="00445265"/>
    <w:rsid w:val="004454AC"/>
    <w:rsid w:val="0044645C"/>
    <w:rsid w:val="00451C6B"/>
    <w:rsid w:val="004544A9"/>
    <w:rsid w:val="00455701"/>
    <w:rsid w:val="004559CE"/>
    <w:rsid w:val="0046097A"/>
    <w:rsid w:val="00460E1A"/>
    <w:rsid w:val="0046336B"/>
    <w:rsid w:val="00463DF8"/>
    <w:rsid w:val="00464AEE"/>
    <w:rsid w:val="00464FF5"/>
    <w:rsid w:val="00465128"/>
    <w:rsid w:val="0046794C"/>
    <w:rsid w:val="004719BB"/>
    <w:rsid w:val="00475085"/>
    <w:rsid w:val="00476CF6"/>
    <w:rsid w:val="00477AA8"/>
    <w:rsid w:val="004805D5"/>
    <w:rsid w:val="00481986"/>
    <w:rsid w:val="0048264D"/>
    <w:rsid w:val="004852FA"/>
    <w:rsid w:val="00492FCB"/>
    <w:rsid w:val="00493CC6"/>
    <w:rsid w:val="00493D79"/>
    <w:rsid w:val="00497B23"/>
    <w:rsid w:val="004A0563"/>
    <w:rsid w:val="004A06CD"/>
    <w:rsid w:val="004A0F11"/>
    <w:rsid w:val="004A15A6"/>
    <w:rsid w:val="004A3EAA"/>
    <w:rsid w:val="004A4E05"/>
    <w:rsid w:val="004A4F40"/>
    <w:rsid w:val="004A4FE4"/>
    <w:rsid w:val="004A5AE6"/>
    <w:rsid w:val="004A63F8"/>
    <w:rsid w:val="004A6D53"/>
    <w:rsid w:val="004A7502"/>
    <w:rsid w:val="004A7D97"/>
    <w:rsid w:val="004B0493"/>
    <w:rsid w:val="004B4B77"/>
    <w:rsid w:val="004B5133"/>
    <w:rsid w:val="004B574D"/>
    <w:rsid w:val="004B6D68"/>
    <w:rsid w:val="004B740E"/>
    <w:rsid w:val="004C1173"/>
    <w:rsid w:val="004C41B6"/>
    <w:rsid w:val="004C57F3"/>
    <w:rsid w:val="004C5DAD"/>
    <w:rsid w:val="004C6A17"/>
    <w:rsid w:val="004D0D65"/>
    <w:rsid w:val="004D287B"/>
    <w:rsid w:val="004D3A08"/>
    <w:rsid w:val="004D57F9"/>
    <w:rsid w:val="004D6E37"/>
    <w:rsid w:val="004D7259"/>
    <w:rsid w:val="004E00EA"/>
    <w:rsid w:val="004E37C4"/>
    <w:rsid w:val="004F0673"/>
    <w:rsid w:val="004F1EB4"/>
    <w:rsid w:val="004F3C5E"/>
    <w:rsid w:val="004F4017"/>
    <w:rsid w:val="004F4B92"/>
    <w:rsid w:val="004F4C0B"/>
    <w:rsid w:val="005018A6"/>
    <w:rsid w:val="00503716"/>
    <w:rsid w:val="00504E31"/>
    <w:rsid w:val="00506554"/>
    <w:rsid w:val="005071FB"/>
    <w:rsid w:val="005105A7"/>
    <w:rsid w:val="005124D8"/>
    <w:rsid w:val="00512F2A"/>
    <w:rsid w:val="00514004"/>
    <w:rsid w:val="00516785"/>
    <w:rsid w:val="00520E86"/>
    <w:rsid w:val="005212A3"/>
    <w:rsid w:val="0052344E"/>
    <w:rsid w:val="00523881"/>
    <w:rsid w:val="0052419D"/>
    <w:rsid w:val="00525D5E"/>
    <w:rsid w:val="00526B5B"/>
    <w:rsid w:val="005301F8"/>
    <w:rsid w:val="00530521"/>
    <w:rsid w:val="005312FC"/>
    <w:rsid w:val="00531A83"/>
    <w:rsid w:val="00531B59"/>
    <w:rsid w:val="00532043"/>
    <w:rsid w:val="005333E6"/>
    <w:rsid w:val="00534027"/>
    <w:rsid w:val="0053569E"/>
    <w:rsid w:val="0053603D"/>
    <w:rsid w:val="005369AF"/>
    <w:rsid w:val="0053742A"/>
    <w:rsid w:val="00537C85"/>
    <w:rsid w:val="0054013A"/>
    <w:rsid w:val="0054022F"/>
    <w:rsid w:val="005409F6"/>
    <w:rsid w:val="00540BBB"/>
    <w:rsid w:val="00541D29"/>
    <w:rsid w:val="0054380E"/>
    <w:rsid w:val="00545F5F"/>
    <w:rsid w:val="00546F21"/>
    <w:rsid w:val="00546FF6"/>
    <w:rsid w:val="0055009B"/>
    <w:rsid w:val="005521D7"/>
    <w:rsid w:val="00552323"/>
    <w:rsid w:val="00552464"/>
    <w:rsid w:val="005542CC"/>
    <w:rsid w:val="005548F9"/>
    <w:rsid w:val="00554B3F"/>
    <w:rsid w:val="00554D7D"/>
    <w:rsid w:val="0056184A"/>
    <w:rsid w:val="00561945"/>
    <w:rsid w:val="0056229B"/>
    <w:rsid w:val="00562F17"/>
    <w:rsid w:val="0056396E"/>
    <w:rsid w:val="005657A7"/>
    <w:rsid w:val="005657B4"/>
    <w:rsid w:val="0056582C"/>
    <w:rsid w:val="00570495"/>
    <w:rsid w:val="00570FA2"/>
    <w:rsid w:val="00571080"/>
    <w:rsid w:val="00571334"/>
    <w:rsid w:val="005713B0"/>
    <w:rsid w:val="00573308"/>
    <w:rsid w:val="0057537E"/>
    <w:rsid w:val="0057550E"/>
    <w:rsid w:val="00575996"/>
    <w:rsid w:val="005810E1"/>
    <w:rsid w:val="005813FB"/>
    <w:rsid w:val="00582ABB"/>
    <w:rsid w:val="00582FCC"/>
    <w:rsid w:val="0058347B"/>
    <w:rsid w:val="005859E6"/>
    <w:rsid w:val="00585A8C"/>
    <w:rsid w:val="005868DE"/>
    <w:rsid w:val="005870E9"/>
    <w:rsid w:val="005877AC"/>
    <w:rsid w:val="005877B6"/>
    <w:rsid w:val="00590AA7"/>
    <w:rsid w:val="005910EB"/>
    <w:rsid w:val="005914A1"/>
    <w:rsid w:val="00591E4F"/>
    <w:rsid w:val="005936E5"/>
    <w:rsid w:val="005942B4"/>
    <w:rsid w:val="005966B7"/>
    <w:rsid w:val="00597099"/>
    <w:rsid w:val="005A0F4C"/>
    <w:rsid w:val="005A14D1"/>
    <w:rsid w:val="005A22AF"/>
    <w:rsid w:val="005A3388"/>
    <w:rsid w:val="005A3ECE"/>
    <w:rsid w:val="005A48DD"/>
    <w:rsid w:val="005A52C7"/>
    <w:rsid w:val="005A57F6"/>
    <w:rsid w:val="005A6C63"/>
    <w:rsid w:val="005A765B"/>
    <w:rsid w:val="005B3217"/>
    <w:rsid w:val="005B4A9E"/>
    <w:rsid w:val="005B5E2A"/>
    <w:rsid w:val="005B620F"/>
    <w:rsid w:val="005B6960"/>
    <w:rsid w:val="005B7FC3"/>
    <w:rsid w:val="005C02A4"/>
    <w:rsid w:val="005C0A01"/>
    <w:rsid w:val="005C189A"/>
    <w:rsid w:val="005C20D2"/>
    <w:rsid w:val="005C32FE"/>
    <w:rsid w:val="005C4993"/>
    <w:rsid w:val="005C503A"/>
    <w:rsid w:val="005C5780"/>
    <w:rsid w:val="005C69E7"/>
    <w:rsid w:val="005D024A"/>
    <w:rsid w:val="005D2520"/>
    <w:rsid w:val="005D2DF1"/>
    <w:rsid w:val="005D3092"/>
    <w:rsid w:val="005D3128"/>
    <w:rsid w:val="005D4ED3"/>
    <w:rsid w:val="005D4FD4"/>
    <w:rsid w:val="005D55A5"/>
    <w:rsid w:val="005D6D64"/>
    <w:rsid w:val="005D6D67"/>
    <w:rsid w:val="005E100C"/>
    <w:rsid w:val="005E1010"/>
    <w:rsid w:val="005E126F"/>
    <w:rsid w:val="005E17A8"/>
    <w:rsid w:val="005E2D34"/>
    <w:rsid w:val="005E3660"/>
    <w:rsid w:val="005E3D7B"/>
    <w:rsid w:val="005E7A04"/>
    <w:rsid w:val="005F0BF0"/>
    <w:rsid w:val="005F10CE"/>
    <w:rsid w:val="005F392B"/>
    <w:rsid w:val="005F5137"/>
    <w:rsid w:val="005F765B"/>
    <w:rsid w:val="0060001B"/>
    <w:rsid w:val="0060095B"/>
    <w:rsid w:val="00600B2B"/>
    <w:rsid w:val="00601650"/>
    <w:rsid w:val="00603B22"/>
    <w:rsid w:val="00604757"/>
    <w:rsid w:val="00604EEF"/>
    <w:rsid w:val="00605AFD"/>
    <w:rsid w:val="00607F6E"/>
    <w:rsid w:val="00610F17"/>
    <w:rsid w:val="006123D4"/>
    <w:rsid w:val="00613B56"/>
    <w:rsid w:val="0061445B"/>
    <w:rsid w:val="006146BC"/>
    <w:rsid w:val="0061495C"/>
    <w:rsid w:val="00615355"/>
    <w:rsid w:val="00615F5E"/>
    <w:rsid w:val="0061687C"/>
    <w:rsid w:val="006168D8"/>
    <w:rsid w:val="00617B42"/>
    <w:rsid w:val="00620527"/>
    <w:rsid w:val="0062121C"/>
    <w:rsid w:val="0062173A"/>
    <w:rsid w:val="00621F2A"/>
    <w:rsid w:val="00622880"/>
    <w:rsid w:val="00624C4B"/>
    <w:rsid w:val="00625561"/>
    <w:rsid w:val="00626787"/>
    <w:rsid w:val="00631ADA"/>
    <w:rsid w:val="006339EE"/>
    <w:rsid w:val="0063478C"/>
    <w:rsid w:val="00637BC4"/>
    <w:rsid w:val="00640C2C"/>
    <w:rsid w:val="00641063"/>
    <w:rsid w:val="0064437A"/>
    <w:rsid w:val="006452F7"/>
    <w:rsid w:val="0064534C"/>
    <w:rsid w:val="0064549D"/>
    <w:rsid w:val="0064752C"/>
    <w:rsid w:val="00647BAF"/>
    <w:rsid w:val="00650B9C"/>
    <w:rsid w:val="00652BD7"/>
    <w:rsid w:val="0065320E"/>
    <w:rsid w:val="006538E9"/>
    <w:rsid w:val="00654618"/>
    <w:rsid w:val="00656B7A"/>
    <w:rsid w:val="0065721B"/>
    <w:rsid w:val="006572A8"/>
    <w:rsid w:val="00663023"/>
    <w:rsid w:val="006633B6"/>
    <w:rsid w:val="0066407B"/>
    <w:rsid w:val="0066772A"/>
    <w:rsid w:val="0067071E"/>
    <w:rsid w:val="00671C1C"/>
    <w:rsid w:val="00675B78"/>
    <w:rsid w:val="0067622C"/>
    <w:rsid w:val="00680B31"/>
    <w:rsid w:val="00682486"/>
    <w:rsid w:val="00684091"/>
    <w:rsid w:val="00684D92"/>
    <w:rsid w:val="00685CF7"/>
    <w:rsid w:val="00686165"/>
    <w:rsid w:val="00686A3C"/>
    <w:rsid w:val="006870AD"/>
    <w:rsid w:val="0069068C"/>
    <w:rsid w:val="00690753"/>
    <w:rsid w:val="00691140"/>
    <w:rsid w:val="0069185E"/>
    <w:rsid w:val="00691CB5"/>
    <w:rsid w:val="0069228F"/>
    <w:rsid w:val="006923DF"/>
    <w:rsid w:val="0069612E"/>
    <w:rsid w:val="006A2900"/>
    <w:rsid w:val="006A37F5"/>
    <w:rsid w:val="006A7419"/>
    <w:rsid w:val="006B2469"/>
    <w:rsid w:val="006B3110"/>
    <w:rsid w:val="006B38FF"/>
    <w:rsid w:val="006B4057"/>
    <w:rsid w:val="006C1892"/>
    <w:rsid w:val="006C22B6"/>
    <w:rsid w:val="006C3B1B"/>
    <w:rsid w:val="006C5810"/>
    <w:rsid w:val="006C5B73"/>
    <w:rsid w:val="006C645D"/>
    <w:rsid w:val="006C759E"/>
    <w:rsid w:val="006D1025"/>
    <w:rsid w:val="006D104B"/>
    <w:rsid w:val="006D263E"/>
    <w:rsid w:val="006D4D06"/>
    <w:rsid w:val="006D5D8C"/>
    <w:rsid w:val="006D7312"/>
    <w:rsid w:val="006E1837"/>
    <w:rsid w:val="006E19C3"/>
    <w:rsid w:val="006E2438"/>
    <w:rsid w:val="006E2507"/>
    <w:rsid w:val="006E2D2A"/>
    <w:rsid w:val="006E369D"/>
    <w:rsid w:val="006E3CC3"/>
    <w:rsid w:val="006E4072"/>
    <w:rsid w:val="006E45E7"/>
    <w:rsid w:val="006E5294"/>
    <w:rsid w:val="006F1837"/>
    <w:rsid w:val="006F3DE5"/>
    <w:rsid w:val="006F6783"/>
    <w:rsid w:val="006F7E98"/>
    <w:rsid w:val="007000FF"/>
    <w:rsid w:val="007049C9"/>
    <w:rsid w:val="00706E8E"/>
    <w:rsid w:val="0071389C"/>
    <w:rsid w:val="007151D8"/>
    <w:rsid w:val="00715962"/>
    <w:rsid w:val="00716D06"/>
    <w:rsid w:val="00716D4E"/>
    <w:rsid w:val="00717A6E"/>
    <w:rsid w:val="0072208C"/>
    <w:rsid w:val="007225E7"/>
    <w:rsid w:val="00722B53"/>
    <w:rsid w:val="00722E4E"/>
    <w:rsid w:val="00727B28"/>
    <w:rsid w:val="00731057"/>
    <w:rsid w:val="00732E84"/>
    <w:rsid w:val="007334F5"/>
    <w:rsid w:val="00734064"/>
    <w:rsid w:val="00735202"/>
    <w:rsid w:val="00736491"/>
    <w:rsid w:val="00736907"/>
    <w:rsid w:val="007410CF"/>
    <w:rsid w:val="00743462"/>
    <w:rsid w:val="00743DB1"/>
    <w:rsid w:val="00744042"/>
    <w:rsid w:val="00745302"/>
    <w:rsid w:val="007461B8"/>
    <w:rsid w:val="00747E54"/>
    <w:rsid w:val="0075022E"/>
    <w:rsid w:val="007503DB"/>
    <w:rsid w:val="007509DD"/>
    <w:rsid w:val="0075310F"/>
    <w:rsid w:val="00753F6D"/>
    <w:rsid w:val="00753FEA"/>
    <w:rsid w:val="007568DD"/>
    <w:rsid w:val="00757E7B"/>
    <w:rsid w:val="00757F2E"/>
    <w:rsid w:val="00763474"/>
    <w:rsid w:val="007649CE"/>
    <w:rsid w:val="007650C9"/>
    <w:rsid w:val="0076737B"/>
    <w:rsid w:val="007678D3"/>
    <w:rsid w:val="00767922"/>
    <w:rsid w:val="007712AE"/>
    <w:rsid w:val="0077553F"/>
    <w:rsid w:val="00776299"/>
    <w:rsid w:val="00783171"/>
    <w:rsid w:val="00783BF2"/>
    <w:rsid w:val="00783C20"/>
    <w:rsid w:val="00784C0A"/>
    <w:rsid w:val="0078744E"/>
    <w:rsid w:val="007875C2"/>
    <w:rsid w:val="00790413"/>
    <w:rsid w:val="007904FA"/>
    <w:rsid w:val="00791C85"/>
    <w:rsid w:val="00794774"/>
    <w:rsid w:val="00794A31"/>
    <w:rsid w:val="00794B40"/>
    <w:rsid w:val="007950EE"/>
    <w:rsid w:val="00795AD4"/>
    <w:rsid w:val="00796A4A"/>
    <w:rsid w:val="007970A1"/>
    <w:rsid w:val="007A0D3D"/>
    <w:rsid w:val="007A1079"/>
    <w:rsid w:val="007A3A74"/>
    <w:rsid w:val="007A5DAA"/>
    <w:rsid w:val="007B0389"/>
    <w:rsid w:val="007B0F5C"/>
    <w:rsid w:val="007B2677"/>
    <w:rsid w:val="007B401C"/>
    <w:rsid w:val="007B4060"/>
    <w:rsid w:val="007B5C77"/>
    <w:rsid w:val="007B76AB"/>
    <w:rsid w:val="007C119C"/>
    <w:rsid w:val="007C1C22"/>
    <w:rsid w:val="007C1F02"/>
    <w:rsid w:val="007C4050"/>
    <w:rsid w:val="007D1CF1"/>
    <w:rsid w:val="007D1DBB"/>
    <w:rsid w:val="007D3DFB"/>
    <w:rsid w:val="007D592B"/>
    <w:rsid w:val="007D5AA6"/>
    <w:rsid w:val="007D7A91"/>
    <w:rsid w:val="007E2CC2"/>
    <w:rsid w:val="007E37C5"/>
    <w:rsid w:val="007E3830"/>
    <w:rsid w:val="007E441A"/>
    <w:rsid w:val="007E4D83"/>
    <w:rsid w:val="007E535F"/>
    <w:rsid w:val="007E6456"/>
    <w:rsid w:val="007E7036"/>
    <w:rsid w:val="007F03FA"/>
    <w:rsid w:val="007F1672"/>
    <w:rsid w:val="007F6A06"/>
    <w:rsid w:val="0080070A"/>
    <w:rsid w:val="00800B95"/>
    <w:rsid w:val="00800E2B"/>
    <w:rsid w:val="00801740"/>
    <w:rsid w:val="00803EF4"/>
    <w:rsid w:val="00804AEA"/>
    <w:rsid w:val="00807535"/>
    <w:rsid w:val="00811943"/>
    <w:rsid w:val="008134A5"/>
    <w:rsid w:val="00813D44"/>
    <w:rsid w:val="00813FDF"/>
    <w:rsid w:val="00816047"/>
    <w:rsid w:val="00824869"/>
    <w:rsid w:val="00824948"/>
    <w:rsid w:val="00824FF1"/>
    <w:rsid w:val="00825622"/>
    <w:rsid w:val="008311B8"/>
    <w:rsid w:val="008314D5"/>
    <w:rsid w:val="00832B72"/>
    <w:rsid w:val="00834243"/>
    <w:rsid w:val="00834C69"/>
    <w:rsid w:val="008350B4"/>
    <w:rsid w:val="00836D20"/>
    <w:rsid w:val="00842E71"/>
    <w:rsid w:val="0084319C"/>
    <w:rsid w:val="00844114"/>
    <w:rsid w:val="00844608"/>
    <w:rsid w:val="00846738"/>
    <w:rsid w:val="0084730E"/>
    <w:rsid w:val="008508DA"/>
    <w:rsid w:val="0085551E"/>
    <w:rsid w:val="0085686E"/>
    <w:rsid w:val="00857969"/>
    <w:rsid w:val="00860EA7"/>
    <w:rsid w:val="0086158D"/>
    <w:rsid w:val="0086332B"/>
    <w:rsid w:val="0086468E"/>
    <w:rsid w:val="0086744F"/>
    <w:rsid w:val="008675CA"/>
    <w:rsid w:val="0087142F"/>
    <w:rsid w:val="00872CD1"/>
    <w:rsid w:val="00874198"/>
    <w:rsid w:val="008775D4"/>
    <w:rsid w:val="008814B5"/>
    <w:rsid w:val="0088186C"/>
    <w:rsid w:val="00881BDE"/>
    <w:rsid w:val="00881DDA"/>
    <w:rsid w:val="00882869"/>
    <w:rsid w:val="00882CC4"/>
    <w:rsid w:val="0088431E"/>
    <w:rsid w:val="008844AC"/>
    <w:rsid w:val="00884A6C"/>
    <w:rsid w:val="00890529"/>
    <w:rsid w:val="0089373A"/>
    <w:rsid w:val="00894CB8"/>
    <w:rsid w:val="00896A2F"/>
    <w:rsid w:val="00896C15"/>
    <w:rsid w:val="00896C38"/>
    <w:rsid w:val="008977B0"/>
    <w:rsid w:val="008A1E6E"/>
    <w:rsid w:val="008A48F6"/>
    <w:rsid w:val="008A677B"/>
    <w:rsid w:val="008A6AD5"/>
    <w:rsid w:val="008B214A"/>
    <w:rsid w:val="008B278F"/>
    <w:rsid w:val="008B3709"/>
    <w:rsid w:val="008B3759"/>
    <w:rsid w:val="008B39B9"/>
    <w:rsid w:val="008B39CF"/>
    <w:rsid w:val="008B436B"/>
    <w:rsid w:val="008B4505"/>
    <w:rsid w:val="008B6DC1"/>
    <w:rsid w:val="008C0D02"/>
    <w:rsid w:val="008C3FBC"/>
    <w:rsid w:val="008C5CF1"/>
    <w:rsid w:val="008C5FD1"/>
    <w:rsid w:val="008C6C87"/>
    <w:rsid w:val="008C7928"/>
    <w:rsid w:val="008C7F71"/>
    <w:rsid w:val="008D339F"/>
    <w:rsid w:val="008D42C7"/>
    <w:rsid w:val="008D4D65"/>
    <w:rsid w:val="008E0548"/>
    <w:rsid w:val="008E1058"/>
    <w:rsid w:val="008E1511"/>
    <w:rsid w:val="008E1C39"/>
    <w:rsid w:val="008E213D"/>
    <w:rsid w:val="008E38F5"/>
    <w:rsid w:val="008E6292"/>
    <w:rsid w:val="008E675B"/>
    <w:rsid w:val="008F09CA"/>
    <w:rsid w:val="008F0EAB"/>
    <w:rsid w:val="008F1B25"/>
    <w:rsid w:val="008F23EB"/>
    <w:rsid w:val="008F3D34"/>
    <w:rsid w:val="008F4FFC"/>
    <w:rsid w:val="008F628C"/>
    <w:rsid w:val="008F7184"/>
    <w:rsid w:val="009003CB"/>
    <w:rsid w:val="009040A2"/>
    <w:rsid w:val="00905B90"/>
    <w:rsid w:val="00905FBB"/>
    <w:rsid w:val="00912117"/>
    <w:rsid w:val="00913048"/>
    <w:rsid w:val="00917280"/>
    <w:rsid w:val="00917E05"/>
    <w:rsid w:val="00917E28"/>
    <w:rsid w:val="00917E42"/>
    <w:rsid w:val="00923184"/>
    <w:rsid w:val="00923948"/>
    <w:rsid w:val="009247D4"/>
    <w:rsid w:val="00925239"/>
    <w:rsid w:val="00925AA5"/>
    <w:rsid w:val="00926109"/>
    <w:rsid w:val="00926365"/>
    <w:rsid w:val="00926FC4"/>
    <w:rsid w:val="00930972"/>
    <w:rsid w:val="0093178B"/>
    <w:rsid w:val="0093191D"/>
    <w:rsid w:val="00931B2A"/>
    <w:rsid w:val="00932429"/>
    <w:rsid w:val="0093302E"/>
    <w:rsid w:val="00933D73"/>
    <w:rsid w:val="00934734"/>
    <w:rsid w:val="00934DD0"/>
    <w:rsid w:val="0093540D"/>
    <w:rsid w:val="00935F3C"/>
    <w:rsid w:val="0094019D"/>
    <w:rsid w:val="009421E8"/>
    <w:rsid w:val="00942C11"/>
    <w:rsid w:val="0094351F"/>
    <w:rsid w:val="009454B0"/>
    <w:rsid w:val="00945E3D"/>
    <w:rsid w:val="00947C15"/>
    <w:rsid w:val="00951F8A"/>
    <w:rsid w:val="00952C31"/>
    <w:rsid w:val="00954202"/>
    <w:rsid w:val="009547F8"/>
    <w:rsid w:val="00954DB5"/>
    <w:rsid w:val="009553BD"/>
    <w:rsid w:val="00955579"/>
    <w:rsid w:val="00957D99"/>
    <w:rsid w:val="0096422C"/>
    <w:rsid w:val="009642CD"/>
    <w:rsid w:val="00965D4D"/>
    <w:rsid w:val="00966287"/>
    <w:rsid w:val="00970C49"/>
    <w:rsid w:val="00971AFF"/>
    <w:rsid w:val="009729D4"/>
    <w:rsid w:val="009739B0"/>
    <w:rsid w:val="0097456F"/>
    <w:rsid w:val="00975120"/>
    <w:rsid w:val="00980759"/>
    <w:rsid w:val="009817B0"/>
    <w:rsid w:val="009821CE"/>
    <w:rsid w:val="00984AD1"/>
    <w:rsid w:val="00985C02"/>
    <w:rsid w:val="0098618C"/>
    <w:rsid w:val="0099132C"/>
    <w:rsid w:val="009925A4"/>
    <w:rsid w:val="009926D3"/>
    <w:rsid w:val="00994505"/>
    <w:rsid w:val="0099490A"/>
    <w:rsid w:val="00997398"/>
    <w:rsid w:val="009976CB"/>
    <w:rsid w:val="009A0986"/>
    <w:rsid w:val="009A10DE"/>
    <w:rsid w:val="009A21C7"/>
    <w:rsid w:val="009A277C"/>
    <w:rsid w:val="009A30DA"/>
    <w:rsid w:val="009A4FBF"/>
    <w:rsid w:val="009A5CD8"/>
    <w:rsid w:val="009A658F"/>
    <w:rsid w:val="009A6C66"/>
    <w:rsid w:val="009A6FCF"/>
    <w:rsid w:val="009B062E"/>
    <w:rsid w:val="009B16CC"/>
    <w:rsid w:val="009B1AFA"/>
    <w:rsid w:val="009B25D6"/>
    <w:rsid w:val="009B4536"/>
    <w:rsid w:val="009B5948"/>
    <w:rsid w:val="009B5A55"/>
    <w:rsid w:val="009C183C"/>
    <w:rsid w:val="009C4151"/>
    <w:rsid w:val="009C4561"/>
    <w:rsid w:val="009C5D12"/>
    <w:rsid w:val="009C7B9A"/>
    <w:rsid w:val="009D00CE"/>
    <w:rsid w:val="009D2A74"/>
    <w:rsid w:val="009D580A"/>
    <w:rsid w:val="009D6206"/>
    <w:rsid w:val="009D7443"/>
    <w:rsid w:val="009D7F7B"/>
    <w:rsid w:val="009E025F"/>
    <w:rsid w:val="009E171B"/>
    <w:rsid w:val="009E3231"/>
    <w:rsid w:val="009E3D76"/>
    <w:rsid w:val="009E6CAD"/>
    <w:rsid w:val="009F1306"/>
    <w:rsid w:val="009F1A23"/>
    <w:rsid w:val="009F1C10"/>
    <w:rsid w:val="00A00C76"/>
    <w:rsid w:val="00A015E8"/>
    <w:rsid w:val="00A01D11"/>
    <w:rsid w:val="00A047E0"/>
    <w:rsid w:val="00A048F6"/>
    <w:rsid w:val="00A04F48"/>
    <w:rsid w:val="00A0757C"/>
    <w:rsid w:val="00A07D47"/>
    <w:rsid w:val="00A11B48"/>
    <w:rsid w:val="00A1278C"/>
    <w:rsid w:val="00A12F62"/>
    <w:rsid w:val="00A1389E"/>
    <w:rsid w:val="00A14121"/>
    <w:rsid w:val="00A14B3F"/>
    <w:rsid w:val="00A14E67"/>
    <w:rsid w:val="00A14FE9"/>
    <w:rsid w:val="00A164FE"/>
    <w:rsid w:val="00A1724A"/>
    <w:rsid w:val="00A1778C"/>
    <w:rsid w:val="00A17E04"/>
    <w:rsid w:val="00A17EA3"/>
    <w:rsid w:val="00A208E6"/>
    <w:rsid w:val="00A20B70"/>
    <w:rsid w:val="00A20C3D"/>
    <w:rsid w:val="00A2110B"/>
    <w:rsid w:val="00A241ED"/>
    <w:rsid w:val="00A30F78"/>
    <w:rsid w:val="00A33261"/>
    <w:rsid w:val="00A33611"/>
    <w:rsid w:val="00A33781"/>
    <w:rsid w:val="00A362B0"/>
    <w:rsid w:val="00A372C9"/>
    <w:rsid w:val="00A3749B"/>
    <w:rsid w:val="00A377FD"/>
    <w:rsid w:val="00A37A12"/>
    <w:rsid w:val="00A37D87"/>
    <w:rsid w:val="00A37F20"/>
    <w:rsid w:val="00A40E71"/>
    <w:rsid w:val="00A41121"/>
    <w:rsid w:val="00A41614"/>
    <w:rsid w:val="00A41864"/>
    <w:rsid w:val="00A44E33"/>
    <w:rsid w:val="00A45195"/>
    <w:rsid w:val="00A50CF1"/>
    <w:rsid w:val="00A50D88"/>
    <w:rsid w:val="00A5283F"/>
    <w:rsid w:val="00A52E4B"/>
    <w:rsid w:val="00A53E21"/>
    <w:rsid w:val="00A548E3"/>
    <w:rsid w:val="00A54BF4"/>
    <w:rsid w:val="00A56923"/>
    <w:rsid w:val="00A61511"/>
    <w:rsid w:val="00A61767"/>
    <w:rsid w:val="00A62E42"/>
    <w:rsid w:val="00A64A71"/>
    <w:rsid w:val="00A6522F"/>
    <w:rsid w:val="00A6736C"/>
    <w:rsid w:val="00A70CBB"/>
    <w:rsid w:val="00A72960"/>
    <w:rsid w:val="00A72D8F"/>
    <w:rsid w:val="00A72FE2"/>
    <w:rsid w:val="00A736E9"/>
    <w:rsid w:val="00A73C90"/>
    <w:rsid w:val="00A8309C"/>
    <w:rsid w:val="00A86592"/>
    <w:rsid w:val="00A877A3"/>
    <w:rsid w:val="00A877D9"/>
    <w:rsid w:val="00A87C63"/>
    <w:rsid w:val="00A87D2A"/>
    <w:rsid w:val="00A90381"/>
    <w:rsid w:val="00A92B15"/>
    <w:rsid w:val="00A93401"/>
    <w:rsid w:val="00A97253"/>
    <w:rsid w:val="00AA181D"/>
    <w:rsid w:val="00AA2DFD"/>
    <w:rsid w:val="00AA6E73"/>
    <w:rsid w:val="00AB1536"/>
    <w:rsid w:val="00AB27C3"/>
    <w:rsid w:val="00AB4301"/>
    <w:rsid w:val="00AB46D8"/>
    <w:rsid w:val="00AB575C"/>
    <w:rsid w:val="00AB7E3F"/>
    <w:rsid w:val="00AC02A3"/>
    <w:rsid w:val="00AC0B8A"/>
    <w:rsid w:val="00AC243E"/>
    <w:rsid w:val="00AC2BEB"/>
    <w:rsid w:val="00AC2CA0"/>
    <w:rsid w:val="00AC3196"/>
    <w:rsid w:val="00AC52C7"/>
    <w:rsid w:val="00AC6CEC"/>
    <w:rsid w:val="00AD09CB"/>
    <w:rsid w:val="00AD1243"/>
    <w:rsid w:val="00AD30C9"/>
    <w:rsid w:val="00AD5F3D"/>
    <w:rsid w:val="00AE02B6"/>
    <w:rsid w:val="00AE121C"/>
    <w:rsid w:val="00AE1BA0"/>
    <w:rsid w:val="00AE2CD5"/>
    <w:rsid w:val="00AE2EB2"/>
    <w:rsid w:val="00AE2F90"/>
    <w:rsid w:val="00AE4B6B"/>
    <w:rsid w:val="00AE507E"/>
    <w:rsid w:val="00AE5711"/>
    <w:rsid w:val="00AE5B81"/>
    <w:rsid w:val="00AE663A"/>
    <w:rsid w:val="00AE7932"/>
    <w:rsid w:val="00AF0D61"/>
    <w:rsid w:val="00AF1112"/>
    <w:rsid w:val="00AF1CA1"/>
    <w:rsid w:val="00AF25C7"/>
    <w:rsid w:val="00AF3950"/>
    <w:rsid w:val="00AF65AF"/>
    <w:rsid w:val="00AF76A0"/>
    <w:rsid w:val="00AF79A6"/>
    <w:rsid w:val="00B007FA"/>
    <w:rsid w:val="00B0162C"/>
    <w:rsid w:val="00B02BF8"/>
    <w:rsid w:val="00B03DD6"/>
    <w:rsid w:val="00B10949"/>
    <w:rsid w:val="00B170F3"/>
    <w:rsid w:val="00B23164"/>
    <w:rsid w:val="00B24300"/>
    <w:rsid w:val="00B249A2"/>
    <w:rsid w:val="00B2617F"/>
    <w:rsid w:val="00B32C0B"/>
    <w:rsid w:val="00B33889"/>
    <w:rsid w:val="00B33E14"/>
    <w:rsid w:val="00B35560"/>
    <w:rsid w:val="00B3583B"/>
    <w:rsid w:val="00B376F6"/>
    <w:rsid w:val="00B37A8F"/>
    <w:rsid w:val="00B37D34"/>
    <w:rsid w:val="00B40B55"/>
    <w:rsid w:val="00B40B6F"/>
    <w:rsid w:val="00B40BF0"/>
    <w:rsid w:val="00B4103C"/>
    <w:rsid w:val="00B44826"/>
    <w:rsid w:val="00B45B2C"/>
    <w:rsid w:val="00B46CC4"/>
    <w:rsid w:val="00B46D49"/>
    <w:rsid w:val="00B46E88"/>
    <w:rsid w:val="00B50A33"/>
    <w:rsid w:val="00B52A42"/>
    <w:rsid w:val="00B530FE"/>
    <w:rsid w:val="00B5328A"/>
    <w:rsid w:val="00B55C31"/>
    <w:rsid w:val="00B60CD6"/>
    <w:rsid w:val="00B65347"/>
    <w:rsid w:val="00B65DE1"/>
    <w:rsid w:val="00B66B32"/>
    <w:rsid w:val="00B70EB3"/>
    <w:rsid w:val="00B7150C"/>
    <w:rsid w:val="00B723FA"/>
    <w:rsid w:val="00B741D7"/>
    <w:rsid w:val="00B74A83"/>
    <w:rsid w:val="00B773A5"/>
    <w:rsid w:val="00B817C1"/>
    <w:rsid w:val="00B829B0"/>
    <w:rsid w:val="00B8307C"/>
    <w:rsid w:val="00B87927"/>
    <w:rsid w:val="00B92CF2"/>
    <w:rsid w:val="00B93C97"/>
    <w:rsid w:val="00B966B3"/>
    <w:rsid w:val="00BA4E83"/>
    <w:rsid w:val="00BA62B0"/>
    <w:rsid w:val="00BA7773"/>
    <w:rsid w:val="00BB7B89"/>
    <w:rsid w:val="00BC29BB"/>
    <w:rsid w:val="00BC3A74"/>
    <w:rsid w:val="00BC6AB1"/>
    <w:rsid w:val="00BC6CE8"/>
    <w:rsid w:val="00BC6D9B"/>
    <w:rsid w:val="00BC7CAA"/>
    <w:rsid w:val="00BD19F5"/>
    <w:rsid w:val="00BD26AA"/>
    <w:rsid w:val="00BD454F"/>
    <w:rsid w:val="00BD55F2"/>
    <w:rsid w:val="00BD6FA9"/>
    <w:rsid w:val="00BE03FB"/>
    <w:rsid w:val="00BE05C3"/>
    <w:rsid w:val="00BE29E3"/>
    <w:rsid w:val="00BE415D"/>
    <w:rsid w:val="00BE4426"/>
    <w:rsid w:val="00BE492D"/>
    <w:rsid w:val="00BE5B9C"/>
    <w:rsid w:val="00BE61DC"/>
    <w:rsid w:val="00BE7B57"/>
    <w:rsid w:val="00BF387F"/>
    <w:rsid w:val="00BF4FC9"/>
    <w:rsid w:val="00BF5785"/>
    <w:rsid w:val="00BF5E5A"/>
    <w:rsid w:val="00BF6888"/>
    <w:rsid w:val="00BF73B0"/>
    <w:rsid w:val="00BF7702"/>
    <w:rsid w:val="00C0063A"/>
    <w:rsid w:val="00C007FA"/>
    <w:rsid w:val="00C01DCC"/>
    <w:rsid w:val="00C03A78"/>
    <w:rsid w:val="00C03B1D"/>
    <w:rsid w:val="00C041BF"/>
    <w:rsid w:val="00C05195"/>
    <w:rsid w:val="00C06FBD"/>
    <w:rsid w:val="00C07AA9"/>
    <w:rsid w:val="00C11FF4"/>
    <w:rsid w:val="00C12AC6"/>
    <w:rsid w:val="00C13451"/>
    <w:rsid w:val="00C137ED"/>
    <w:rsid w:val="00C16D54"/>
    <w:rsid w:val="00C202B3"/>
    <w:rsid w:val="00C203C8"/>
    <w:rsid w:val="00C210D6"/>
    <w:rsid w:val="00C2121C"/>
    <w:rsid w:val="00C218B9"/>
    <w:rsid w:val="00C21EE0"/>
    <w:rsid w:val="00C22294"/>
    <w:rsid w:val="00C25A1E"/>
    <w:rsid w:val="00C25C6A"/>
    <w:rsid w:val="00C26744"/>
    <w:rsid w:val="00C30297"/>
    <w:rsid w:val="00C30B41"/>
    <w:rsid w:val="00C357DE"/>
    <w:rsid w:val="00C35EED"/>
    <w:rsid w:val="00C37682"/>
    <w:rsid w:val="00C40B63"/>
    <w:rsid w:val="00C40EF6"/>
    <w:rsid w:val="00C4156A"/>
    <w:rsid w:val="00C41C44"/>
    <w:rsid w:val="00C46E01"/>
    <w:rsid w:val="00C5663F"/>
    <w:rsid w:val="00C572DC"/>
    <w:rsid w:val="00C602D0"/>
    <w:rsid w:val="00C607EB"/>
    <w:rsid w:val="00C625A7"/>
    <w:rsid w:val="00C63860"/>
    <w:rsid w:val="00C64A34"/>
    <w:rsid w:val="00C661EB"/>
    <w:rsid w:val="00C673CD"/>
    <w:rsid w:val="00C71748"/>
    <w:rsid w:val="00C72318"/>
    <w:rsid w:val="00C724E6"/>
    <w:rsid w:val="00C729B8"/>
    <w:rsid w:val="00C7447A"/>
    <w:rsid w:val="00C747A5"/>
    <w:rsid w:val="00C75563"/>
    <w:rsid w:val="00C75634"/>
    <w:rsid w:val="00C76E51"/>
    <w:rsid w:val="00C77F22"/>
    <w:rsid w:val="00C80725"/>
    <w:rsid w:val="00C81EBB"/>
    <w:rsid w:val="00C82559"/>
    <w:rsid w:val="00C8450C"/>
    <w:rsid w:val="00C85314"/>
    <w:rsid w:val="00C86005"/>
    <w:rsid w:val="00C87D75"/>
    <w:rsid w:val="00C87E47"/>
    <w:rsid w:val="00C91491"/>
    <w:rsid w:val="00C94AD6"/>
    <w:rsid w:val="00C95A09"/>
    <w:rsid w:val="00C9737B"/>
    <w:rsid w:val="00C973BE"/>
    <w:rsid w:val="00CA0116"/>
    <w:rsid w:val="00CA1E21"/>
    <w:rsid w:val="00CA4BC0"/>
    <w:rsid w:val="00CA5CA8"/>
    <w:rsid w:val="00CA6974"/>
    <w:rsid w:val="00CA6DB3"/>
    <w:rsid w:val="00CA7391"/>
    <w:rsid w:val="00CB012C"/>
    <w:rsid w:val="00CB0157"/>
    <w:rsid w:val="00CB050D"/>
    <w:rsid w:val="00CB064B"/>
    <w:rsid w:val="00CB28C0"/>
    <w:rsid w:val="00CB2BDD"/>
    <w:rsid w:val="00CB3F35"/>
    <w:rsid w:val="00CB5205"/>
    <w:rsid w:val="00CB6602"/>
    <w:rsid w:val="00CB6E97"/>
    <w:rsid w:val="00CC1C8C"/>
    <w:rsid w:val="00CC401E"/>
    <w:rsid w:val="00CC406B"/>
    <w:rsid w:val="00CC4D5E"/>
    <w:rsid w:val="00CC559D"/>
    <w:rsid w:val="00CC701A"/>
    <w:rsid w:val="00CD06E4"/>
    <w:rsid w:val="00CD1108"/>
    <w:rsid w:val="00CD13F8"/>
    <w:rsid w:val="00CD3C92"/>
    <w:rsid w:val="00CD4FFC"/>
    <w:rsid w:val="00CD654B"/>
    <w:rsid w:val="00CD6A16"/>
    <w:rsid w:val="00CD7C09"/>
    <w:rsid w:val="00CE0CCE"/>
    <w:rsid w:val="00CE0DA7"/>
    <w:rsid w:val="00CE223E"/>
    <w:rsid w:val="00CE3E7D"/>
    <w:rsid w:val="00CF2CBB"/>
    <w:rsid w:val="00CF3257"/>
    <w:rsid w:val="00CF3F0D"/>
    <w:rsid w:val="00CF53E6"/>
    <w:rsid w:val="00D05135"/>
    <w:rsid w:val="00D101F7"/>
    <w:rsid w:val="00D13E4B"/>
    <w:rsid w:val="00D145F5"/>
    <w:rsid w:val="00D207AA"/>
    <w:rsid w:val="00D20A8C"/>
    <w:rsid w:val="00D22116"/>
    <w:rsid w:val="00D22538"/>
    <w:rsid w:val="00D22B0E"/>
    <w:rsid w:val="00D308A3"/>
    <w:rsid w:val="00D33136"/>
    <w:rsid w:val="00D34C99"/>
    <w:rsid w:val="00D355F0"/>
    <w:rsid w:val="00D437D5"/>
    <w:rsid w:val="00D43AC8"/>
    <w:rsid w:val="00D461E3"/>
    <w:rsid w:val="00D468D7"/>
    <w:rsid w:val="00D4724D"/>
    <w:rsid w:val="00D51767"/>
    <w:rsid w:val="00D53A29"/>
    <w:rsid w:val="00D56113"/>
    <w:rsid w:val="00D5750B"/>
    <w:rsid w:val="00D62247"/>
    <w:rsid w:val="00D62A48"/>
    <w:rsid w:val="00D62DF8"/>
    <w:rsid w:val="00D63DF2"/>
    <w:rsid w:val="00D63F0E"/>
    <w:rsid w:val="00D644AD"/>
    <w:rsid w:val="00D65DA7"/>
    <w:rsid w:val="00D7198C"/>
    <w:rsid w:val="00D73D4B"/>
    <w:rsid w:val="00D74672"/>
    <w:rsid w:val="00D762DA"/>
    <w:rsid w:val="00D764E7"/>
    <w:rsid w:val="00D76DE9"/>
    <w:rsid w:val="00D80337"/>
    <w:rsid w:val="00D80511"/>
    <w:rsid w:val="00D833D9"/>
    <w:rsid w:val="00D83BD9"/>
    <w:rsid w:val="00D85A11"/>
    <w:rsid w:val="00D85F45"/>
    <w:rsid w:val="00D85FEF"/>
    <w:rsid w:val="00D8704D"/>
    <w:rsid w:val="00D87306"/>
    <w:rsid w:val="00D918DD"/>
    <w:rsid w:val="00D91AE2"/>
    <w:rsid w:val="00D91D49"/>
    <w:rsid w:val="00D9209E"/>
    <w:rsid w:val="00D9316C"/>
    <w:rsid w:val="00D944EA"/>
    <w:rsid w:val="00D94DCF"/>
    <w:rsid w:val="00D94EAE"/>
    <w:rsid w:val="00D95FA9"/>
    <w:rsid w:val="00D97D30"/>
    <w:rsid w:val="00DA0AE6"/>
    <w:rsid w:val="00DA2463"/>
    <w:rsid w:val="00DA29B6"/>
    <w:rsid w:val="00DA325C"/>
    <w:rsid w:val="00DA408F"/>
    <w:rsid w:val="00DA586F"/>
    <w:rsid w:val="00DA6BB0"/>
    <w:rsid w:val="00DA71E1"/>
    <w:rsid w:val="00DB013A"/>
    <w:rsid w:val="00DB08DA"/>
    <w:rsid w:val="00DB236A"/>
    <w:rsid w:val="00DB2847"/>
    <w:rsid w:val="00DB2A0D"/>
    <w:rsid w:val="00DB2B4C"/>
    <w:rsid w:val="00DB6A1B"/>
    <w:rsid w:val="00DB7231"/>
    <w:rsid w:val="00DB7F09"/>
    <w:rsid w:val="00DC00E8"/>
    <w:rsid w:val="00DC0E7C"/>
    <w:rsid w:val="00DC1C56"/>
    <w:rsid w:val="00DC4756"/>
    <w:rsid w:val="00DC5B5D"/>
    <w:rsid w:val="00DC6379"/>
    <w:rsid w:val="00DD1272"/>
    <w:rsid w:val="00DD23ED"/>
    <w:rsid w:val="00DD24A3"/>
    <w:rsid w:val="00DD27EC"/>
    <w:rsid w:val="00DD2A69"/>
    <w:rsid w:val="00DD5A6E"/>
    <w:rsid w:val="00DD65CA"/>
    <w:rsid w:val="00DD66CC"/>
    <w:rsid w:val="00DD74C0"/>
    <w:rsid w:val="00DD7F70"/>
    <w:rsid w:val="00DE3671"/>
    <w:rsid w:val="00DE3C77"/>
    <w:rsid w:val="00DE3DD8"/>
    <w:rsid w:val="00DE4198"/>
    <w:rsid w:val="00DE59C2"/>
    <w:rsid w:val="00DE5E9A"/>
    <w:rsid w:val="00DE5EB7"/>
    <w:rsid w:val="00DF38FF"/>
    <w:rsid w:val="00DF499D"/>
    <w:rsid w:val="00DF50BF"/>
    <w:rsid w:val="00DF598E"/>
    <w:rsid w:val="00DF6F61"/>
    <w:rsid w:val="00DF71B2"/>
    <w:rsid w:val="00DF7622"/>
    <w:rsid w:val="00E01289"/>
    <w:rsid w:val="00E03006"/>
    <w:rsid w:val="00E07530"/>
    <w:rsid w:val="00E101C6"/>
    <w:rsid w:val="00E1082C"/>
    <w:rsid w:val="00E15917"/>
    <w:rsid w:val="00E16498"/>
    <w:rsid w:val="00E17998"/>
    <w:rsid w:val="00E17C78"/>
    <w:rsid w:val="00E211A4"/>
    <w:rsid w:val="00E22D51"/>
    <w:rsid w:val="00E23D74"/>
    <w:rsid w:val="00E24413"/>
    <w:rsid w:val="00E26366"/>
    <w:rsid w:val="00E26931"/>
    <w:rsid w:val="00E27CB1"/>
    <w:rsid w:val="00E302EC"/>
    <w:rsid w:val="00E311B7"/>
    <w:rsid w:val="00E32EBE"/>
    <w:rsid w:val="00E379AE"/>
    <w:rsid w:val="00E41BFF"/>
    <w:rsid w:val="00E42653"/>
    <w:rsid w:val="00E437C2"/>
    <w:rsid w:val="00E4473D"/>
    <w:rsid w:val="00E50E7C"/>
    <w:rsid w:val="00E51492"/>
    <w:rsid w:val="00E51545"/>
    <w:rsid w:val="00E51D9E"/>
    <w:rsid w:val="00E52219"/>
    <w:rsid w:val="00E524A1"/>
    <w:rsid w:val="00E537D1"/>
    <w:rsid w:val="00E567E6"/>
    <w:rsid w:val="00E56971"/>
    <w:rsid w:val="00E6011B"/>
    <w:rsid w:val="00E602B8"/>
    <w:rsid w:val="00E61484"/>
    <w:rsid w:val="00E61EF2"/>
    <w:rsid w:val="00E627C3"/>
    <w:rsid w:val="00E65591"/>
    <w:rsid w:val="00E711D7"/>
    <w:rsid w:val="00E7243A"/>
    <w:rsid w:val="00E73F8A"/>
    <w:rsid w:val="00E74451"/>
    <w:rsid w:val="00E761A6"/>
    <w:rsid w:val="00E769C2"/>
    <w:rsid w:val="00E800EF"/>
    <w:rsid w:val="00E80F93"/>
    <w:rsid w:val="00E815E1"/>
    <w:rsid w:val="00E8168B"/>
    <w:rsid w:val="00E829EA"/>
    <w:rsid w:val="00E8403E"/>
    <w:rsid w:val="00E86471"/>
    <w:rsid w:val="00E87268"/>
    <w:rsid w:val="00E8769F"/>
    <w:rsid w:val="00E87FA9"/>
    <w:rsid w:val="00E902B0"/>
    <w:rsid w:val="00E902E8"/>
    <w:rsid w:val="00E90BF1"/>
    <w:rsid w:val="00E92740"/>
    <w:rsid w:val="00E93563"/>
    <w:rsid w:val="00E9536C"/>
    <w:rsid w:val="00EA089C"/>
    <w:rsid w:val="00EA0C4B"/>
    <w:rsid w:val="00EA0FD7"/>
    <w:rsid w:val="00EA23AC"/>
    <w:rsid w:val="00EA25E4"/>
    <w:rsid w:val="00EA3CD0"/>
    <w:rsid w:val="00EA65C5"/>
    <w:rsid w:val="00EA6A28"/>
    <w:rsid w:val="00EA6E14"/>
    <w:rsid w:val="00EA7C3D"/>
    <w:rsid w:val="00EA7D5E"/>
    <w:rsid w:val="00EB3605"/>
    <w:rsid w:val="00EB3B44"/>
    <w:rsid w:val="00EB41C3"/>
    <w:rsid w:val="00EB5AB3"/>
    <w:rsid w:val="00EB6878"/>
    <w:rsid w:val="00EB7283"/>
    <w:rsid w:val="00EB7785"/>
    <w:rsid w:val="00EC0492"/>
    <w:rsid w:val="00EC0C33"/>
    <w:rsid w:val="00EC1347"/>
    <w:rsid w:val="00EC1E0E"/>
    <w:rsid w:val="00EC236D"/>
    <w:rsid w:val="00EC427D"/>
    <w:rsid w:val="00EC5819"/>
    <w:rsid w:val="00EC5FC1"/>
    <w:rsid w:val="00EC6B16"/>
    <w:rsid w:val="00EC6E25"/>
    <w:rsid w:val="00ED05C9"/>
    <w:rsid w:val="00ED5106"/>
    <w:rsid w:val="00ED7B5B"/>
    <w:rsid w:val="00EE0A96"/>
    <w:rsid w:val="00EE1447"/>
    <w:rsid w:val="00EE5FE1"/>
    <w:rsid w:val="00EE6E6F"/>
    <w:rsid w:val="00EE712B"/>
    <w:rsid w:val="00EE7675"/>
    <w:rsid w:val="00EF0B25"/>
    <w:rsid w:val="00EF145E"/>
    <w:rsid w:val="00EF2737"/>
    <w:rsid w:val="00EF2BBB"/>
    <w:rsid w:val="00EF3F73"/>
    <w:rsid w:val="00EF52C4"/>
    <w:rsid w:val="00EF5EB7"/>
    <w:rsid w:val="00EF5F0C"/>
    <w:rsid w:val="00EF63F8"/>
    <w:rsid w:val="00EF6A0E"/>
    <w:rsid w:val="00EF6EFE"/>
    <w:rsid w:val="00EF7261"/>
    <w:rsid w:val="00F00437"/>
    <w:rsid w:val="00F00463"/>
    <w:rsid w:val="00F0082D"/>
    <w:rsid w:val="00F00912"/>
    <w:rsid w:val="00F015AB"/>
    <w:rsid w:val="00F01699"/>
    <w:rsid w:val="00F01B6F"/>
    <w:rsid w:val="00F01C9E"/>
    <w:rsid w:val="00F03802"/>
    <w:rsid w:val="00F054B2"/>
    <w:rsid w:val="00F0779A"/>
    <w:rsid w:val="00F07C90"/>
    <w:rsid w:val="00F12E62"/>
    <w:rsid w:val="00F134A0"/>
    <w:rsid w:val="00F13904"/>
    <w:rsid w:val="00F147F5"/>
    <w:rsid w:val="00F15A55"/>
    <w:rsid w:val="00F15F65"/>
    <w:rsid w:val="00F177AC"/>
    <w:rsid w:val="00F204E4"/>
    <w:rsid w:val="00F21488"/>
    <w:rsid w:val="00F2287F"/>
    <w:rsid w:val="00F25875"/>
    <w:rsid w:val="00F27040"/>
    <w:rsid w:val="00F33311"/>
    <w:rsid w:val="00F33DB8"/>
    <w:rsid w:val="00F34E07"/>
    <w:rsid w:val="00F36AC2"/>
    <w:rsid w:val="00F37184"/>
    <w:rsid w:val="00F37962"/>
    <w:rsid w:val="00F403CB"/>
    <w:rsid w:val="00F4195F"/>
    <w:rsid w:val="00F41AC3"/>
    <w:rsid w:val="00F43836"/>
    <w:rsid w:val="00F4388B"/>
    <w:rsid w:val="00F50B92"/>
    <w:rsid w:val="00F51326"/>
    <w:rsid w:val="00F5245C"/>
    <w:rsid w:val="00F52709"/>
    <w:rsid w:val="00F52CCF"/>
    <w:rsid w:val="00F542B6"/>
    <w:rsid w:val="00F54867"/>
    <w:rsid w:val="00F57BED"/>
    <w:rsid w:val="00F60198"/>
    <w:rsid w:val="00F60D2A"/>
    <w:rsid w:val="00F60EB9"/>
    <w:rsid w:val="00F641D9"/>
    <w:rsid w:val="00F66184"/>
    <w:rsid w:val="00F66884"/>
    <w:rsid w:val="00F670D3"/>
    <w:rsid w:val="00F70832"/>
    <w:rsid w:val="00F72A67"/>
    <w:rsid w:val="00F7484B"/>
    <w:rsid w:val="00F75BA0"/>
    <w:rsid w:val="00F7613A"/>
    <w:rsid w:val="00F82746"/>
    <w:rsid w:val="00F83199"/>
    <w:rsid w:val="00F836F9"/>
    <w:rsid w:val="00F845D7"/>
    <w:rsid w:val="00F87961"/>
    <w:rsid w:val="00F92279"/>
    <w:rsid w:val="00F929D3"/>
    <w:rsid w:val="00F94014"/>
    <w:rsid w:val="00F95FC7"/>
    <w:rsid w:val="00F96F4B"/>
    <w:rsid w:val="00FA3356"/>
    <w:rsid w:val="00FA3765"/>
    <w:rsid w:val="00FB32D2"/>
    <w:rsid w:val="00FB4D21"/>
    <w:rsid w:val="00FB60B5"/>
    <w:rsid w:val="00FB71BC"/>
    <w:rsid w:val="00FB7404"/>
    <w:rsid w:val="00FB762B"/>
    <w:rsid w:val="00FC2874"/>
    <w:rsid w:val="00FC2F7D"/>
    <w:rsid w:val="00FC5142"/>
    <w:rsid w:val="00FC5E4F"/>
    <w:rsid w:val="00FC6ADA"/>
    <w:rsid w:val="00FC6BDB"/>
    <w:rsid w:val="00FC6FEE"/>
    <w:rsid w:val="00FD0DE2"/>
    <w:rsid w:val="00FD2522"/>
    <w:rsid w:val="00FD2DED"/>
    <w:rsid w:val="00FE027A"/>
    <w:rsid w:val="00FE0311"/>
    <w:rsid w:val="00FE0685"/>
    <w:rsid w:val="00FE22C6"/>
    <w:rsid w:val="00FE3D8F"/>
    <w:rsid w:val="00FE4568"/>
    <w:rsid w:val="00FE4952"/>
    <w:rsid w:val="00FE7143"/>
    <w:rsid w:val="00FE79A5"/>
    <w:rsid w:val="00FF3295"/>
    <w:rsid w:val="00FF6799"/>
    <w:rsid w:val="00FF713D"/>
    <w:rsid w:val="00FF7A1A"/>
    <w:rsid w:val="010744C6"/>
    <w:rsid w:val="022856D5"/>
    <w:rsid w:val="024E9C2F"/>
    <w:rsid w:val="02690E3B"/>
    <w:rsid w:val="0431DFE1"/>
    <w:rsid w:val="04F2F4E0"/>
    <w:rsid w:val="06366D96"/>
    <w:rsid w:val="06880ED3"/>
    <w:rsid w:val="07BCDC13"/>
    <w:rsid w:val="08DFA053"/>
    <w:rsid w:val="094BFEF8"/>
    <w:rsid w:val="09C5296F"/>
    <w:rsid w:val="09D13FDD"/>
    <w:rsid w:val="0A395199"/>
    <w:rsid w:val="0BCB4F17"/>
    <w:rsid w:val="0C8F3134"/>
    <w:rsid w:val="0CDF2A62"/>
    <w:rsid w:val="0D5C9432"/>
    <w:rsid w:val="0DD9A387"/>
    <w:rsid w:val="0F78716D"/>
    <w:rsid w:val="0F9346E0"/>
    <w:rsid w:val="0F97BFB6"/>
    <w:rsid w:val="1088D857"/>
    <w:rsid w:val="11A3AD56"/>
    <w:rsid w:val="121BC7AD"/>
    <w:rsid w:val="1317701D"/>
    <w:rsid w:val="159D0AB9"/>
    <w:rsid w:val="15A22902"/>
    <w:rsid w:val="166A393D"/>
    <w:rsid w:val="1714F637"/>
    <w:rsid w:val="1715D5DC"/>
    <w:rsid w:val="17C71FD0"/>
    <w:rsid w:val="1912AFD0"/>
    <w:rsid w:val="1A84C301"/>
    <w:rsid w:val="1AE825EA"/>
    <w:rsid w:val="1BDEC683"/>
    <w:rsid w:val="1C556112"/>
    <w:rsid w:val="1CAA0B9B"/>
    <w:rsid w:val="1CC093DA"/>
    <w:rsid w:val="1D00E496"/>
    <w:rsid w:val="1D48FE7E"/>
    <w:rsid w:val="1D5CAC9F"/>
    <w:rsid w:val="1DEC3B33"/>
    <w:rsid w:val="1EDE38D8"/>
    <w:rsid w:val="20200BC9"/>
    <w:rsid w:val="20D44C81"/>
    <w:rsid w:val="21DE4431"/>
    <w:rsid w:val="21FC93FF"/>
    <w:rsid w:val="229834BC"/>
    <w:rsid w:val="22B47FB2"/>
    <w:rsid w:val="2347FEBB"/>
    <w:rsid w:val="245FAAC5"/>
    <w:rsid w:val="267F9478"/>
    <w:rsid w:val="2724A5E6"/>
    <w:rsid w:val="29B30918"/>
    <w:rsid w:val="2A43F2C0"/>
    <w:rsid w:val="2A672E3A"/>
    <w:rsid w:val="2AE119D8"/>
    <w:rsid w:val="2B4E9480"/>
    <w:rsid w:val="2BE01AA3"/>
    <w:rsid w:val="2C385E33"/>
    <w:rsid w:val="2D1E336F"/>
    <w:rsid w:val="2DA8D454"/>
    <w:rsid w:val="2E7774E2"/>
    <w:rsid w:val="2EB0ED22"/>
    <w:rsid w:val="2EDB1310"/>
    <w:rsid w:val="2F4E0497"/>
    <w:rsid w:val="2FCAC976"/>
    <w:rsid w:val="307ACBD6"/>
    <w:rsid w:val="31139272"/>
    <w:rsid w:val="31696522"/>
    <w:rsid w:val="3189F7AF"/>
    <w:rsid w:val="32865701"/>
    <w:rsid w:val="336A17A0"/>
    <w:rsid w:val="338AAA96"/>
    <w:rsid w:val="364E911B"/>
    <w:rsid w:val="36B0E554"/>
    <w:rsid w:val="36B6C2D1"/>
    <w:rsid w:val="380EF08A"/>
    <w:rsid w:val="38FAB90E"/>
    <w:rsid w:val="39E1568B"/>
    <w:rsid w:val="3B7C90DE"/>
    <w:rsid w:val="3C83745B"/>
    <w:rsid w:val="3C8DA94C"/>
    <w:rsid w:val="3CBE2761"/>
    <w:rsid w:val="3D60AF74"/>
    <w:rsid w:val="3E34AEB0"/>
    <w:rsid w:val="3F38E0DE"/>
    <w:rsid w:val="3F592655"/>
    <w:rsid w:val="3FA2BA31"/>
    <w:rsid w:val="415FFB93"/>
    <w:rsid w:val="41EC7D3F"/>
    <w:rsid w:val="43077BB0"/>
    <w:rsid w:val="440243EF"/>
    <w:rsid w:val="4436992F"/>
    <w:rsid w:val="44558B2C"/>
    <w:rsid w:val="44BE8B99"/>
    <w:rsid w:val="44D078A0"/>
    <w:rsid w:val="458780EF"/>
    <w:rsid w:val="46048742"/>
    <w:rsid w:val="46B985B9"/>
    <w:rsid w:val="477B9745"/>
    <w:rsid w:val="479639BA"/>
    <w:rsid w:val="47B29D8E"/>
    <w:rsid w:val="47F390A0"/>
    <w:rsid w:val="485E08C7"/>
    <w:rsid w:val="489EDB02"/>
    <w:rsid w:val="48E71E60"/>
    <w:rsid w:val="49063220"/>
    <w:rsid w:val="491F2E73"/>
    <w:rsid w:val="4A1FC1CF"/>
    <w:rsid w:val="4A94D869"/>
    <w:rsid w:val="4A9E1926"/>
    <w:rsid w:val="4AC5355D"/>
    <w:rsid w:val="4B2FE3CF"/>
    <w:rsid w:val="4C2E3C0F"/>
    <w:rsid w:val="4CB36B63"/>
    <w:rsid w:val="4CCB6661"/>
    <w:rsid w:val="4DACE34B"/>
    <w:rsid w:val="4DB41C71"/>
    <w:rsid w:val="4EBACB74"/>
    <w:rsid w:val="4FC1CC5E"/>
    <w:rsid w:val="536CABF3"/>
    <w:rsid w:val="5392466B"/>
    <w:rsid w:val="53EED232"/>
    <w:rsid w:val="54A12473"/>
    <w:rsid w:val="55218859"/>
    <w:rsid w:val="55445CE2"/>
    <w:rsid w:val="55B0E145"/>
    <w:rsid w:val="55DAD718"/>
    <w:rsid w:val="55DB32FA"/>
    <w:rsid w:val="5643B760"/>
    <w:rsid w:val="57B56995"/>
    <w:rsid w:val="57EF8E0C"/>
    <w:rsid w:val="5805B6D1"/>
    <w:rsid w:val="5A91FD4F"/>
    <w:rsid w:val="5A9511AD"/>
    <w:rsid w:val="5B1E0310"/>
    <w:rsid w:val="5B805087"/>
    <w:rsid w:val="5B95DA94"/>
    <w:rsid w:val="5BB40DB3"/>
    <w:rsid w:val="5CFD8628"/>
    <w:rsid w:val="5F575864"/>
    <w:rsid w:val="5FE5B4EB"/>
    <w:rsid w:val="60088022"/>
    <w:rsid w:val="61DD33D1"/>
    <w:rsid w:val="633C1C3C"/>
    <w:rsid w:val="63D13B91"/>
    <w:rsid w:val="64D9A96D"/>
    <w:rsid w:val="66489839"/>
    <w:rsid w:val="66C738AF"/>
    <w:rsid w:val="680BA822"/>
    <w:rsid w:val="68A581AD"/>
    <w:rsid w:val="6A1A46A1"/>
    <w:rsid w:val="6A43DBD1"/>
    <w:rsid w:val="6BEA73F3"/>
    <w:rsid w:val="6C574483"/>
    <w:rsid w:val="6C934B90"/>
    <w:rsid w:val="6C9F367D"/>
    <w:rsid w:val="6D33C22B"/>
    <w:rsid w:val="6DB06FA4"/>
    <w:rsid w:val="718BB952"/>
    <w:rsid w:val="71EEC2AF"/>
    <w:rsid w:val="726803D7"/>
    <w:rsid w:val="731426AD"/>
    <w:rsid w:val="735ACAE8"/>
    <w:rsid w:val="739F595D"/>
    <w:rsid w:val="7410C0A0"/>
    <w:rsid w:val="743BCB21"/>
    <w:rsid w:val="75E0A83E"/>
    <w:rsid w:val="765A169C"/>
    <w:rsid w:val="77B05E79"/>
    <w:rsid w:val="77F13C0B"/>
    <w:rsid w:val="785E9DE8"/>
    <w:rsid w:val="7A92BD09"/>
    <w:rsid w:val="7AC9D5BA"/>
    <w:rsid w:val="7BF1DBD5"/>
    <w:rsid w:val="7C20C9EC"/>
    <w:rsid w:val="7CF9F316"/>
    <w:rsid w:val="7D79A801"/>
    <w:rsid w:val="7DDCAF31"/>
    <w:rsid w:val="7DE5F555"/>
    <w:rsid w:val="7E0C237B"/>
    <w:rsid w:val="7E4DF20B"/>
    <w:rsid w:val="7F735078"/>
    <w:rsid w:val="7FB96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D00"/>
    <w:pPr>
      <w:spacing w:before="100" w:after="200" w:line="276" w:lineRule="auto"/>
    </w:pPr>
    <w:rPr>
      <w:rFonts w:eastAsiaTheme="minorEastAsia"/>
      <w:sz w:val="20"/>
      <w:szCs w:val="20"/>
    </w:rPr>
  </w:style>
  <w:style w:type="paragraph" w:styleId="Heading1">
    <w:name w:val="heading 1"/>
    <w:basedOn w:val="Normal"/>
    <w:next w:val="Normal"/>
    <w:link w:val="Heading1Char"/>
    <w:qFormat/>
    <w:rsid w:val="00CD06E4"/>
    <w:pPr>
      <w:keepNext/>
      <w:pBdr>
        <w:top w:val="single" w:sz="24" w:space="0" w:color="2F8361" w:themeColor="accent4"/>
        <w:left w:val="single" w:sz="24" w:space="0" w:color="2F8361" w:themeColor="accent4"/>
        <w:bottom w:val="single" w:sz="24" w:space="0" w:color="2F8361" w:themeColor="accent4"/>
        <w:right w:val="single" w:sz="24" w:space="0" w:color="2F8361" w:themeColor="accent4"/>
      </w:pBdr>
      <w:shd w:val="clear" w:color="auto" w:fill="2F8361" w:themeFill="accent4"/>
      <w:spacing w:after="0"/>
      <w:outlineLvl w:val="0"/>
    </w:pPr>
    <w:rPr>
      <w:b/>
      <w:smallCaps/>
      <w:color w:val="FFFFFF" w:themeColor="background1"/>
      <w:spacing w:val="15"/>
      <w:sz w:val="22"/>
      <w:szCs w:val="22"/>
    </w:rPr>
  </w:style>
  <w:style w:type="paragraph" w:styleId="Heading2">
    <w:name w:val="heading 2"/>
    <w:basedOn w:val="Normal"/>
    <w:next w:val="Normal"/>
    <w:link w:val="Heading2Char"/>
    <w:unhideWhenUsed/>
    <w:qFormat/>
    <w:rsid w:val="00B773A5"/>
    <w:pPr>
      <w:keepNext/>
      <w:pBdr>
        <w:top w:val="single" w:sz="24" w:space="1" w:color="2F8361" w:themeColor="accent4"/>
        <w:left w:val="single" w:sz="24" w:space="0" w:color="2F8361" w:themeColor="accent4"/>
        <w:bottom w:val="single" w:sz="24" w:space="1" w:color="2F8361" w:themeColor="accent4"/>
        <w:right w:val="single" w:sz="24" w:space="0" w:color="2F8361" w:themeColor="accent4"/>
      </w:pBdr>
      <w:shd w:val="clear" w:color="auto" w:fill="2F8361" w:themeFill="accent4"/>
      <w:spacing w:after="0"/>
      <w:outlineLvl w:val="1"/>
    </w:pPr>
    <w:rPr>
      <w:b/>
      <w:i/>
      <w:smallCaps/>
      <w:color w:val="FFFFFF" w:themeColor="background1"/>
      <w:spacing w:val="15"/>
    </w:rPr>
  </w:style>
  <w:style w:type="paragraph" w:styleId="Heading3">
    <w:name w:val="heading 3"/>
    <w:basedOn w:val="Normal"/>
    <w:next w:val="Normal"/>
    <w:link w:val="Heading3Char"/>
    <w:unhideWhenUsed/>
    <w:qFormat/>
    <w:rsid w:val="00BE05C3"/>
    <w:pPr>
      <w:keepNext/>
      <w:pBdr>
        <w:top w:val="single" w:sz="6" w:space="2" w:color="2F8361" w:themeColor="accent4"/>
      </w:pBdr>
      <w:spacing w:before="300" w:after="0"/>
      <w:outlineLvl w:val="2"/>
    </w:pPr>
    <w:rPr>
      <w:b/>
      <w:smallCaps/>
      <w:color w:val="246047" w:themeColor="background2" w:themeShade="80"/>
      <w:spacing w:val="15"/>
    </w:rPr>
  </w:style>
  <w:style w:type="paragraph" w:styleId="Heading4">
    <w:name w:val="heading 4"/>
    <w:basedOn w:val="Normal"/>
    <w:next w:val="Normal"/>
    <w:link w:val="Heading4Char"/>
    <w:unhideWhenUsed/>
    <w:qFormat/>
    <w:rsid w:val="001D2694"/>
    <w:pPr>
      <w:pBdr>
        <w:top w:val="dotted" w:sz="6" w:space="2" w:color="2F8361" w:themeColor="accent4"/>
      </w:pBdr>
      <w:spacing w:before="200" w:after="0"/>
      <w:outlineLvl w:val="3"/>
    </w:pPr>
    <w:rPr>
      <w:b/>
      <w:smallCaps/>
      <w:color w:val="2F8361" w:themeColor="accent4"/>
      <w:spacing w:val="10"/>
    </w:rPr>
  </w:style>
  <w:style w:type="paragraph" w:styleId="Heading5">
    <w:name w:val="heading 5"/>
    <w:basedOn w:val="Normal"/>
    <w:next w:val="Normal"/>
    <w:link w:val="Heading5Char"/>
    <w:unhideWhenUsed/>
    <w:qFormat/>
    <w:rsid w:val="001D2694"/>
    <w:pPr>
      <w:keepNext/>
      <w:pBdr>
        <w:bottom w:val="single" w:sz="6" w:space="1" w:color="2F8361" w:themeColor="accent4"/>
      </w:pBdr>
      <w:spacing w:before="200" w:after="0"/>
      <w:outlineLvl w:val="4"/>
    </w:pPr>
    <w:rPr>
      <w:i/>
      <w:smallCaps/>
      <w:color w:val="2F8361" w:themeColor="accent4"/>
      <w:spacing w:val="10"/>
    </w:rPr>
  </w:style>
  <w:style w:type="paragraph" w:styleId="Heading6">
    <w:name w:val="heading 6"/>
    <w:basedOn w:val="Normal"/>
    <w:next w:val="Normal"/>
    <w:link w:val="Heading6Char"/>
    <w:unhideWhenUsed/>
    <w:qFormat/>
    <w:rsid w:val="001D2694"/>
    <w:pPr>
      <w:pBdr>
        <w:bottom w:val="dotted" w:sz="6" w:space="1" w:color="2F8361" w:themeColor="accent4"/>
      </w:pBdr>
      <w:spacing w:before="200" w:after="0"/>
      <w:outlineLvl w:val="5"/>
    </w:pPr>
    <w:rPr>
      <w:i/>
      <w:smallCaps/>
      <w:color w:val="2F8361" w:themeColor="accent4"/>
      <w:spacing w:val="10"/>
    </w:rPr>
  </w:style>
  <w:style w:type="paragraph" w:styleId="Heading7">
    <w:name w:val="heading 7"/>
    <w:basedOn w:val="Normal"/>
    <w:next w:val="Normal"/>
    <w:link w:val="Heading7Char"/>
    <w:uiPriority w:val="9"/>
    <w:unhideWhenUsed/>
    <w:qFormat/>
    <w:rsid w:val="00082516"/>
    <w:pPr>
      <w:spacing w:after="0"/>
      <w:outlineLvl w:val="6"/>
    </w:pPr>
    <w:rPr>
      <w:b/>
      <w:i/>
      <w:color w:val="2F8361" w:themeColor="accent4"/>
    </w:rPr>
  </w:style>
  <w:style w:type="paragraph" w:styleId="Heading8">
    <w:name w:val="heading 8"/>
    <w:basedOn w:val="TableMainHeading"/>
    <w:next w:val="Normal"/>
    <w:link w:val="Heading8Char"/>
    <w:uiPriority w:val="9"/>
    <w:unhideWhenUsed/>
    <w:rsid w:val="00BE492D"/>
    <w:pPr>
      <w:numPr>
        <w:numId w:val="45"/>
      </w:numPr>
      <w:tabs>
        <w:tab w:val="clear" w:pos="1134"/>
      </w:tabs>
      <w:ind w:left="1134" w:hanging="1134"/>
    </w:pPr>
  </w:style>
  <w:style w:type="paragraph" w:styleId="Heading9">
    <w:name w:val="heading 9"/>
    <w:basedOn w:val="ChartMainHeading"/>
    <w:next w:val="Normal"/>
    <w:link w:val="Heading9Char"/>
    <w:uiPriority w:val="9"/>
    <w:unhideWhenUsed/>
    <w:qFormat/>
    <w:rsid w:val="00C30B41"/>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6E4"/>
    <w:rPr>
      <w:rFonts w:eastAsiaTheme="minorEastAsia"/>
      <w:b/>
      <w:smallCaps/>
      <w:color w:val="FFFFFF" w:themeColor="background1"/>
      <w:spacing w:val="15"/>
      <w:shd w:val="clear" w:color="auto" w:fill="2F8361" w:themeFill="accent4"/>
    </w:rPr>
  </w:style>
  <w:style w:type="character" w:customStyle="1" w:styleId="Heading2Char">
    <w:name w:val="Heading 2 Char"/>
    <w:basedOn w:val="DefaultParagraphFont"/>
    <w:link w:val="Heading2"/>
    <w:rsid w:val="00B773A5"/>
    <w:rPr>
      <w:rFonts w:eastAsiaTheme="minorEastAsia"/>
      <w:b/>
      <w:i/>
      <w:smallCaps/>
      <w:color w:val="FFFFFF" w:themeColor="background1"/>
      <w:spacing w:val="15"/>
      <w:sz w:val="20"/>
      <w:szCs w:val="20"/>
      <w:shd w:val="clear" w:color="auto" w:fill="2F8361" w:themeFill="accent4"/>
    </w:rPr>
  </w:style>
  <w:style w:type="character" w:customStyle="1" w:styleId="Heading3Char">
    <w:name w:val="Heading 3 Char"/>
    <w:basedOn w:val="DefaultParagraphFont"/>
    <w:link w:val="Heading3"/>
    <w:rsid w:val="00BE05C3"/>
    <w:rPr>
      <w:rFonts w:eastAsiaTheme="minorEastAsia"/>
      <w:b/>
      <w:smallCaps/>
      <w:color w:val="246047" w:themeColor="background2" w:themeShade="80"/>
      <w:spacing w:val="15"/>
      <w:sz w:val="20"/>
      <w:szCs w:val="20"/>
    </w:rPr>
  </w:style>
  <w:style w:type="character" w:customStyle="1" w:styleId="Heading4Char">
    <w:name w:val="Heading 4 Char"/>
    <w:basedOn w:val="DefaultParagraphFont"/>
    <w:link w:val="Heading4"/>
    <w:rsid w:val="001D2694"/>
    <w:rPr>
      <w:rFonts w:eastAsiaTheme="minorEastAsia"/>
      <w:b/>
      <w:smallCaps/>
      <w:color w:val="2F8361" w:themeColor="accent4"/>
      <w:spacing w:val="10"/>
      <w:sz w:val="20"/>
      <w:szCs w:val="20"/>
    </w:rPr>
  </w:style>
  <w:style w:type="character" w:customStyle="1" w:styleId="Heading5Char">
    <w:name w:val="Heading 5 Char"/>
    <w:basedOn w:val="DefaultParagraphFont"/>
    <w:link w:val="Heading5"/>
    <w:rsid w:val="001D2694"/>
    <w:rPr>
      <w:rFonts w:eastAsiaTheme="minorEastAsia"/>
      <w:i/>
      <w:smallCaps/>
      <w:color w:val="2F8361" w:themeColor="accent4"/>
      <w:spacing w:val="10"/>
      <w:sz w:val="20"/>
      <w:szCs w:val="20"/>
    </w:rPr>
  </w:style>
  <w:style w:type="character" w:customStyle="1" w:styleId="Heading6Char">
    <w:name w:val="Heading 6 Char"/>
    <w:basedOn w:val="DefaultParagraphFont"/>
    <w:link w:val="Heading6"/>
    <w:rsid w:val="001D2694"/>
    <w:rPr>
      <w:rFonts w:eastAsiaTheme="minorEastAsia"/>
      <w:i/>
      <w:smallCaps/>
      <w:color w:val="2F8361" w:themeColor="accent4"/>
      <w:spacing w:val="10"/>
      <w:sz w:val="20"/>
      <w:szCs w:val="20"/>
    </w:rPr>
  </w:style>
  <w:style w:type="paragraph" w:customStyle="1" w:styleId="BoxBullet">
    <w:name w:val="Box Bullet"/>
    <w:basedOn w:val="Normal"/>
    <w:link w:val="BoxBulletChar"/>
    <w:qFormat/>
    <w:rsid w:val="003702EE"/>
    <w:pPr>
      <w:numPr>
        <w:numId w:val="40"/>
      </w:numPr>
      <w:spacing w:before="40" w:after="40"/>
      <w:jc w:val="both"/>
    </w:pPr>
    <w:rPr>
      <w:rFonts w:cs="Times New Roman"/>
      <w:bdr w:val="none" w:sz="0" w:space="0" w:color="auto" w:frame="1"/>
      <w:lang w:eastAsia="en-AU"/>
    </w:rPr>
  </w:style>
  <w:style w:type="paragraph" w:customStyle="1" w:styleId="BoxDash">
    <w:name w:val="Box Dash"/>
    <w:basedOn w:val="Normal"/>
    <w:link w:val="BoxDashChar"/>
    <w:qFormat/>
    <w:rsid w:val="003702EE"/>
    <w:pPr>
      <w:numPr>
        <w:ilvl w:val="1"/>
        <w:numId w:val="40"/>
      </w:numPr>
      <w:spacing w:before="40" w:after="40"/>
      <w:jc w:val="both"/>
    </w:pPr>
    <w:rPr>
      <w:rFonts w:cs="Times New Roman"/>
      <w:bdr w:val="none" w:sz="0" w:space="0" w:color="auto" w:frame="1"/>
      <w:lang w:eastAsia="en-AU"/>
    </w:rPr>
  </w:style>
  <w:style w:type="paragraph" w:customStyle="1" w:styleId="BoxDoubleDot">
    <w:name w:val="Box Double Dot"/>
    <w:basedOn w:val="Normal"/>
    <w:rsid w:val="00AB575C"/>
    <w:pPr>
      <w:numPr>
        <w:ilvl w:val="2"/>
        <w:numId w:val="40"/>
      </w:numPr>
      <w:spacing w:before="0"/>
    </w:pPr>
  </w:style>
  <w:style w:type="paragraph" w:customStyle="1" w:styleId="BoxHeading">
    <w:name w:val="Box Heading"/>
    <w:basedOn w:val="Heading3"/>
    <w:next w:val="BoxText"/>
    <w:qFormat/>
    <w:rsid w:val="00BE05C3"/>
    <w:pPr>
      <w:numPr>
        <w:numId w:val="44"/>
      </w:numPr>
      <w:tabs>
        <w:tab w:val="left" w:pos="1134"/>
      </w:tabs>
      <w:spacing w:before="0" w:line="240" w:lineRule="auto"/>
      <w:ind w:left="851" w:hanging="851"/>
      <w:jc w:val="both"/>
    </w:pPr>
    <w:rPr>
      <w:rFonts w:asciiTheme="majorHAnsi" w:hAnsiTheme="majorHAnsi" w:cstheme="majorHAnsi"/>
      <w:szCs w:val="26"/>
      <w:lang w:eastAsia="en-AU"/>
    </w:rPr>
  </w:style>
  <w:style w:type="paragraph" w:customStyle="1" w:styleId="BoxText">
    <w:name w:val="Box Text"/>
    <w:qFormat/>
    <w:rsid w:val="00546F21"/>
    <w:rPr>
      <w:rFonts w:eastAsiaTheme="minorEastAsia" w:cstheme="minorHAnsi"/>
      <w:sz w:val="20"/>
      <w:szCs w:val="20"/>
      <w:lang w:eastAsia="en-AU"/>
    </w:rPr>
  </w:style>
  <w:style w:type="paragraph" w:customStyle="1" w:styleId="ChartMainHeading">
    <w:name w:val="Chart Main Heading"/>
    <w:basedOn w:val="Normal"/>
    <w:next w:val="Normal"/>
    <w:rsid w:val="00BE05C3"/>
    <w:pPr>
      <w:keepNext/>
      <w:numPr>
        <w:numId w:val="41"/>
      </w:numPr>
      <w:pBdr>
        <w:top w:val="dashed" w:sz="4" w:space="1" w:color="2F8361" w:themeColor="accent4"/>
      </w:pBdr>
      <w:tabs>
        <w:tab w:val="left" w:pos="1134"/>
      </w:tabs>
      <w:spacing w:before="120" w:after="0" w:line="240" w:lineRule="auto"/>
      <w:ind w:left="851" w:hanging="851"/>
      <w:outlineLvl w:val="8"/>
    </w:pPr>
    <w:rPr>
      <w:b/>
      <w:smallCaps/>
      <w:color w:val="246047" w:themeColor="background2" w:themeShade="80"/>
      <w:spacing w:val="15"/>
      <w:bdr w:val="none" w:sz="0" w:space="0" w:color="auto" w:frame="1"/>
    </w:rPr>
  </w:style>
  <w:style w:type="paragraph" w:customStyle="1" w:styleId="ChartorTableNote">
    <w:name w:val="Chart or Table Note"/>
    <w:next w:val="Normal"/>
    <w:rsid w:val="00AB575C"/>
    <w:pPr>
      <w:spacing w:before="100"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Normal"/>
    <w:rsid w:val="00AB575C"/>
    <w:rPr>
      <w:color w:val="277F98" w:themeColor="accent6"/>
    </w:rPr>
  </w:style>
  <w:style w:type="paragraph" w:customStyle="1" w:styleId="ReportDate">
    <w:name w:val="Report Date"/>
    <w:basedOn w:val="Subtitle"/>
    <w:link w:val="ReportDateChar"/>
    <w:rsid w:val="007E2CC2"/>
  </w:style>
  <w:style w:type="paragraph" w:customStyle="1" w:styleId="Dash">
    <w:name w:val="Dash"/>
    <w:basedOn w:val="Normal"/>
    <w:link w:val="DashChar"/>
    <w:qFormat/>
    <w:rsid w:val="00AB575C"/>
    <w:pPr>
      <w:tabs>
        <w:tab w:val="num" w:pos="567"/>
      </w:tabs>
      <w:spacing w:before="0"/>
      <w:ind w:left="567" w:hanging="284"/>
    </w:pPr>
  </w:style>
  <w:style w:type="paragraph" w:customStyle="1" w:styleId="DoubleDot">
    <w:name w:val="Double Dot"/>
    <w:basedOn w:val="Normal"/>
    <w:qFormat/>
    <w:rsid w:val="00AB575C"/>
    <w:pPr>
      <w:tabs>
        <w:tab w:val="num" w:pos="850"/>
      </w:tabs>
      <w:spacing w:before="0"/>
      <w:ind w:left="850" w:hanging="283"/>
    </w:pPr>
  </w:style>
  <w:style w:type="paragraph" w:customStyle="1" w:styleId="TableMainHeading">
    <w:name w:val="Table Main Heading"/>
    <w:basedOn w:val="Normal"/>
    <w:next w:val="Normal"/>
    <w:qFormat/>
    <w:rsid w:val="005A3388"/>
    <w:pPr>
      <w:keepNext/>
      <w:numPr>
        <w:numId w:val="43"/>
      </w:numPr>
      <w:pBdr>
        <w:top w:val="dashed" w:sz="4" w:space="1" w:color="2F8361" w:themeColor="accent4"/>
      </w:pBdr>
      <w:tabs>
        <w:tab w:val="left" w:pos="1134"/>
      </w:tabs>
      <w:spacing w:before="120" w:after="120" w:line="240" w:lineRule="auto"/>
      <w:ind w:left="357" w:hanging="357"/>
      <w:outlineLvl w:val="7"/>
    </w:pPr>
    <w:rPr>
      <w:b/>
      <w:smallCaps/>
      <w:color w:val="2F8361" w:themeColor="accent4"/>
      <w:spacing w:val="15"/>
      <w:bdr w:val="none" w:sz="0" w:space="0" w:color="auto" w:frame="1"/>
    </w:rPr>
  </w:style>
  <w:style w:type="paragraph" w:customStyle="1" w:styleId="FooterEven">
    <w:name w:val="Footer Even"/>
    <w:basedOn w:val="Footer"/>
    <w:rsid w:val="00CB064B"/>
    <w:pPr>
      <w:keepNext/>
      <w:tabs>
        <w:tab w:val="clear" w:pos="4513"/>
        <w:tab w:val="clear" w:pos="9026"/>
      </w:tabs>
      <w:jc w:val="left"/>
    </w:pPr>
    <w:rPr>
      <w:noProof/>
      <w:color w:val="2F8361" w:themeColor="accent4"/>
    </w:rPr>
  </w:style>
  <w:style w:type="paragraph" w:customStyle="1" w:styleId="FooterOdd">
    <w:name w:val="Footer Odd"/>
    <w:basedOn w:val="Footer"/>
    <w:rsid w:val="00285081"/>
    <w:pPr>
      <w:keepNext/>
      <w:tabs>
        <w:tab w:val="clear" w:pos="4513"/>
        <w:tab w:val="clear" w:pos="9026"/>
      </w:tabs>
      <w:jc w:val="right"/>
    </w:pPr>
    <w:rPr>
      <w:color w:val="2F8361" w:themeColor="accent4"/>
    </w:rPr>
  </w:style>
  <w:style w:type="character" w:styleId="Hyperlink">
    <w:name w:val="Hyperlink"/>
    <w:basedOn w:val="DefaultParagraphFont"/>
    <w:uiPriority w:val="99"/>
    <w:rsid w:val="00CB064B"/>
    <w:rPr>
      <w:color w:val="1E75BA" w:themeColor="accent2"/>
      <w:u w:val="none"/>
    </w:rPr>
  </w:style>
  <w:style w:type="paragraph" w:customStyle="1" w:styleId="OutlineNumbered1">
    <w:name w:val="Outline Numbered 1"/>
    <w:basedOn w:val="Normal"/>
    <w:rsid w:val="00AB575C"/>
    <w:pPr>
      <w:numPr>
        <w:numId w:val="35"/>
      </w:numPr>
      <w:spacing w:before="0"/>
    </w:pPr>
  </w:style>
  <w:style w:type="paragraph" w:customStyle="1" w:styleId="OneLevelNumberedParagraph">
    <w:name w:val="One Level Numbered Paragraph"/>
    <w:basedOn w:val="Normal"/>
    <w:rsid w:val="00AB575C"/>
    <w:pPr>
      <w:numPr>
        <w:numId w:val="31"/>
      </w:numPr>
      <w:spacing w:before="0"/>
    </w:pPr>
  </w:style>
  <w:style w:type="paragraph" w:customStyle="1" w:styleId="OutlineNumbered2">
    <w:name w:val="Outline Numbered 2"/>
    <w:basedOn w:val="Normal"/>
    <w:rsid w:val="00AB575C"/>
    <w:pPr>
      <w:numPr>
        <w:ilvl w:val="1"/>
        <w:numId w:val="35"/>
      </w:numPr>
      <w:spacing w:before="0"/>
    </w:pPr>
  </w:style>
  <w:style w:type="paragraph" w:customStyle="1" w:styleId="OutlineNumbered3">
    <w:name w:val="Outline Numbered 3"/>
    <w:basedOn w:val="Normal"/>
    <w:rsid w:val="00AB575C"/>
    <w:pPr>
      <w:numPr>
        <w:ilvl w:val="2"/>
        <w:numId w:val="35"/>
      </w:numPr>
      <w:spacing w:before="0"/>
    </w:pPr>
  </w:style>
  <w:style w:type="paragraph" w:customStyle="1" w:styleId="Romannumeral">
    <w:name w:val="Roman numeral"/>
    <w:basedOn w:val="Normal"/>
    <w:rsid w:val="00AB575C"/>
    <w:pPr>
      <w:numPr>
        <w:numId w:val="36"/>
      </w:numPr>
      <w:tabs>
        <w:tab w:val="clear" w:pos="720"/>
        <w:tab w:val="num" w:pos="851"/>
      </w:tabs>
      <w:spacing w:before="0"/>
    </w:pPr>
  </w:style>
  <w:style w:type="paragraph" w:customStyle="1" w:styleId="SingleParagraph">
    <w:name w:val="Single Paragraph"/>
    <w:basedOn w:val="Normal"/>
    <w:link w:val="SingleParagraphChar"/>
    <w:rsid w:val="00AB575C"/>
    <w:pPr>
      <w:spacing w:before="0" w:after="0"/>
    </w:pPr>
  </w:style>
  <w:style w:type="paragraph" w:customStyle="1" w:styleId="TableSecondHeading">
    <w:name w:val="Table Second Heading"/>
    <w:basedOn w:val="Normal"/>
    <w:next w:val="Normal"/>
    <w:qFormat/>
    <w:rsid w:val="00647BAF"/>
    <w:pPr>
      <w:keepNext/>
      <w:spacing w:before="40" w:after="40"/>
      <w:jc w:val="right"/>
    </w:pPr>
    <w:rPr>
      <w:rFonts w:cs="Times New Roman"/>
      <w:b/>
      <w:smallCaps/>
      <w:color w:val="236148" w:themeColor="accent4" w:themeShade="BF"/>
      <w:bdr w:val="none" w:sz="0" w:space="0" w:color="auto" w:frame="1"/>
      <w:lang w:eastAsia="en-AU"/>
    </w:rPr>
  </w:style>
  <w:style w:type="paragraph" w:customStyle="1" w:styleId="TableColumnHeadingCentred">
    <w:name w:val="Table Column Heading Centred"/>
    <w:basedOn w:val="TableTextLeft"/>
    <w:rsid w:val="00AB575C"/>
    <w:pPr>
      <w:jc w:val="center"/>
    </w:pPr>
    <w:rPr>
      <w:b/>
      <w:color w:val="004A7F"/>
    </w:rPr>
  </w:style>
  <w:style w:type="paragraph" w:customStyle="1" w:styleId="TableColumnHeadingLeft">
    <w:name w:val="Table Column Heading Left"/>
    <w:basedOn w:val="TableTextLeft"/>
    <w:rsid w:val="00AB575C"/>
    <w:rPr>
      <w:b/>
      <w:color w:val="004A7F"/>
    </w:rPr>
  </w:style>
  <w:style w:type="paragraph" w:customStyle="1" w:styleId="TableColumnHeadingRight">
    <w:name w:val="Table Column Heading Right"/>
    <w:basedOn w:val="TableTextLeft"/>
    <w:rsid w:val="00AB575C"/>
    <w:pPr>
      <w:jc w:val="right"/>
    </w:pPr>
    <w:rPr>
      <w:b/>
      <w:color w:val="004A7F"/>
    </w:rPr>
  </w:style>
  <w:style w:type="table" w:styleId="TableGrid">
    <w:name w:val="Table Grid"/>
    <w:basedOn w:val="TableNormal"/>
    <w:uiPriority w:val="39"/>
    <w:rsid w:val="00AB575C"/>
    <w:pPr>
      <w:spacing w:before="100" w:after="240" w:line="260" w:lineRule="exact"/>
      <w:jc w:val="both"/>
    </w:pPr>
    <w:rPr>
      <w:rFonts w:eastAsia="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AB575C"/>
    <w:pPr>
      <w:jc w:val="center"/>
    </w:pPr>
  </w:style>
  <w:style w:type="paragraph" w:customStyle="1" w:styleId="TableTextLeft">
    <w:name w:val="Table Text Left"/>
    <w:basedOn w:val="TableTextRight"/>
    <w:rsid w:val="00AB575C"/>
    <w:pPr>
      <w:jc w:val="left"/>
    </w:pPr>
    <w:rPr>
      <w:rFonts w:cs="Times New Roman"/>
      <w:bdr w:val="none" w:sz="0" w:space="0" w:color="auto" w:frame="1"/>
      <w:lang w:eastAsia="en-AU"/>
    </w:rPr>
  </w:style>
  <w:style w:type="paragraph" w:customStyle="1" w:styleId="TableTextRight">
    <w:name w:val="Table Text Right"/>
    <w:basedOn w:val="Normal"/>
    <w:rsid w:val="00AB575C"/>
    <w:pPr>
      <w:spacing w:before="40" w:after="40"/>
      <w:jc w:val="right"/>
    </w:pPr>
    <w:rPr>
      <w:color w:val="000000"/>
    </w:rPr>
  </w:style>
  <w:style w:type="paragraph" w:styleId="TOC1">
    <w:name w:val="toc 1"/>
    <w:basedOn w:val="Normal"/>
    <w:next w:val="Normal"/>
    <w:uiPriority w:val="39"/>
    <w:rsid w:val="00AB575C"/>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B575C"/>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B575C"/>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B575C"/>
    <w:pPr>
      <w:numPr>
        <w:numId w:val="12"/>
      </w:numPr>
    </w:pPr>
  </w:style>
  <w:style w:type="numbering" w:customStyle="1" w:styleId="BulletedList">
    <w:name w:val="Bulleted List"/>
    <w:uiPriority w:val="99"/>
    <w:rsid w:val="00AB575C"/>
    <w:pPr>
      <w:numPr>
        <w:numId w:val="4"/>
      </w:numPr>
    </w:pPr>
  </w:style>
  <w:style w:type="numbering" w:customStyle="1" w:styleId="BoxBulletedList">
    <w:name w:val="Box Bulleted List"/>
    <w:uiPriority w:val="99"/>
    <w:rsid w:val="00AB575C"/>
    <w:pPr>
      <w:numPr>
        <w:numId w:val="1"/>
      </w:numPr>
    </w:pPr>
  </w:style>
  <w:style w:type="numbering" w:customStyle="1" w:styleId="OneLevelList">
    <w:name w:val="OneLevelList"/>
    <w:uiPriority w:val="99"/>
    <w:rsid w:val="00AB575C"/>
    <w:pPr>
      <w:numPr>
        <w:numId w:val="11"/>
      </w:numPr>
    </w:pPr>
  </w:style>
  <w:style w:type="numbering" w:customStyle="1" w:styleId="ChartandTableFootnoteAlphaList">
    <w:name w:val="ChartandTableFootnoteAlphaList"/>
    <w:uiPriority w:val="99"/>
    <w:rsid w:val="00AB575C"/>
    <w:pPr>
      <w:numPr>
        <w:numId w:val="6"/>
      </w:numPr>
    </w:pPr>
  </w:style>
  <w:style w:type="paragraph" w:customStyle="1" w:styleId="Crest">
    <w:name w:val="Crest"/>
    <w:basedOn w:val="Header"/>
    <w:rsid w:val="00AB575C"/>
    <w:pPr>
      <w:spacing w:after="480"/>
      <w:jc w:val="center"/>
    </w:pPr>
    <w:rPr>
      <w:color w:val="000000" w:themeColor="text1"/>
    </w:rPr>
  </w:style>
  <w:style w:type="paragraph" w:customStyle="1" w:styleId="Heading1Numbered">
    <w:name w:val="Heading 1 Numbered"/>
    <w:basedOn w:val="Heading1"/>
    <w:next w:val="Normal"/>
    <w:rsid w:val="00AB575C"/>
    <w:pPr>
      <w:numPr>
        <w:numId w:val="27"/>
      </w:numPr>
    </w:pPr>
  </w:style>
  <w:style w:type="character" w:customStyle="1" w:styleId="SingleParagraphChar">
    <w:name w:val="Single Paragraph Char"/>
    <w:basedOn w:val="DefaultParagraphFont"/>
    <w:link w:val="SingleParagraph"/>
    <w:rsid w:val="00AB575C"/>
    <w:rPr>
      <w:rFonts w:eastAsiaTheme="minorEastAsia"/>
      <w:sz w:val="20"/>
      <w:szCs w:val="20"/>
    </w:rPr>
  </w:style>
  <w:style w:type="paragraph" w:customStyle="1" w:styleId="Heading2Numbered">
    <w:name w:val="Heading 2 Numbered"/>
    <w:basedOn w:val="Heading2"/>
    <w:next w:val="Normal"/>
    <w:rsid w:val="00AB575C"/>
    <w:pPr>
      <w:numPr>
        <w:ilvl w:val="1"/>
        <w:numId w:val="27"/>
      </w:numPr>
    </w:pPr>
  </w:style>
  <w:style w:type="paragraph" w:customStyle="1" w:styleId="Heading3Numbered">
    <w:name w:val="Heading 3 Numbered"/>
    <w:basedOn w:val="Heading3"/>
    <w:qFormat/>
    <w:rsid w:val="0077553F"/>
    <w:pPr>
      <w:numPr>
        <w:ilvl w:val="2"/>
        <w:numId w:val="27"/>
      </w:numPr>
      <w:ind w:left="0" w:firstLine="0"/>
    </w:pPr>
  </w:style>
  <w:style w:type="paragraph" w:styleId="Title">
    <w:name w:val="Title"/>
    <w:basedOn w:val="Normal"/>
    <w:next w:val="Normal"/>
    <w:link w:val="TitleChar"/>
    <w:uiPriority w:val="10"/>
    <w:qFormat/>
    <w:rsid w:val="00CB064B"/>
    <w:pPr>
      <w:spacing w:before="1800" w:after="0" w:line="240" w:lineRule="auto"/>
    </w:pPr>
    <w:rPr>
      <w:rFonts w:asciiTheme="majorHAnsi" w:eastAsiaTheme="majorEastAsia" w:hAnsiTheme="majorHAnsi" w:cstheme="majorBidi"/>
      <w:bCs/>
      <w:color w:val="FFFFFF" w:themeColor="background1"/>
      <w:sz w:val="64"/>
      <w:szCs w:val="64"/>
    </w:rPr>
  </w:style>
  <w:style w:type="character" w:customStyle="1" w:styleId="TitleChar">
    <w:name w:val="Title Char"/>
    <w:basedOn w:val="DefaultParagraphFont"/>
    <w:link w:val="Title"/>
    <w:uiPriority w:val="10"/>
    <w:rsid w:val="00CB064B"/>
    <w:rPr>
      <w:rFonts w:asciiTheme="majorHAnsi" w:eastAsiaTheme="majorEastAsia" w:hAnsiTheme="majorHAnsi" w:cstheme="majorBidi"/>
      <w:bCs/>
      <w:color w:val="FFFFFF" w:themeColor="background1"/>
      <w:sz w:val="64"/>
      <w:szCs w:val="64"/>
    </w:rPr>
  </w:style>
  <w:style w:type="paragraph" w:styleId="Subtitle">
    <w:name w:val="Subtitle"/>
    <w:basedOn w:val="Normal"/>
    <w:next w:val="Normal"/>
    <w:link w:val="SubtitleChar"/>
    <w:uiPriority w:val="11"/>
    <w:rsid w:val="007E2CC2"/>
    <w:pPr>
      <w:spacing w:before="600" w:after="240" w:line="240" w:lineRule="auto"/>
    </w:pPr>
    <w:rPr>
      <w:caps/>
      <w:color w:val="FFFFFF" w:themeColor="background1"/>
      <w:spacing w:val="10"/>
      <w:sz w:val="21"/>
      <w:szCs w:val="21"/>
    </w:rPr>
  </w:style>
  <w:style w:type="character" w:customStyle="1" w:styleId="SubtitleChar">
    <w:name w:val="Subtitle Char"/>
    <w:basedOn w:val="DefaultParagraphFont"/>
    <w:link w:val="Subtitle"/>
    <w:uiPriority w:val="11"/>
    <w:rsid w:val="007E2CC2"/>
    <w:rPr>
      <w:rFonts w:eastAsiaTheme="minorEastAsia"/>
      <w:caps/>
      <w:color w:val="FFFFFF" w:themeColor="background1"/>
      <w:spacing w:val="10"/>
      <w:sz w:val="21"/>
      <w:szCs w:val="21"/>
    </w:rPr>
  </w:style>
  <w:style w:type="character" w:styleId="SubtleEmphasis">
    <w:name w:val="Subtle Emphasis"/>
    <w:uiPriority w:val="19"/>
    <w:rsid w:val="00AB575C"/>
    <w:rPr>
      <w:i/>
      <w:iCs/>
      <w:color w:val="001523" w:themeColor="accent1" w:themeShade="7F"/>
    </w:rPr>
  </w:style>
  <w:style w:type="paragraph" w:styleId="Footer">
    <w:name w:val="footer"/>
    <w:basedOn w:val="Normal"/>
    <w:link w:val="FooterChar"/>
    <w:uiPriority w:val="99"/>
    <w:unhideWhenUsed/>
    <w:rsid w:val="00AB575C"/>
    <w:pPr>
      <w:tabs>
        <w:tab w:val="center" w:pos="4513"/>
        <w:tab w:val="right" w:pos="9026"/>
      </w:tabs>
      <w:spacing w:before="0" w:after="0"/>
      <w:jc w:val="center"/>
    </w:pPr>
    <w:rPr>
      <w:color w:val="002C47"/>
    </w:rPr>
  </w:style>
  <w:style w:type="character" w:customStyle="1" w:styleId="FooterChar">
    <w:name w:val="Footer Char"/>
    <w:basedOn w:val="DefaultParagraphFont"/>
    <w:link w:val="Footer"/>
    <w:uiPriority w:val="99"/>
    <w:rsid w:val="00AB575C"/>
    <w:rPr>
      <w:rFonts w:eastAsiaTheme="minorEastAsia"/>
      <w:color w:val="002C47"/>
      <w:sz w:val="20"/>
      <w:szCs w:val="20"/>
    </w:rPr>
  </w:style>
  <w:style w:type="paragraph" w:styleId="Header">
    <w:name w:val="header"/>
    <w:basedOn w:val="Normal"/>
    <w:link w:val="HeaderChar"/>
    <w:uiPriority w:val="99"/>
    <w:unhideWhenUsed/>
    <w:rsid w:val="00AB575C"/>
    <w:pPr>
      <w:keepNext/>
      <w:spacing w:before="0" w:after="0"/>
      <w:jc w:val="right"/>
    </w:pPr>
    <w:rPr>
      <w:color w:val="004A7F"/>
    </w:rPr>
  </w:style>
  <w:style w:type="character" w:customStyle="1" w:styleId="HeaderChar">
    <w:name w:val="Header Char"/>
    <w:basedOn w:val="DefaultParagraphFont"/>
    <w:link w:val="Header"/>
    <w:uiPriority w:val="99"/>
    <w:rsid w:val="00AB575C"/>
    <w:rPr>
      <w:rFonts w:eastAsiaTheme="minorEastAsia"/>
      <w:color w:val="004A7F"/>
      <w:sz w:val="20"/>
      <w:szCs w:val="20"/>
    </w:rPr>
  </w:style>
  <w:style w:type="character" w:styleId="PlaceholderText">
    <w:name w:val="Placeholder Text"/>
    <w:basedOn w:val="DefaultParagraphFont"/>
    <w:uiPriority w:val="99"/>
    <w:semiHidden/>
    <w:rsid w:val="00AB575C"/>
    <w:rPr>
      <w:color w:val="808080"/>
    </w:rPr>
  </w:style>
  <w:style w:type="paragraph" w:customStyle="1" w:styleId="HeadingBase">
    <w:name w:val="Heading Base"/>
    <w:rsid w:val="00D87306"/>
    <w:pPr>
      <w:keepNext/>
      <w:spacing w:before="100" w:after="120" w:line="240" w:lineRule="auto"/>
    </w:pPr>
    <w:rPr>
      <w:rFonts w:ascii="Calibri" w:eastAsia="Times New Roman" w:hAnsi="Calibri" w:cs="Arial"/>
      <w:bCs/>
      <w:color w:val="38AFCF" w:themeColor="text2"/>
      <w:kern w:val="32"/>
      <w:sz w:val="48"/>
      <w:szCs w:val="36"/>
      <w:lang w:eastAsia="en-AU"/>
    </w:rPr>
  </w:style>
  <w:style w:type="character" w:customStyle="1" w:styleId="ReportDateChar">
    <w:name w:val="Report Date Char"/>
    <w:basedOn w:val="DefaultParagraphFont"/>
    <w:link w:val="ReportDate"/>
    <w:rsid w:val="007E2CC2"/>
    <w:rPr>
      <w:rFonts w:eastAsiaTheme="minorEastAsia"/>
      <w:caps/>
      <w:color w:val="FFFFFF" w:themeColor="background1"/>
      <w:spacing w:val="10"/>
      <w:sz w:val="21"/>
      <w:szCs w:val="21"/>
    </w:rPr>
  </w:style>
  <w:style w:type="paragraph" w:customStyle="1" w:styleId="Disclaimer">
    <w:name w:val="Disclaimer"/>
    <w:basedOn w:val="ReportDate"/>
    <w:rsid w:val="00AB575C"/>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B575C"/>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B575C"/>
    <w:pPr>
      <w:spacing w:after="1800"/>
    </w:pPr>
    <w:rPr>
      <w:rFonts w:ascii="Rockwell" w:hAnsi="Rockwell"/>
      <w:sz w:val="24"/>
    </w:rPr>
  </w:style>
  <w:style w:type="character" w:customStyle="1" w:styleId="FramedFooter">
    <w:name w:val="Framed Footer"/>
    <w:rsid w:val="00AB575C"/>
    <w:rPr>
      <w:rFonts w:ascii="Arial" w:hAnsi="Arial"/>
      <w:color w:val="002C47"/>
      <w:sz w:val="18"/>
    </w:rPr>
  </w:style>
  <w:style w:type="character" w:customStyle="1" w:styleId="FramedHeader">
    <w:name w:val="Framed Header"/>
    <w:basedOn w:val="DefaultParagraphFont"/>
    <w:rsid w:val="00AB575C"/>
    <w:rPr>
      <w:rFonts w:ascii="Arial" w:hAnsi="Arial"/>
      <w:dstrike w:val="0"/>
      <w:color w:val="auto"/>
      <w:sz w:val="18"/>
      <w:vertAlign w:val="baseline"/>
    </w:rPr>
  </w:style>
  <w:style w:type="paragraph" w:customStyle="1" w:styleId="TableTextIndented">
    <w:name w:val="Table Text Indented"/>
    <w:basedOn w:val="TableTextLeft"/>
    <w:rsid w:val="00AB575C"/>
    <w:pPr>
      <w:ind w:left="284"/>
    </w:pPr>
  </w:style>
  <w:style w:type="paragraph" w:customStyle="1" w:styleId="TableHeadingContinued">
    <w:name w:val="Table Heading Continued"/>
    <w:basedOn w:val="TableMainHeading"/>
    <w:next w:val="TableGraphic"/>
    <w:rsid w:val="00AB575C"/>
    <w:pPr>
      <w:numPr>
        <w:numId w:val="38"/>
      </w:numPr>
    </w:pPr>
  </w:style>
  <w:style w:type="paragraph" w:customStyle="1" w:styleId="TableGraphic">
    <w:name w:val="Table Graphic"/>
    <w:basedOn w:val="HeadingBase"/>
    <w:next w:val="Normal"/>
    <w:rsid w:val="00AB575C"/>
    <w:pPr>
      <w:spacing w:after="0"/>
    </w:pPr>
    <w:rPr>
      <w:color w:val="auto"/>
      <w:sz w:val="22"/>
    </w:rPr>
  </w:style>
  <w:style w:type="paragraph" w:customStyle="1" w:styleId="HeaderEven">
    <w:name w:val="Header Even"/>
    <w:basedOn w:val="Header"/>
    <w:rsid w:val="00D87306"/>
    <w:pPr>
      <w:jc w:val="left"/>
    </w:pPr>
    <w:rPr>
      <w:color w:val="38AFCF" w:themeColor="text2"/>
    </w:rPr>
  </w:style>
  <w:style w:type="paragraph" w:customStyle="1" w:styleId="HeaderOdd">
    <w:name w:val="Header Odd"/>
    <w:basedOn w:val="Header"/>
    <w:rsid w:val="00CB064B"/>
    <w:rPr>
      <w:color w:val="2F8361" w:themeColor="accent4"/>
    </w:rPr>
  </w:style>
  <w:style w:type="paragraph" w:styleId="FootnoteText">
    <w:name w:val="footnote text"/>
    <w:basedOn w:val="CommentText"/>
    <w:link w:val="FootnoteTextChar"/>
    <w:uiPriority w:val="99"/>
    <w:rsid w:val="00AB575C"/>
    <w:pPr>
      <w:tabs>
        <w:tab w:val="left" w:pos="284"/>
      </w:tabs>
      <w:ind w:left="284" w:hanging="284"/>
    </w:pPr>
  </w:style>
  <w:style w:type="character" w:customStyle="1" w:styleId="FootnoteTextChar">
    <w:name w:val="Footnote Text Char"/>
    <w:basedOn w:val="DefaultParagraphFont"/>
    <w:link w:val="FootnoteText"/>
    <w:uiPriority w:val="99"/>
    <w:rsid w:val="00AB575C"/>
    <w:rPr>
      <w:rFonts w:eastAsiaTheme="minorEastAsia"/>
      <w:sz w:val="20"/>
      <w:szCs w:val="20"/>
    </w:rPr>
  </w:style>
  <w:style w:type="character" w:styleId="FootnoteReference">
    <w:name w:val="footnote reference"/>
    <w:basedOn w:val="DefaultParagraphFont"/>
    <w:uiPriority w:val="99"/>
    <w:rsid w:val="00AB575C"/>
    <w:rPr>
      <w:rFonts w:ascii="Calibri" w:hAnsi="Calibri"/>
      <w:sz w:val="20"/>
      <w:vertAlign w:val="superscript"/>
    </w:rPr>
  </w:style>
  <w:style w:type="paragraph" w:styleId="BalloonText">
    <w:name w:val="Balloon Text"/>
    <w:basedOn w:val="Normal"/>
    <w:link w:val="BalloonTextChar"/>
    <w:uiPriority w:val="99"/>
    <w:semiHidden/>
    <w:unhideWhenUsed/>
    <w:rsid w:val="00AB575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5C"/>
    <w:rPr>
      <w:rFonts w:ascii="Tahoma" w:eastAsiaTheme="minorEastAsia" w:hAnsi="Tahoma" w:cs="Tahoma"/>
      <w:sz w:val="16"/>
      <w:szCs w:val="16"/>
    </w:rPr>
  </w:style>
  <w:style w:type="paragraph" w:styleId="NoSpacing">
    <w:name w:val="No Spacing"/>
    <w:link w:val="NoSpacingChar"/>
    <w:uiPriority w:val="1"/>
    <w:rsid w:val="00AB575C"/>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B575C"/>
    <w:rPr>
      <w:rFonts w:eastAsiaTheme="minorEastAsia"/>
      <w:sz w:val="20"/>
      <w:szCs w:val="20"/>
    </w:rPr>
  </w:style>
  <w:style w:type="character" w:styleId="CommentReference">
    <w:name w:val="annotation reference"/>
    <w:basedOn w:val="DefaultParagraphFont"/>
    <w:uiPriority w:val="99"/>
    <w:semiHidden/>
    <w:unhideWhenUsed/>
    <w:rsid w:val="00AB575C"/>
    <w:rPr>
      <w:sz w:val="16"/>
      <w:szCs w:val="16"/>
    </w:rPr>
  </w:style>
  <w:style w:type="paragraph" w:styleId="CommentText">
    <w:name w:val="annotation text"/>
    <w:basedOn w:val="Normal"/>
    <w:link w:val="CommentTextChar"/>
    <w:uiPriority w:val="99"/>
    <w:unhideWhenUsed/>
    <w:rsid w:val="00AB575C"/>
  </w:style>
  <w:style w:type="character" w:customStyle="1" w:styleId="CommentTextChar">
    <w:name w:val="Comment Text Char"/>
    <w:basedOn w:val="DefaultParagraphFont"/>
    <w:link w:val="CommentText"/>
    <w:uiPriority w:val="99"/>
    <w:rsid w:val="00AB575C"/>
    <w:rPr>
      <w:rFonts w:eastAsiaTheme="minorEastAsia"/>
      <w:sz w:val="20"/>
      <w:szCs w:val="20"/>
    </w:rPr>
  </w:style>
  <w:style w:type="paragraph" w:customStyle="1" w:styleId="PreparedBy">
    <w:name w:val="PreparedBy"/>
    <w:basedOn w:val="Subtitle"/>
    <w:qFormat/>
    <w:rsid w:val="00AB575C"/>
  </w:style>
  <w:style w:type="character" w:styleId="BookTitle">
    <w:name w:val="Book Title"/>
    <w:uiPriority w:val="33"/>
    <w:rsid w:val="00AB575C"/>
    <w:rPr>
      <w:b/>
      <w:bCs/>
      <w:i/>
      <w:iCs/>
      <w:spacing w:val="0"/>
    </w:rPr>
  </w:style>
  <w:style w:type="paragraph" w:styleId="Caption">
    <w:name w:val="caption"/>
    <w:basedOn w:val="Normal"/>
    <w:next w:val="Normal"/>
    <w:uiPriority w:val="35"/>
    <w:semiHidden/>
    <w:unhideWhenUsed/>
    <w:qFormat/>
    <w:rsid w:val="00AB575C"/>
    <w:rPr>
      <w:b/>
      <w:bCs/>
      <w:color w:val="002035" w:themeColor="accent1" w:themeShade="BF"/>
      <w:sz w:val="16"/>
      <w:szCs w:val="16"/>
    </w:rPr>
  </w:style>
  <w:style w:type="paragraph" w:styleId="CommentSubject">
    <w:name w:val="annotation subject"/>
    <w:basedOn w:val="CommentText"/>
    <w:next w:val="CommentText"/>
    <w:link w:val="CommentSubjectChar"/>
    <w:uiPriority w:val="99"/>
    <w:semiHidden/>
    <w:unhideWhenUsed/>
    <w:rsid w:val="00AB575C"/>
    <w:rPr>
      <w:b/>
      <w:bCs/>
    </w:rPr>
  </w:style>
  <w:style w:type="character" w:customStyle="1" w:styleId="CommentSubjectChar">
    <w:name w:val="Comment Subject Char"/>
    <w:basedOn w:val="CommentTextChar"/>
    <w:link w:val="CommentSubject"/>
    <w:uiPriority w:val="99"/>
    <w:semiHidden/>
    <w:rsid w:val="00AB575C"/>
    <w:rPr>
      <w:rFonts w:eastAsiaTheme="minorEastAsia"/>
      <w:b/>
      <w:bCs/>
      <w:sz w:val="20"/>
      <w:szCs w:val="20"/>
    </w:rPr>
  </w:style>
  <w:style w:type="character" w:customStyle="1" w:styleId="DashChar">
    <w:name w:val="Dash Char"/>
    <w:basedOn w:val="DefaultParagraphFont"/>
    <w:link w:val="Dash"/>
    <w:locked/>
    <w:rsid w:val="00AB575C"/>
    <w:rPr>
      <w:rFonts w:eastAsiaTheme="minorEastAsia"/>
      <w:sz w:val="20"/>
      <w:szCs w:val="20"/>
    </w:rPr>
  </w:style>
  <w:style w:type="paragraph" w:customStyle="1" w:styleId="Default">
    <w:name w:val="Default"/>
    <w:rsid w:val="00AB575C"/>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character" w:styleId="Emphasis">
    <w:name w:val="Emphasis"/>
    <w:uiPriority w:val="20"/>
    <w:rsid w:val="00AB575C"/>
    <w:rPr>
      <w:caps/>
      <w:color w:val="001523" w:themeColor="accent1" w:themeShade="7F"/>
      <w:spacing w:val="5"/>
    </w:rPr>
  </w:style>
  <w:style w:type="character" w:customStyle="1" w:styleId="Heading7Char">
    <w:name w:val="Heading 7 Char"/>
    <w:basedOn w:val="DefaultParagraphFont"/>
    <w:link w:val="Heading7"/>
    <w:uiPriority w:val="9"/>
    <w:rsid w:val="00082516"/>
    <w:rPr>
      <w:rFonts w:eastAsiaTheme="minorEastAsia"/>
      <w:b/>
      <w:i/>
      <w:color w:val="2F8361" w:themeColor="accent4"/>
      <w:sz w:val="20"/>
      <w:szCs w:val="20"/>
    </w:rPr>
  </w:style>
  <w:style w:type="character" w:customStyle="1" w:styleId="Heading8Char">
    <w:name w:val="Heading 8 Char"/>
    <w:basedOn w:val="DefaultParagraphFont"/>
    <w:link w:val="Heading8"/>
    <w:uiPriority w:val="9"/>
    <w:rsid w:val="00BE492D"/>
    <w:rPr>
      <w:rFonts w:eastAsiaTheme="minorEastAsia"/>
      <w:b/>
      <w:smallCaps/>
      <w:color w:val="2F8361" w:themeColor="accent4"/>
      <w:spacing w:val="15"/>
      <w:sz w:val="20"/>
      <w:szCs w:val="20"/>
      <w:bdr w:val="none" w:sz="0" w:space="0" w:color="auto" w:frame="1"/>
    </w:rPr>
  </w:style>
  <w:style w:type="character" w:customStyle="1" w:styleId="Heading9Char">
    <w:name w:val="Heading 9 Char"/>
    <w:basedOn w:val="DefaultParagraphFont"/>
    <w:link w:val="Heading9"/>
    <w:uiPriority w:val="9"/>
    <w:rsid w:val="00C30B41"/>
    <w:rPr>
      <w:rFonts w:eastAsiaTheme="minorEastAsia"/>
      <w:b/>
      <w:smallCaps/>
      <w:color w:val="2F8361" w:themeColor="accent4"/>
      <w:spacing w:val="15"/>
      <w:sz w:val="20"/>
      <w:szCs w:val="20"/>
      <w:bdr w:val="none" w:sz="0" w:space="0" w:color="auto" w:frame="1"/>
    </w:rPr>
  </w:style>
  <w:style w:type="character" w:styleId="IntenseEmphasis">
    <w:name w:val="Intense Emphasis"/>
    <w:uiPriority w:val="21"/>
    <w:rsid w:val="009C4151"/>
    <w:rPr>
      <w:b/>
      <w:bCs/>
      <w:caps/>
      <w:color w:val="38AFCF" w:themeColor="text2"/>
      <w:spacing w:val="10"/>
    </w:rPr>
  </w:style>
  <w:style w:type="paragraph" w:styleId="IntenseQuote">
    <w:name w:val="Intense Quote"/>
    <w:basedOn w:val="Normal"/>
    <w:next w:val="Normal"/>
    <w:link w:val="IntenseQuoteChar"/>
    <w:uiPriority w:val="30"/>
    <w:rsid w:val="00AB575C"/>
    <w:pPr>
      <w:spacing w:before="240" w:after="240" w:line="240" w:lineRule="auto"/>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B575C"/>
    <w:rPr>
      <w:rFonts w:eastAsiaTheme="minorEastAsia"/>
      <w:color w:val="002C47" w:themeColor="accent1"/>
      <w:sz w:val="24"/>
      <w:szCs w:val="24"/>
    </w:rPr>
  </w:style>
  <w:style w:type="character" w:styleId="IntenseReference">
    <w:name w:val="Intense Reference"/>
    <w:uiPriority w:val="32"/>
    <w:rsid w:val="009C4151"/>
    <w:rPr>
      <w:b/>
      <w:bCs/>
      <w:i/>
      <w:iCs/>
      <w:caps/>
      <w:color w:val="38AFCF" w:themeColor="text2"/>
    </w:rPr>
  </w:style>
  <w:style w:type="paragraph" w:styleId="ListParagraph">
    <w:name w:val="List Paragraph"/>
    <w:basedOn w:val="Normal"/>
    <w:uiPriority w:val="34"/>
    <w:rsid w:val="00AB575C"/>
    <w:pPr>
      <w:ind w:left="720"/>
      <w:contextualSpacing/>
    </w:pPr>
  </w:style>
  <w:style w:type="paragraph" w:styleId="NormalWeb">
    <w:name w:val="Normal (Web)"/>
    <w:basedOn w:val="Normal"/>
    <w:uiPriority w:val="99"/>
    <w:unhideWhenUsed/>
    <w:rsid w:val="00AB575C"/>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B575C"/>
    <w:rPr>
      <w:i/>
      <w:iCs/>
      <w:sz w:val="24"/>
      <w:szCs w:val="24"/>
    </w:rPr>
  </w:style>
  <w:style w:type="character" w:customStyle="1" w:styleId="QuoteChar">
    <w:name w:val="Quote Char"/>
    <w:basedOn w:val="DefaultParagraphFont"/>
    <w:link w:val="Quote"/>
    <w:uiPriority w:val="29"/>
    <w:rsid w:val="00AB575C"/>
    <w:rPr>
      <w:rFonts w:eastAsiaTheme="minorEastAsia"/>
      <w:i/>
      <w:iCs/>
      <w:sz w:val="24"/>
      <w:szCs w:val="24"/>
    </w:rPr>
  </w:style>
  <w:style w:type="character" w:styleId="Strong">
    <w:name w:val="Strong"/>
    <w:uiPriority w:val="22"/>
    <w:rsid w:val="009C4151"/>
    <w:rPr>
      <w:b/>
      <w:bCs/>
      <w:color w:val="38AFCF" w:themeColor="text2"/>
    </w:rPr>
  </w:style>
  <w:style w:type="character" w:styleId="SubtleReference">
    <w:name w:val="Subtle Reference"/>
    <w:uiPriority w:val="31"/>
    <w:rsid w:val="009C4151"/>
    <w:rPr>
      <w:b/>
      <w:bCs/>
      <w:color w:val="38AFCF" w:themeColor="text2"/>
    </w:rPr>
  </w:style>
  <w:style w:type="paragraph" w:styleId="TOCHeading">
    <w:name w:val="TOC Heading"/>
    <w:basedOn w:val="Heading1"/>
    <w:next w:val="Normal"/>
    <w:uiPriority w:val="39"/>
    <w:semiHidden/>
    <w:unhideWhenUsed/>
    <w:qFormat/>
    <w:rsid w:val="00AB575C"/>
    <w:pPr>
      <w:outlineLvl w:val="9"/>
    </w:pPr>
  </w:style>
  <w:style w:type="character" w:customStyle="1" w:styleId="value">
    <w:name w:val="value"/>
    <w:basedOn w:val="DefaultParagraphFont"/>
    <w:rsid w:val="00AB575C"/>
  </w:style>
  <w:style w:type="paragraph" w:styleId="BodyText">
    <w:name w:val="Body Text"/>
    <w:basedOn w:val="Normal"/>
    <w:link w:val="BodyTextChar"/>
    <w:uiPriority w:val="99"/>
    <w:semiHidden/>
    <w:unhideWhenUsed/>
    <w:rsid w:val="00AB575C"/>
    <w:pPr>
      <w:spacing w:after="120"/>
    </w:pPr>
  </w:style>
  <w:style w:type="character" w:customStyle="1" w:styleId="BodyTextChar">
    <w:name w:val="Body Text Char"/>
    <w:basedOn w:val="DefaultParagraphFont"/>
    <w:link w:val="BodyText"/>
    <w:uiPriority w:val="99"/>
    <w:semiHidden/>
    <w:rsid w:val="00AB575C"/>
    <w:rPr>
      <w:rFonts w:eastAsiaTheme="minorEastAsia"/>
      <w:sz w:val="20"/>
      <w:szCs w:val="20"/>
    </w:rPr>
  </w:style>
  <w:style w:type="character" w:customStyle="1" w:styleId="BoxBulletChar">
    <w:name w:val="Box Bullet Char"/>
    <w:basedOn w:val="DefaultParagraphFont"/>
    <w:link w:val="BoxBullet"/>
    <w:rsid w:val="00AB575C"/>
    <w:rPr>
      <w:rFonts w:eastAsiaTheme="minorEastAsia" w:cs="Times New Roman"/>
      <w:sz w:val="20"/>
      <w:szCs w:val="20"/>
      <w:bdr w:val="none" w:sz="0" w:space="0" w:color="auto" w:frame="1"/>
      <w:lang w:eastAsia="en-AU"/>
    </w:rPr>
  </w:style>
  <w:style w:type="character" w:customStyle="1" w:styleId="BoxDashChar">
    <w:name w:val="Box Dash Char"/>
    <w:basedOn w:val="DefaultParagraphFont"/>
    <w:link w:val="BoxDash"/>
    <w:rsid w:val="00AB575C"/>
    <w:rPr>
      <w:rFonts w:eastAsiaTheme="minorEastAsia" w:cs="Times New Roman"/>
      <w:sz w:val="20"/>
      <w:szCs w:val="20"/>
      <w:bdr w:val="none" w:sz="0" w:space="0" w:color="auto" w:frame="1"/>
      <w:lang w:eastAsia="en-AU"/>
    </w:rPr>
  </w:style>
  <w:style w:type="paragraph" w:customStyle="1" w:styleId="Source">
    <w:name w:val="Source"/>
    <w:basedOn w:val="Dash"/>
    <w:link w:val="SourceChar"/>
    <w:qFormat/>
    <w:rsid w:val="00035E5B"/>
    <w:pPr>
      <w:pBdr>
        <w:bottom w:val="dashed" w:sz="4" w:space="1" w:color="2F8361" w:themeColor="accent4"/>
      </w:pBdr>
      <w:tabs>
        <w:tab w:val="clear" w:pos="567"/>
        <w:tab w:val="left" w:pos="0"/>
      </w:tabs>
      <w:spacing w:before="40" w:line="240" w:lineRule="auto"/>
      <w:ind w:left="0" w:firstLine="0"/>
    </w:pPr>
    <w:rPr>
      <w:sz w:val="18"/>
      <w:bdr w:val="none" w:sz="0" w:space="0" w:color="auto" w:frame="1"/>
    </w:rPr>
  </w:style>
  <w:style w:type="character" w:customStyle="1" w:styleId="SourceChar">
    <w:name w:val="Source Char"/>
    <w:basedOn w:val="DashChar"/>
    <w:link w:val="Source"/>
    <w:rsid w:val="00035E5B"/>
    <w:rPr>
      <w:rFonts w:eastAsiaTheme="minorEastAsia"/>
      <w:sz w:val="18"/>
      <w:szCs w:val="20"/>
      <w:bdr w:val="none" w:sz="0" w:space="0" w:color="auto" w:frame="1"/>
    </w:rPr>
  </w:style>
  <w:style w:type="paragraph" w:customStyle="1" w:styleId="Tabledash">
    <w:name w:val="Table dash"/>
    <w:basedOn w:val="BoxDash"/>
    <w:link w:val="TabledashChar"/>
    <w:rsid w:val="00AB575C"/>
    <w:pPr>
      <w:tabs>
        <w:tab w:val="clear" w:pos="567"/>
        <w:tab w:val="num" w:pos="283"/>
      </w:tabs>
      <w:ind w:left="568" w:hanging="283"/>
    </w:pPr>
  </w:style>
  <w:style w:type="character" w:customStyle="1" w:styleId="TabledashChar">
    <w:name w:val="Table dash Char"/>
    <w:basedOn w:val="BoxDashChar"/>
    <w:link w:val="Tabledash"/>
    <w:rsid w:val="00AB575C"/>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rsid w:val="00AB575C"/>
    <w:pPr>
      <w:numPr>
        <w:numId w:val="0"/>
      </w:numPr>
    </w:pPr>
  </w:style>
  <w:style w:type="character" w:customStyle="1" w:styleId="TabledotChar">
    <w:name w:val="Table dot Char"/>
    <w:basedOn w:val="BoxBulletChar"/>
    <w:link w:val="Tabledot"/>
    <w:rsid w:val="00AB575C"/>
    <w:rPr>
      <w:rFonts w:eastAsiaTheme="minorEastAsia" w:cs="Times New Roman"/>
      <w:sz w:val="20"/>
      <w:szCs w:val="20"/>
      <w:bdr w:val="none" w:sz="0" w:space="0" w:color="auto" w:frame="1"/>
      <w:lang w:eastAsia="en-AU"/>
    </w:rPr>
  </w:style>
  <w:style w:type="paragraph" w:customStyle="1" w:styleId="Normalbullet">
    <w:name w:val="Normal bullet"/>
    <w:basedOn w:val="Normal"/>
    <w:link w:val="NormalbulletChar"/>
    <w:qFormat/>
    <w:rsid w:val="00A11B48"/>
    <w:pPr>
      <w:numPr>
        <w:numId w:val="4"/>
      </w:numPr>
      <w:spacing w:before="0"/>
    </w:pPr>
  </w:style>
  <w:style w:type="paragraph" w:customStyle="1" w:styleId="Normaldash">
    <w:name w:val="Normal dash"/>
    <w:basedOn w:val="Normal"/>
    <w:link w:val="NormaldashChar"/>
    <w:qFormat/>
    <w:rsid w:val="00A11B48"/>
    <w:pPr>
      <w:numPr>
        <w:ilvl w:val="1"/>
        <w:numId w:val="4"/>
      </w:numPr>
      <w:spacing w:before="0"/>
    </w:pPr>
  </w:style>
  <w:style w:type="paragraph" w:customStyle="1" w:styleId="Normaldoubledot">
    <w:name w:val="Normal double dot"/>
    <w:basedOn w:val="Normal"/>
    <w:qFormat/>
    <w:rsid w:val="00A11B48"/>
    <w:pPr>
      <w:numPr>
        <w:ilvl w:val="2"/>
        <w:numId w:val="4"/>
      </w:numPr>
      <w:spacing w:before="0"/>
    </w:pPr>
  </w:style>
  <w:style w:type="character" w:customStyle="1" w:styleId="NormalbulletChar">
    <w:name w:val="Normal bullet Char"/>
    <w:basedOn w:val="DefaultParagraphFont"/>
    <w:link w:val="Normalbullet"/>
    <w:locked/>
    <w:rsid w:val="00A11B48"/>
    <w:rPr>
      <w:rFonts w:eastAsiaTheme="minorEastAsia"/>
      <w:sz w:val="20"/>
      <w:szCs w:val="20"/>
    </w:rPr>
  </w:style>
  <w:style w:type="character" w:customStyle="1" w:styleId="NormaldashChar">
    <w:name w:val="Normal dash Char"/>
    <w:basedOn w:val="DefaultParagraphFont"/>
    <w:link w:val="Normaldash"/>
    <w:locked/>
    <w:rsid w:val="00A11B48"/>
    <w:rPr>
      <w:rFonts w:eastAsiaTheme="minorEastAsia"/>
      <w:sz w:val="20"/>
      <w:szCs w:val="20"/>
    </w:rPr>
  </w:style>
  <w:style w:type="table" w:customStyle="1" w:styleId="CPOPTable">
    <w:name w:val="CPOP Table"/>
    <w:basedOn w:val="TableNormal"/>
    <w:uiPriority w:val="99"/>
    <w:rsid w:val="00FE0685"/>
    <w:pPr>
      <w:spacing w:after="0" w:line="240" w:lineRule="auto"/>
    </w:pPr>
    <w:tblPr>
      <w:tblBorders>
        <w:bottom w:val="single" w:sz="8" w:space="0" w:color="000000" w:themeColor="text1"/>
      </w:tblBorders>
    </w:tblPr>
    <w:tcPr>
      <w:shd w:val="clear" w:color="auto" w:fill="auto"/>
    </w:tcPr>
    <w:tblStylePr w:type="fir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lastRow">
      <w:tblPr/>
      <w:tcPr>
        <w:tcBorders>
          <w:bottom w:val="nil"/>
        </w:tcBorders>
      </w:tcPr>
    </w:tblStylePr>
  </w:style>
  <w:style w:type="character" w:styleId="UnresolvedMention">
    <w:name w:val="Unresolved Mention"/>
    <w:basedOn w:val="DefaultParagraphFont"/>
    <w:uiPriority w:val="99"/>
    <w:semiHidden/>
    <w:unhideWhenUsed/>
    <w:rsid w:val="00481986"/>
    <w:rPr>
      <w:color w:val="605E5C"/>
      <w:shd w:val="clear" w:color="auto" w:fill="E1DFDD"/>
    </w:rPr>
  </w:style>
  <w:style w:type="paragraph" w:styleId="Revision">
    <w:name w:val="Revision"/>
    <w:hidden/>
    <w:uiPriority w:val="99"/>
    <w:semiHidden/>
    <w:rsid w:val="00D918DD"/>
    <w:pPr>
      <w:spacing w:after="0" w:line="240" w:lineRule="auto"/>
    </w:pPr>
    <w:rPr>
      <w:rFonts w:eastAsiaTheme="minorEastAsia"/>
      <w:sz w:val="20"/>
      <w:szCs w:val="20"/>
    </w:rPr>
  </w:style>
  <w:style w:type="character" w:styleId="Mention">
    <w:name w:val="Mention"/>
    <w:basedOn w:val="DefaultParagraphFont"/>
    <w:uiPriority w:val="99"/>
    <w:unhideWhenUsed/>
    <w:rsid w:val="006B3110"/>
    <w:rPr>
      <w:color w:val="2B579A"/>
      <w:shd w:val="clear" w:color="auto" w:fill="E6E6E6"/>
    </w:rPr>
  </w:style>
  <w:style w:type="character" w:styleId="FollowedHyperlink">
    <w:name w:val="FollowedHyperlink"/>
    <w:basedOn w:val="DefaultParagraphFont"/>
    <w:uiPriority w:val="99"/>
    <w:semiHidden/>
    <w:unhideWhenUsed/>
    <w:rsid w:val="008E1511"/>
    <w:rPr>
      <w:color w:val="954F72" w:themeColor="followedHyperlink"/>
      <w:u w:val="single"/>
    </w:rPr>
  </w:style>
  <w:style w:type="paragraph" w:customStyle="1" w:styleId="ChartheadingArial8pt">
    <w:name w:val="Chart heading Arial 8pt"/>
    <w:rsid w:val="000D7F2B"/>
    <w:rPr>
      <w:rFonts w:ascii="Arial" w:eastAsiaTheme="minorEastAsia" w:hAnsi="Arial" w:cs="Arial"/>
      <w:b/>
      <w:bCs/>
      <w:sz w:val="16"/>
      <w:szCs w:val="16"/>
      <w:bdr w:val="none" w:sz="0" w:space="0" w:color="auto" w:frame="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973">
      <w:bodyDiv w:val="1"/>
      <w:marLeft w:val="0"/>
      <w:marRight w:val="0"/>
      <w:marTop w:val="0"/>
      <w:marBottom w:val="0"/>
      <w:divBdr>
        <w:top w:val="none" w:sz="0" w:space="0" w:color="auto"/>
        <w:left w:val="none" w:sz="0" w:space="0" w:color="auto"/>
        <w:bottom w:val="none" w:sz="0" w:space="0" w:color="auto"/>
        <w:right w:val="none" w:sz="0" w:space="0" w:color="auto"/>
      </w:divBdr>
    </w:div>
    <w:div w:id="121272138">
      <w:bodyDiv w:val="1"/>
      <w:marLeft w:val="0"/>
      <w:marRight w:val="0"/>
      <w:marTop w:val="0"/>
      <w:marBottom w:val="0"/>
      <w:divBdr>
        <w:top w:val="none" w:sz="0" w:space="0" w:color="auto"/>
        <w:left w:val="none" w:sz="0" w:space="0" w:color="auto"/>
        <w:bottom w:val="none" w:sz="0" w:space="0" w:color="auto"/>
        <w:right w:val="none" w:sz="0" w:space="0" w:color="auto"/>
      </w:divBdr>
    </w:div>
    <w:div w:id="300425760">
      <w:bodyDiv w:val="1"/>
      <w:marLeft w:val="0"/>
      <w:marRight w:val="0"/>
      <w:marTop w:val="0"/>
      <w:marBottom w:val="0"/>
      <w:divBdr>
        <w:top w:val="none" w:sz="0" w:space="0" w:color="auto"/>
        <w:left w:val="none" w:sz="0" w:space="0" w:color="auto"/>
        <w:bottom w:val="none" w:sz="0" w:space="0" w:color="auto"/>
        <w:right w:val="none" w:sz="0" w:space="0" w:color="auto"/>
      </w:divBdr>
    </w:div>
    <w:div w:id="313605677">
      <w:bodyDiv w:val="1"/>
      <w:marLeft w:val="0"/>
      <w:marRight w:val="0"/>
      <w:marTop w:val="0"/>
      <w:marBottom w:val="0"/>
      <w:divBdr>
        <w:top w:val="none" w:sz="0" w:space="0" w:color="auto"/>
        <w:left w:val="none" w:sz="0" w:space="0" w:color="auto"/>
        <w:bottom w:val="none" w:sz="0" w:space="0" w:color="auto"/>
        <w:right w:val="none" w:sz="0" w:space="0" w:color="auto"/>
      </w:divBdr>
    </w:div>
    <w:div w:id="448166634">
      <w:bodyDiv w:val="1"/>
      <w:marLeft w:val="0"/>
      <w:marRight w:val="0"/>
      <w:marTop w:val="0"/>
      <w:marBottom w:val="0"/>
      <w:divBdr>
        <w:top w:val="none" w:sz="0" w:space="0" w:color="auto"/>
        <w:left w:val="none" w:sz="0" w:space="0" w:color="auto"/>
        <w:bottom w:val="none" w:sz="0" w:space="0" w:color="auto"/>
        <w:right w:val="none" w:sz="0" w:space="0" w:color="auto"/>
      </w:divBdr>
      <w:divsChild>
        <w:div w:id="369917057">
          <w:marLeft w:val="274"/>
          <w:marRight w:val="0"/>
          <w:marTop w:val="0"/>
          <w:marBottom w:val="240"/>
          <w:divBdr>
            <w:top w:val="none" w:sz="0" w:space="0" w:color="auto"/>
            <w:left w:val="none" w:sz="0" w:space="0" w:color="auto"/>
            <w:bottom w:val="none" w:sz="0" w:space="0" w:color="auto"/>
            <w:right w:val="none" w:sz="0" w:space="0" w:color="auto"/>
          </w:divBdr>
        </w:div>
        <w:div w:id="446242052">
          <w:marLeft w:val="274"/>
          <w:marRight w:val="0"/>
          <w:marTop w:val="0"/>
          <w:marBottom w:val="240"/>
          <w:divBdr>
            <w:top w:val="none" w:sz="0" w:space="0" w:color="auto"/>
            <w:left w:val="none" w:sz="0" w:space="0" w:color="auto"/>
            <w:bottom w:val="none" w:sz="0" w:space="0" w:color="auto"/>
            <w:right w:val="none" w:sz="0" w:space="0" w:color="auto"/>
          </w:divBdr>
        </w:div>
        <w:div w:id="2097506869">
          <w:marLeft w:val="274"/>
          <w:marRight w:val="0"/>
          <w:marTop w:val="0"/>
          <w:marBottom w:val="240"/>
          <w:divBdr>
            <w:top w:val="none" w:sz="0" w:space="0" w:color="auto"/>
            <w:left w:val="none" w:sz="0" w:space="0" w:color="auto"/>
            <w:bottom w:val="none" w:sz="0" w:space="0" w:color="auto"/>
            <w:right w:val="none" w:sz="0" w:space="0" w:color="auto"/>
          </w:divBdr>
        </w:div>
      </w:divsChild>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4345262">
      <w:bodyDiv w:val="1"/>
      <w:marLeft w:val="0"/>
      <w:marRight w:val="0"/>
      <w:marTop w:val="0"/>
      <w:marBottom w:val="0"/>
      <w:divBdr>
        <w:top w:val="none" w:sz="0" w:space="0" w:color="auto"/>
        <w:left w:val="none" w:sz="0" w:space="0" w:color="auto"/>
        <w:bottom w:val="none" w:sz="0" w:space="0" w:color="auto"/>
        <w:right w:val="none" w:sz="0" w:space="0" w:color="auto"/>
      </w:divBdr>
    </w:div>
    <w:div w:id="527524928">
      <w:bodyDiv w:val="1"/>
      <w:marLeft w:val="0"/>
      <w:marRight w:val="0"/>
      <w:marTop w:val="0"/>
      <w:marBottom w:val="0"/>
      <w:divBdr>
        <w:top w:val="none" w:sz="0" w:space="0" w:color="auto"/>
        <w:left w:val="none" w:sz="0" w:space="0" w:color="auto"/>
        <w:bottom w:val="none" w:sz="0" w:space="0" w:color="auto"/>
        <w:right w:val="none" w:sz="0" w:space="0" w:color="auto"/>
      </w:divBdr>
    </w:div>
    <w:div w:id="581447378">
      <w:bodyDiv w:val="1"/>
      <w:marLeft w:val="0"/>
      <w:marRight w:val="0"/>
      <w:marTop w:val="0"/>
      <w:marBottom w:val="0"/>
      <w:divBdr>
        <w:top w:val="none" w:sz="0" w:space="0" w:color="auto"/>
        <w:left w:val="none" w:sz="0" w:space="0" w:color="auto"/>
        <w:bottom w:val="none" w:sz="0" w:space="0" w:color="auto"/>
        <w:right w:val="none" w:sz="0" w:space="0" w:color="auto"/>
      </w:divBdr>
    </w:div>
    <w:div w:id="636374058">
      <w:bodyDiv w:val="1"/>
      <w:marLeft w:val="0"/>
      <w:marRight w:val="0"/>
      <w:marTop w:val="0"/>
      <w:marBottom w:val="0"/>
      <w:divBdr>
        <w:top w:val="none" w:sz="0" w:space="0" w:color="auto"/>
        <w:left w:val="none" w:sz="0" w:space="0" w:color="auto"/>
        <w:bottom w:val="none" w:sz="0" w:space="0" w:color="auto"/>
        <w:right w:val="none" w:sz="0" w:space="0" w:color="auto"/>
      </w:divBdr>
    </w:div>
    <w:div w:id="783384341">
      <w:bodyDiv w:val="1"/>
      <w:marLeft w:val="0"/>
      <w:marRight w:val="0"/>
      <w:marTop w:val="0"/>
      <w:marBottom w:val="0"/>
      <w:divBdr>
        <w:top w:val="none" w:sz="0" w:space="0" w:color="auto"/>
        <w:left w:val="none" w:sz="0" w:space="0" w:color="auto"/>
        <w:bottom w:val="none" w:sz="0" w:space="0" w:color="auto"/>
        <w:right w:val="none" w:sz="0" w:space="0" w:color="auto"/>
      </w:divBdr>
    </w:div>
    <w:div w:id="794561717">
      <w:bodyDiv w:val="1"/>
      <w:marLeft w:val="0"/>
      <w:marRight w:val="0"/>
      <w:marTop w:val="0"/>
      <w:marBottom w:val="0"/>
      <w:divBdr>
        <w:top w:val="none" w:sz="0" w:space="0" w:color="auto"/>
        <w:left w:val="none" w:sz="0" w:space="0" w:color="auto"/>
        <w:bottom w:val="none" w:sz="0" w:space="0" w:color="auto"/>
        <w:right w:val="none" w:sz="0" w:space="0" w:color="auto"/>
      </w:divBdr>
    </w:div>
    <w:div w:id="998506794">
      <w:bodyDiv w:val="1"/>
      <w:marLeft w:val="0"/>
      <w:marRight w:val="0"/>
      <w:marTop w:val="0"/>
      <w:marBottom w:val="0"/>
      <w:divBdr>
        <w:top w:val="none" w:sz="0" w:space="0" w:color="auto"/>
        <w:left w:val="none" w:sz="0" w:space="0" w:color="auto"/>
        <w:bottom w:val="none" w:sz="0" w:space="0" w:color="auto"/>
        <w:right w:val="none" w:sz="0" w:space="0" w:color="auto"/>
      </w:divBdr>
      <w:divsChild>
        <w:div w:id="269943486">
          <w:marLeft w:val="274"/>
          <w:marRight w:val="0"/>
          <w:marTop w:val="0"/>
          <w:marBottom w:val="0"/>
          <w:divBdr>
            <w:top w:val="none" w:sz="0" w:space="0" w:color="auto"/>
            <w:left w:val="none" w:sz="0" w:space="0" w:color="auto"/>
            <w:bottom w:val="none" w:sz="0" w:space="0" w:color="auto"/>
            <w:right w:val="none" w:sz="0" w:space="0" w:color="auto"/>
          </w:divBdr>
        </w:div>
        <w:div w:id="332607545">
          <w:marLeft w:val="274"/>
          <w:marRight w:val="0"/>
          <w:marTop w:val="0"/>
          <w:marBottom w:val="0"/>
          <w:divBdr>
            <w:top w:val="none" w:sz="0" w:space="0" w:color="auto"/>
            <w:left w:val="none" w:sz="0" w:space="0" w:color="auto"/>
            <w:bottom w:val="none" w:sz="0" w:space="0" w:color="auto"/>
            <w:right w:val="none" w:sz="0" w:space="0" w:color="auto"/>
          </w:divBdr>
        </w:div>
        <w:div w:id="468279146">
          <w:marLeft w:val="274"/>
          <w:marRight w:val="0"/>
          <w:marTop w:val="0"/>
          <w:marBottom w:val="0"/>
          <w:divBdr>
            <w:top w:val="none" w:sz="0" w:space="0" w:color="auto"/>
            <w:left w:val="none" w:sz="0" w:space="0" w:color="auto"/>
            <w:bottom w:val="none" w:sz="0" w:space="0" w:color="auto"/>
            <w:right w:val="none" w:sz="0" w:space="0" w:color="auto"/>
          </w:divBdr>
        </w:div>
        <w:div w:id="811098581">
          <w:marLeft w:val="274"/>
          <w:marRight w:val="0"/>
          <w:marTop w:val="0"/>
          <w:marBottom w:val="0"/>
          <w:divBdr>
            <w:top w:val="none" w:sz="0" w:space="0" w:color="auto"/>
            <w:left w:val="none" w:sz="0" w:space="0" w:color="auto"/>
            <w:bottom w:val="none" w:sz="0" w:space="0" w:color="auto"/>
            <w:right w:val="none" w:sz="0" w:space="0" w:color="auto"/>
          </w:divBdr>
        </w:div>
        <w:div w:id="1343163212">
          <w:marLeft w:val="274"/>
          <w:marRight w:val="0"/>
          <w:marTop w:val="0"/>
          <w:marBottom w:val="0"/>
          <w:divBdr>
            <w:top w:val="none" w:sz="0" w:space="0" w:color="auto"/>
            <w:left w:val="none" w:sz="0" w:space="0" w:color="auto"/>
            <w:bottom w:val="none" w:sz="0" w:space="0" w:color="auto"/>
            <w:right w:val="none" w:sz="0" w:space="0" w:color="auto"/>
          </w:divBdr>
        </w:div>
      </w:divsChild>
    </w:div>
    <w:div w:id="1036849456">
      <w:bodyDiv w:val="1"/>
      <w:marLeft w:val="0"/>
      <w:marRight w:val="0"/>
      <w:marTop w:val="0"/>
      <w:marBottom w:val="0"/>
      <w:divBdr>
        <w:top w:val="none" w:sz="0" w:space="0" w:color="auto"/>
        <w:left w:val="none" w:sz="0" w:space="0" w:color="auto"/>
        <w:bottom w:val="none" w:sz="0" w:space="0" w:color="auto"/>
        <w:right w:val="none" w:sz="0" w:space="0" w:color="auto"/>
      </w:divBdr>
    </w:div>
    <w:div w:id="1460296154">
      <w:bodyDiv w:val="1"/>
      <w:marLeft w:val="0"/>
      <w:marRight w:val="0"/>
      <w:marTop w:val="0"/>
      <w:marBottom w:val="0"/>
      <w:divBdr>
        <w:top w:val="none" w:sz="0" w:space="0" w:color="auto"/>
        <w:left w:val="none" w:sz="0" w:space="0" w:color="auto"/>
        <w:bottom w:val="none" w:sz="0" w:space="0" w:color="auto"/>
        <w:right w:val="none" w:sz="0" w:space="0" w:color="auto"/>
      </w:divBdr>
    </w:div>
    <w:div w:id="1513378587">
      <w:bodyDiv w:val="1"/>
      <w:marLeft w:val="0"/>
      <w:marRight w:val="0"/>
      <w:marTop w:val="0"/>
      <w:marBottom w:val="0"/>
      <w:divBdr>
        <w:top w:val="none" w:sz="0" w:space="0" w:color="auto"/>
        <w:left w:val="none" w:sz="0" w:space="0" w:color="auto"/>
        <w:bottom w:val="none" w:sz="0" w:space="0" w:color="auto"/>
        <w:right w:val="none" w:sz="0" w:space="0" w:color="auto"/>
      </w:divBdr>
    </w:div>
    <w:div w:id="1776561104">
      <w:bodyDiv w:val="1"/>
      <w:marLeft w:val="0"/>
      <w:marRight w:val="0"/>
      <w:marTop w:val="0"/>
      <w:marBottom w:val="0"/>
      <w:divBdr>
        <w:top w:val="none" w:sz="0" w:space="0" w:color="auto"/>
        <w:left w:val="none" w:sz="0" w:space="0" w:color="auto"/>
        <w:bottom w:val="none" w:sz="0" w:space="0" w:color="auto"/>
        <w:right w:val="none" w:sz="0" w:space="0" w:color="auto"/>
      </w:divBdr>
    </w:div>
    <w:div w:id="1855072232">
      <w:bodyDiv w:val="1"/>
      <w:marLeft w:val="0"/>
      <w:marRight w:val="0"/>
      <w:marTop w:val="0"/>
      <w:marBottom w:val="0"/>
      <w:divBdr>
        <w:top w:val="none" w:sz="0" w:space="0" w:color="auto"/>
        <w:left w:val="none" w:sz="0" w:space="0" w:color="auto"/>
        <w:bottom w:val="none" w:sz="0" w:space="0" w:color="auto"/>
        <w:right w:val="none" w:sz="0" w:space="0" w:color="auto"/>
      </w:divBdr>
    </w:div>
    <w:div w:id="1905794243">
      <w:bodyDiv w:val="1"/>
      <w:marLeft w:val="0"/>
      <w:marRight w:val="0"/>
      <w:marTop w:val="0"/>
      <w:marBottom w:val="0"/>
      <w:divBdr>
        <w:top w:val="none" w:sz="0" w:space="0" w:color="auto"/>
        <w:left w:val="none" w:sz="0" w:space="0" w:color="auto"/>
        <w:bottom w:val="none" w:sz="0" w:space="0" w:color="auto"/>
        <w:right w:val="none" w:sz="0" w:space="0" w:color="auto"/>
      </w:divBdr>
    </w:div>
    <w:div w:id="19614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bs.gov.au/statistics/economy/price-indexes-and-inflation/total-value-dwellings/latest-release" TargetMode="External"/><Relationship Id="rId39" Type="http://schemas.openxmlformats.org/officeDocument/2006/relationships/hyperlink" Target="https://www.imf.org/en/Publications/fandd/issues/Series/Analytical-Series/new-economics-of-fertility-doepke-hannusch-kindermann-tertilt" TargetMode="External"/><Relationship Id="rId21" Type="http://schemas.openxmlformats.org/officeDocument/2006/relationships/chart" Target="charts/chart3.xml"/><Relationship Id="rId34" Type="http://schemas.openxmlformats.org/officeDocument/2006/relationships/hyperlink" Target="https://doi-org.virtual.anu.edu.au/10.1007/s11205-010-9644-1" TargetMode="External"/><Relationship Id="rId42" Type="http://schemas.openxmlformats.org/officeDocument/2006/relationships/hyperlink" Target="https://www.pnas.org/doi/10.1073/pnas.1420441111" TargetMode="External"/><Relationship Id="rId47" Type="http://schemas.openxmlformats.org/officeDocument/2006/relationships/hyperlink" Target="https://populationandeconomics.pensoft.net/article/37938/list/1/" TargetMode="External"/><Relationship Id="rId50" Type="http://schemas.openxmlformats.org/officeDocument/2006/relationships/hyperlink" Target="https://data.worldbank.org/indicator/SP.DYN.TFRT.IN?end=2019&amp;most_recent_year_desc=false&amp;start=2019&amp;view=chart" TargetMode="External"/><Relationship Id="rId55"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s://www.abs.gov.au/statistics/economy/price-indexes-and-inflation/consumer-price-index-australia/jun-quarter-2024" TargetMode="External"/><Relationship Id="rId11" Type="http://schemas.openxmlformats.org/officeDocument/2006/relationships/image" Target="media/image3.png"/><Relationship Id="rId24" Type="http://schemas.openxmlformats.org/officeDocument/2006/relationships/hyperlink" Target="https://www.abs.gov.au/statistics/people/population/births-australia/2022" TargetMode="External"/><Relationship Id="rId32" Type="http://schemas.openxmlformats.org/officeDocument/2006/relationships/hyperlink" Target="https://www.ncbi.nlm.nih.gov/pmc/articles/PMC6282098/pdf/main.pdf" TargetMode="External"/><Relationship Id="rId37" Type="http://schemas.openxmlformats.org/officeDocument/2006/relationships/hyperlink" Target="https://treasury.gov.au/employment-whitepaper/final-report" TargetMode="External"/><Relationship Id="rId40" Type="http://schemas.openxmlformats.org/officeDocument/2006/relationships/hyperlink" Target="https://population.gov.au/sites/population.gov.au/files/202203/ANU_ImpactsofPoliciesonFertilityRatesFullreport.pdf" TargetMode="External"/><Relationship Id="rId45" Type="http://schemas.openxmlformats.org/officeDocument/2006/relationships/hyperlink" Target="https://www.eastasiaforum.org/2022/11/24/japan-must-reform-its-inflexible-work-culture/" TargetMode="External"/><Relationship Id="rId53" Type="http://schemas.openxmlformats.org/officeDocument/2006/relationships/hyperlink" Target="https://genderdata.worldbank.org/en/indicator/sg-tim-uwrk?gender=gender-gap&amp;year=2019" TargetMode="External"/><Relationship Id="rId58"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hyperlink" Target="https://www.abs.gov.au/statistics/economy/price-indexes-and-inflation/selected-living-cost-indexes-australia/latest-release" TargetMode="External"/><Relationship Id="rId30" Type="http://schemas.openxmlformats.org/officeDocument/2006/relationships/hyperlink" Target="https://aifs.gov.au/research/facts-and-figures/births-australia-2023" TargetMode="External"/><Relationship Id="rId35" Type="http://schemas.openxmlformats.org/officeDocument/2006/relationships/hyperlink" Target="https://paa2004.populationassociation.org/papers/41632" TargetMode="External"/><Relationship Id="rId43" Type="http://schemas.openxmlformats.org/officeDocument/2006/relationships/hyperlink" Target="https://www.niussp.org/fertility-and-reproduction/in-australia-fertility-is-falling-only-for-low-educated-womenen-australie-la-fecondite-baisse-uniquement-chez-les-femmes-peu-scolarisees/" TargetMode="External"/><Relationship Id="rId48" Type="http://schemas.openxmlformats.org/officeDocument/2006/relationships/hyperlink" Target="https://doi-org.virtual.anu.edu.au/10.1111/1467-8462.12540" TargetMode="External"/><Relationship Id="rId56" Type="http://schemas.openxmlformats.org/officeDocument/2006/relationships/header" Target="header5.xml"/><Relationship Id="rId8" Type="http://schemas.openxmlformats.org/officeDocument/2006/relationships/image" Target="media/image2.wmf"/><Relationship Id="rId51" Type="http://schemas.openxmlformats.org/officeDocument/2006/relationships/hyperlink" Target="https://ourworldindata.org/fertility-rate" TargetMode="External"/><Relationship Id="rId3" Type="http://schemas.openxmlformats.org/officeDocument/2006/relationships/settings" Target="settings.xml"/><Relationship Id="rId12" Type="http://schemas.openxmlformats.org/officeDocument/2006/relationships/hyperlink" Target="https://www.lifeline.org.au/" TargetMode="External"/><Relationship Id="rId17" Type="http://schemas.openxmlformats.org/officeDocument/2006/relationships/header" Target="header3.xml"/><Relationship Id="rId25" Type="http://schemas.openxmlformats.org/officeDocument/2006/relationships/hyperlink" Target="https://www.abs.gov.au/statistics/labour/employment-and-unemployment/labour-force-australia/latest-release" TargetMode="External"/><Relationship Id="rId33" Type="http://schemas.openxmlformats.org/officeDocument/2006/relationships/hyperlink" Target="https://doi-org.virtual.anu.edu.au/10.1093/sp/jxq004" TargetMode="External"/><Relationship Id="rId38" Type="http://schemas.openxmlformats.org/officeDocument/2006/relationships/hyperlink" Target="https://treasury.gov.au/publication/2023-intergenerational-report" TargetMode="External"/><Relationship Id="rId46" Type="http://schemas.openxmlformats.org/officeDocument/2006/relationships/hyperlink" Target="https://www.theguardian.com/world/2016/mar/10/the-death-of-the-great-australian-dream" TargetMode="External"/><Relationship Id="rId59" Type="http://schemas.openxmlformats.org/officeDocument/2006/relationships/header" Target="header6.xml"/><Relationship Id="rId20" Type="http://schemas.openxmlformats.org/officeDocument/2006/relationships/chart" Target="charts/chart2.xml"/><Relationship Id="rId41" Type="http://schemas.openxmlformats.org/officeDocument/2006/relationships/hyperlink" Target="https://www.humanfertility.org/" TargetMode="External"/><Relationship Id="rId54" Type="http://schemas.openxmlformats.org/officeDocument/2006/relationships/hyperlink" Target="https://www.ncbi.nlm.nih.gov/pmc/articles/PMC554843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www.abs.gov.au/statistics/people/education/education-and-work-australia/latest-release" TargetMode="External"/><Relationship Id="rId28" Type="http://schemas.openxmlformats.org/officeDocument/2006/relationships/hyperlink" Target="https://www.abs.gov.au/statistics/economy/national-accounts/australian-national-accounts-national-income-expenditure-and-product/jun-2024" TargetMode="External"/><Relationship Id="rId36" Type="http://schemas.openxmlformats.org/officeDocument/2006/relationships/hyperlink" Target="https://www.dss.gov.au/about-the-department/longitudinal-studies/living-in-australia-hilda-household-income-and-labour-dynamics-in-australia-overview" TargetMode="External"/><Relationship Id="rId49" Type="http://schemas.openxmlformats.org/officeDocument/2006/relationships/hyperlink" Target="https://www.eastasiaforum.org/2022/10/26/will-japans-population-shrink-or-swim" TargetMode="External"/><Relationship Id="rId57" Type="http://schemas.openxmlformats.org/officeDocument/2006/relationships/footer" Target="footer4.xml"/><Relationship Id="rId10" Type="http://schemas.openxmlformats.org/officeDocument/2006/relationships/hyperlink" Target="mailto:media@treasury.gov.au" TargetMode="External"/><Relationship Id="rId31" Type="http://schemas.openxmlformats.org/officeDocument/2006/relationships/hyperlink" Target="https://www.damianclarke.net/research/papers/fertilityFLFPchapter.pdf" TargetMode="External"/><Relationship Id="rId44" Type="http://schemas.openxmlformats.org/officeDocument/2006/relationships/hyperlink" Target="https://population.gov.au/sites/population.gov.au/files/2021-09/2020_mcdonald_fertility_projections.pdf" TargetMode="External"/><Relationship Id="rId52" Type="http://schemas.openxmlformats.org/officeDocument/2006/relationships/hyperlink" Target="https://www.un.org/en/development/desa/population/events/pdf/expert/24/Policy_Briefs/PB_Italy.pdf" TargetMode="External"/><Relationship Id="rId6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pmc.gov.au/government/commonwealth-coat-arm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ustreasury-my.sharepoint.com/personal/ashleigh_kidd_treasury_gov_au/Documents/Desktop/CPI%20and%20AENA%20h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ustreasury.sharepoint.com/sites/cenpop-function/Population/240611%20-%20fertility%20rate%20and%20share%20of%20housework%20and%20caring%20done%20by%20men%20for%20fertility%20decline%20projec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ustreasury.sharepoint.com/sites/cenpop-function/Population/240611%20-%20fertility%20rate%20and%20share%20of%20housework%20and%20caring%20done%20by%20men%20for%20fertility%20decline%20projec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austreasury.sharepoint.com/sites/Budget/Shared%20Documents/2024-25%20Budget/05%20WBS/Charts/C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0447240237484534E-3"/>
          <c:y val="4.9173780448351571E-2"/>
          <c:w val="0.98375062449546291"/>
          <c:h val="0.94584601683779079"/>
        </c:manualLayout>
      </c:layout>
      <c:lineChart>
        <c:grouping val="standard"/>
        <c:varyColors val="0"/>
        <c:ser>
          <c:idx val="0"/>
          <c:order val="1"/>
          <c:tx>
            <c:strRef>
              <c:f>'NA_langton_live_2024-09-27 (1)'!$B$1</c:f>
              <c:strCache>
                <c:ptCount val="1"/>
                <c:pt idx="0">
                  <c:v>CPI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(1)'!$B$2:$B$70</c:f>
            </c:numRef>
          </c:val>
          <c:smooth val="0"/>
          <c:extLst>
            <c:ext xmlns:c16="http://schemas.microsoft.com/office/drawing/2014/chart" uri="{C3380CC4-5D6E-409C-BE32-E72D297353CC}">
              <c16:uniqueId val="{00000000-26B4-4899-9813-19080D481B60}"/>
            </c:ext>
          </c:extLst>
        </c:ser>
        <c:ser>
          <c:idx val="1"/>
          <c:order val="2"/>
          <c:tx>
            <c:strRef>
              <c:f>'NA_langton_live_2024-09-27 (1)'!$C$1</c:f>
              <c:strCache>
                <c:ptCount val="1"/>
                <c:pt idx="0">
                  <c:v>AENA/hr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(1)'!$C$2:$C$70</c:f>
            </c:numRef>
          </c:val>
          <c:smooth val="0"/>
          <c:extLst>
            <c:ext xmlns:c16="http://schemas.microsoft.com/office/drawing/2014/chart" uri="{C3380CC4-5D6E-409C-BE32-E72D297353CC}">
              <c16:uniqueId val="{00000001-26B4-4899-9813-19080D481B60}"/>
            </c:ext>
          </c:extLst>
        </c:ser>
        <c:ser>
          <c:idx val="2"/>
          <c:order val="3"/>
          <c:tx>
            <c:strRef>
              <c:f>'NA_langton_live_2024-09-27 (1)'!$D$1</c:f>
              <c:strCache>
                <c:ptCount val="1"/>
                <c:pt idx="0">
                  <c:v>SLCI - Employee households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(1)'!$D$2:$D$70</c:f>
            </c:numRef>
          </c:val>
          <c:smooth val="0"/>
          <c:extLst>
            <c:ext xmlns:c16="http://schemas.microsoft.com/office/drawing/2014/chart" uri="{C3380CC4-5D6E-409C-BE32-E72D297353CC}">
              <c16:uniqueId val="{00000002-26B4-4899-9813-19080D481B60}"/>
            </c:ext>
          </c:extLst>
        </c:ser>
        <c:ser>
          <c:idx val="3"/>
          <c:order val="4"/>
          <c:tx>
            <c:strRef>
              <c:f>'NA_langton_live_2024-09-27 (1)'!$E$1</c:f>
              <c:strCache>
                <c:ptCount val="1"/>
                <c:pt idx="0">
                  <c:v>RPPI</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(1)'!$E$2:$E$70</c:f>
            </c:numRef>
          </c:val>
          <c:smooth val="0"/>
          <c:extLst>
            <c:ext xmlns:c16="http://schemas.microsoft.com/office/drawing/2014/chart" uri="{C3380CC4-5D6E-409C-BE32-E72D297353CC}">
              <c16:uniqueId val="{00000003-26B4-4899-9813-19080D481B60}"/>
            </c:ext>
          </c:extLst>
        </c:ser>
        <c:ser>
          <c:idx val="4"/>
          <c:order val="5"/>
          <c:tx>
            <c:strRef>
              <c:f>'NA_langton_live_2024-09-27 (1)'!$F$1</c:f>
              <c:strCache>
                <c:ptCount val="1"/>
                <c:pt idx="0">
                  <c:v>Total Value of dwelling stock</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(1)'!$F$2:$F$70</c:f>
            </c:numRef>
          </c:val>
          <c:smooth val="0"/>
          <c:extLst>
            <c:ext xmlns:c16="http://schemas.microsoft.com/office/drawing/2014/chart" uri="{C3380CC4-5D6E-409C-BE32-E72D297353CC}">
              <c16:uniqueId val="{00000004-26B4-4899-9813-19080D481B60}"/>
            </c:ext>
          </c:extLst>
        </c:ser>
        <c:ser>
          <c:idx val="5"/>
          <c:order val="6"/>
          <c:tx>
            <c:strRef>
              <c:f>'NA_langton_live_2024-09-27 (1)'!$G$1</c:f>
              <c:strCache>
                <c:ptCount val="1"/>
                <c:pt idx="0">
                  <c:v>CPI</c:v>
                </c:pt>
              </c:strCache>
            </c:strRef>
          </c:tx>
          <c:spPr>
            <a:ln w="28575" cap="rnd">
              <a:solidFill>
                <a:schemeClr val="accent6"/>
              </a:solidFill>
              <a:round/>
            </a:ln>
            <a:effectLst/>
          </c:spPr>
          <c:marker>
            <c:symbol val="none"/>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(1)'!$G$2:$G$70</c:f>
              <c:numCache>
                <c:formatCode>0.0</c:formatCode>
                <c:ptCount val="52"/>
                <c:pt idx="0">
                  <c:v>100</c:v>
                </c:pt>
                <c:pt idx="1">
                  <c:v>100</c:v>
                </c:pt>
                <c:pt idx="2">
                  <c:v>100.10020040080161</c:v>
                </c:pt>
                <c:pt idx="3">
                  <c:v>100.60120240480961</c:v>
                </c:pt>
                <c:pt idx="4">
                  <c:v>102.00400801603206</c:v>
                </c:pt>
                <c:pt idx="5">
                  <c:v>102.20440881763525</c:v>
                </c:pt>
                <c:pt idx="6">
                  <c:v>102.60521042084167</c:v>
                </c:pt>
                <c:pt idx="7">
                  <c:v>103.00601202404809</c:v>
                </c:pt>
                <c:pt idx="8">
                  <c:v>104.20841683366733</c:v>
                </c:pt>
                <c:pt idx="9">
                  <c:v>105.01002004008015</c:v>
                </c:pt>
                <c:pt idx="10">
                  <c:v>105.61122244488979</c:v>
                </c:pt>
                <c:pt idx="11">
                  <c:v>106.11222444889779</c:v>
                </c:pt>
                <c:pt idx="12">
                  <c:v>106.61322645290581</c:v>
                </c:pt>
                <c:pt idx="13">
                  <c:v>106.81362725450903</c:v>
                </c:pt>
                <c:pt idx="14">
                  <c:v>107.01402805611222</c:v>
                </c:pt>
                <c:pt idx="15">
                  <c:v>107.71543086172343</c:v>
                </c:pt>
                <c:pt idx="16">
                  <c:v>108.21643286573146</c:v>
                </c:pt>
                <c:pt idx="17">
                  <c:v>108.61723446893788</c:v>
                </c:pt>
                <c:pt idx="18">
                  <c:v>108.41683366733467</c:v>
                </c:pt>
                <c:pt idx="19">
                  <c:v>108.81763527054109</c:v>
                </c:pt>
                <c:pt idx="20">
                  <c:v>109.61923847695391</c:v>
                </c:pt>
                <c:pt idx="21">
                  <c:v>110.22044088176352</c:v>
                </c:pt>
                <c:pt idx="22">
                  <c:v>110.72144288577155</c:v>
                </c:pt>
                <c:pt idx="23">
                  <c:v>110.92184368737475</c:v>
                </c:pt>
                <c:pt idx="24">
                  <c:v>111.62324649298598</c:v>
                </c:pt>
                <c:pt idx="25">
                  <c:v>112.32464929859719</c:v>
                </c:pt>
                <c:pt idx="26">
                  <c:v>112.82565130260519</c:v>
                </c:pt>
                <c:pt idx="27">
                  <c:v>113.22645290581161</c:v>
                </c:pt>
                <c:pt idx="28">
                  <c:v>113.72745490981964</c:v>
                </c:pt>
                <c:pt idx="29">
                  <c:v>114.32865731462927</c:v>
                </c:pt>
                <c:pt idx="30">
                  <c:v>114.32865731462927</c:v>
                </c:pt>
                <c:pt idx="31">
                  <c:v>115.03006012024046</c:v>
                </c:pt>
                <c:pt idx="32">
                  <c:v>115.63126252505009</c:v>
                </c:pt>
                <c:pt idx="33">
                  <c:v>116.43286573146293</c:v>
                </c:pt>
                <c:pt idx="34">
                  <c:v>116.83366733466933</c:v>
                </c:pt>
                <c:pt idx="35">
                  <c:v>114.62925851703405</c:v>
                </c:pt>
                <c:pt idx="36">
                  <c:v>116.43286573146293</c:v>
                </c:pt>
                <c:pt idx="37">
                  <c:v>117.43486973947894</c:v>
                </c:pt>
                <c:pt idx="38">
                  <c:v>118.13627254509018</c:v>
                </c:pt>
                <c:pt idx="39">
                  <c:v>119.0380761523046</c:v>
                </c:pt>
                <c:pt idx="40">
                  <c:v>119.93987975951906</c:v>
                </c:pt>
                <c:pt idx="41">
                  <c:v>121.5430861723447</c:v>
                </c:pt>
                <c:pt idx="42">
                  <c:v>124.14829659318639</c:v>
                </c:pt>
                <c:pt idx="43">
                  <c:v>126.35270541082164</c:v>
                </c:pt>
                <c:pt idx="44">
                  <c:v>128.65731462925851</c:v>
                </c:pt>
                <c:pt idx="45">
                  <c:v>131.06212424849699</c:v>
                </c:pt>
                <c:pt idx="46">
                  <c:v>132.86573146292585</c:v>
                </c:pt>
                <c:pt idx="47">
                  <c:v>133.96793587174349</c:v>
                </c:pt>
                <c:pt idx="48">
                  <c:v>135.57114228456913</c:v>
                </c:pt>
                <c:pt idx="49">
                  <c:v>136.37274549098197</c:v>
                </c:pt>
                <c:pt idx="50">
                  <c:v>137.67535070140283</c:v>
                </c:pt>
                <c:pt idx="51">
                  <c:v>139.07815631262523</c:v>
                </c:pt>
              </c:numCache>
            </c:numRef>
          </c:val>
          <c:smooth val="0"/>
          <c:extLst>
            <c:ext xmlns:c16="http://schemas.microsoft.com/office/drawing/2014/chart" uri="{C3380CC4-5D6E-409C-BE32-E72D297353CC}">
              <c16:uniqueId val="{00000005-26B4-4899-9813-19080D481B60}"/>
            </c:ext>
          </c:extLst>
        </c:ser>
        <c:ser>
          <c:idx val="6"/>
          <c:order val="7"/>
          <c:tx>
            <c:strRef>
              <c:f>'NA_langton_live_2024-09-27 (1)'!$H$1</c:f>
              <c:strCache>
                <c:ptCount val="1"/>
                <c:pt idx="0">
                  <c:v>AENA/hr</c:v>
                </c:pt>
              </c:strCache>
            </c:strRef>
          </c:tx>
          <c:spPr>
            <a:ln w="28575" cap="rnd">
              <a:solidFill>
                <a:schemeClr val="accent1">
                  <a:lumMod val="60000"/>
                </a:schemeClr>
              </a:solidFill>
              <a:round/>
            </a:ln>
            <a:effectLst/>
          </c:spPr>
          <c:marker>
            <c:symbol val="none"/>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(1)'!$H$2:$H$70</c:f>
              <c:numCache>
                <c:formatCode>0.0</c:formatCode>
                <c:ptCount val="52"/>
                <c:pt idx="0">
                  <c:v>100</c:v>
                </c:pt>
                <c:pt idx="1">
                  <c:v>100.2415458937198</c:v>
                </c:pt>
                <c:pt idx="2">
                  <c:v>101.69082125603866</c:v>
                </c:pt>
                <c:pt idx="3">
                  <c:v>102.41545893719808</c:v>
                </c:pt>
                <c:pt idx="4">
                  <c:v>102.17391304347825</c:v>
                </c:pt>
                <c:pt idx="5">
                  <c:v>102.89855072463769</c:v>
                </c:pt>
                <c:pt idx="6">
                  <c:v>102.89855072463769</c:v>
                </c:pt>
                <c:pt idx="7">
                  <c:v>103.62318840579709</c:v>
                </c:pt>
                <c:pt idx="8">
                  <c:v>104.34782608695654</c:v>
                </c:pt>
                <c:pt idx="9">
                  <c:v>106.03864734299518</c:v>
                </c:pt>
                <c:pt idx="10">
                  <c:v>106.28019323671498</c:v>
                </c:pt>
                <c:pt idx="11">
                  <c:v>107.24637681159422</c:v>
                </c:pt>
                <c:pt idx="12">
                  <c:v>107.97101449275364</c:v>
                </c:pt>
                <c:pt idx="13">
                  <c:v>108.69565217391303</c:v>
                </c:pt>
                <c:pt idx="14">
                  <c:v>107.48792270531402</c:v>
                </c:pt>
                <c:pt idx="15">
                  <c:v>108.69565217391303</c:v>
                </c:pt>
                <c:pt idx="16">
                  <c:v>109.42028985507247</c:v>
                </c:pt>
                <c:pt idx="17">
                  <c:v>109.90338164251207</c:v>
                </c:pt>
                <c:pt idx="18">
                  <c:v>109.66183574879227</c:v>
                </c:pt>
                <c:pt idx="19">
                  <c:v>110.38647342995169</c:v>
                </c:pt>
                <c:pt idx="20">
                  <c:v>110.86956521739131</c:v>
                </c:pt>
                <c:pt idx="21">
                  <c:v>110.14492753623189</c:v>
                </c:pt>
                <c:pt idx="22">
                  <c:v>109.42028985507247</c:v>
                </c:pt>
                <c:pt idx="23">
                  <c:v>110.6280193236715</c:v>
                </c:pt>
                <c:pt idx="24">
                  <c:v>111.83574879227052</c:v>
                </c:pt>
                <c:pt idx="25">
                  <c:v>112.56038647342996</c:v>
                </c:pt>
                <c:pt idx="26">
                  <c:v>113.04347826086956</c:v>
                </c:pt>
                <c:pt idx="27">
                  <c:v>113.28502415458937</c:v>
                </c:pt>
                <c:pt idx="28">
                  <c:v>114.25120772946859</c:v>
                </c:pt>
                <c:pt idx="29">
                  <c:v>115.45893719806763</c:v>
                </c:pt>
                <c:pt idx="30">
                  <c:v>115.21739130434783</c:v>
                </c:pt>
                <c:pt idx="31">
                  <c:v>117.63285024154591</c:v>
                </c:pt>
                <c:pt idx="32">
                  <c:v>118.59903381642513</c:v>
                </c:pt>
                <c:pt idx="33">
                  <c:v>119.80676328502415</c:v>
                </c:pt>
                <c:pt idx="34">
                  <c:v>121.256038647343</c:v>
                </c:pt>
                <c:pt idx="35">
                  <c:v>128.74396135265701</c:v>
                </c:pt>
                <c:pt idx="36">
                  <c:v>126.57004830917874</c:v>
                </c:pt>
                <c:pt idx="37">
                  <c:v>126.08695652173914</c:v>
                </c:pt>
                <c:pt idx="38">
                  <c:v>126.81159420289856</c:v>
                </c:pt>
                <c:pt idx="39">
                  <c:v>127.53623188405795</c:v>
                </c:pt>
                <c:pt idx="40">
                  <c:v>131.15942028985506</c:v>
                </c:pt>
                <c:pt idx="41">
                  <c:v>131.40096618357489</c:v>
                </c:pt>
                <c:pt idx="42">
                  <c:v>133.57487922705315</c:v>
                </c:pt>
                <c:pt idx="43">
                  <c:v>132.85024154589374</c:v>
                </c:pt>
                <c:pt idx="44">
                  <c:v>134.54106280193238</c:v>
                </c:pt>
                <c:pt idx="45">
                  <c:v>134.54106280193238</c:v>
                </c:pt>
                <c:pt idx="46">
                  <c:v>135.26570048309179</c:v>
                </c:pt>
                <c:pt idx="47">
                  <c:v>135.26570048309179</c:v>
                </c:pt>
                <c:pt idx="48">
                  <c:v>139.85507246376812</c:v>
                </c:pt>
                <c:pt idx="49">
                  <c:v>142.02898550724638</c:v>
                </c:pt>
                <c:pt idx="50">
                  <c:v>142.51207729468601</c:v>
                </c:pt>
                <c:pt idx="51">
                  <c:v>142.99516908212561</c:v>
                </c:pt>
              </c:numCache>
            </c:numRef>
          </c:val>
          <c:smooth val="0"/>
          <c:extLst>
            <c:ext xmlns:c16="http://schemas.microsoft.com/office/drawing/2014/chart" uri="{C3380CC4-5D6E-409C-BE32-E72D297353CC}">
              <c16:uniqueId val="{00000006-26B4-4899-9813-19080D481B60}"/>
            </c:ext>
          </c:extLst>
        </c:ser>
        <c:ser>
          <c:idx val="7"/>
          <c:order val="8"/>
          <c:tx>
            <c:strRef>
              <c:f>'NA_langton_live_2024-09-27 (1)'!$I$1</c:f>
              <c:strCache>
                <c:ptCount val="1"/>
                <c:pt idx="0">
                  <c:v>SLCI indexed to 11 - employee households</c:v>
                </c:pt>
              </c:strCache>
            </c:strRef>
          </c:tx>
          <c:spPr>
            <a:ln w="28575" cap="rnd">
              <a:solidFill>
                <a:schemeClr val="accent2">
                  <a:lumMod val="60000"/>
                </a:schemeClr>
              </a:solidFill>
              <a:round/>
            </a:ln>
            <a:effectLst/>
          </c:spPr>
          <c:marker>
            <c:symbol val="none"/>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(1)'!$I$2:$I$70</c:f>
            </c:numRef>
          </c:val>
          <c:smooth val="0"/>
          <c:extLst>
            <c:ext xmlns:c16="http://schemas.microsoft.com/office/drawing/2014/chart" uri="{C3380CC4-5D6E-409C-BE32-E72D297353CC}">
              <c16:uniqueId val="{00000007-26B4-4899-9813-19080D481B60}"/>
            </c:ext>
          </c:extLst>
        </c:ser>
        <c:ser>
          <c:idx val="8"/>
          <c:order val="9"/>
          <c:tx>
            <c:strRef>
              <c:f>'NA_langton_live_2024-09-27 (1)'!$J$1</c:f>
              <c:strCache>
                <c:ptCount val="1"/>
                <c:pt idx="0">
                  <c:v>RPPI indexed to 11</c:v>
                </c:pt>
              </c:strCache>
            </c:strRef>
          </c:tx>
          <c:spPr>
            <a:ln w="28575" cap="rnd">
              <a:solidFill>
                <a:schemeClr val="accent3">
                  <a:lumMod val="60000"/>
                </a:schemeClr>
              </a:solidFill>
              <a:round/>
            </a:ln>
            <a:effectLst/>
          </c:spPr>
          <c:marker>
            <c:symbol val="none"/>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(1)'!$J$2:$J$70</c:f>
            </c:numRef>
          </c:val>
          <c:smooth val="0"/>
          <c:extLst>
            <c:ext xmlns:c16="http://schemas.microsoft.com/office/drawing/2014/chart" uri="{C3380CC4-5D6E-409C-BE32-E72D297353CC}">
              <c16:uniqueId val="{00000008-26B4-4899-9813-19080D481B60}"/>
            </c:ext>
          </c:extLst>
        </c:ser>
        <c:ser>
          <c:idx val="9"/>
          <c:order val="10"/>
          <c:tx>
            <c:strRef>
              <c:f>'NA_langton_live_2024-09-27 (1)'!$K$1</c:f>
              <c:strCache>
                <c:ptCount val="1"/>
                <c:pt idx="0">
                  <c:v>Total value of dwelling stock</c:v>
                </c:pt>
              </c:strCache>
            </c:strRef>
          </c:tx>
          <c:spPr>
            <a:ln w="28575" cap="rnd">
              <a:solidFill>
                <a:schemeClr val="accent4">
                  <a:lumMod val="60000"/>
                </a:schemeClr>
              </a:solidFill>
              <a:round/>
            </a:ln>
            <a:effectLst/>
          </c:spPr>
          <c:marker>
            <c:symbol val="none"/>
          </c:marker>
          <c:cat>
            <c:numRef>
              <c:f>'NA_langton_live_2024-09-27 (1)'!$A$2:$A$70</c:f>
              <c:numCache>
                <c:formatCode>m/d/yyyy</c:formatCode>
                <c:ptCount val="52"/>
                <c:pt idx="0">
                  <c:v>40787</c:v>
                </c:pt>
                <c:pt idx="1">
                  <c:v>40878</c:v>
                </c:pt>
                <c:pt idx="2">
                  <c:v>40969</c:v>
                </c:pt>
                <c:pt idx="3">
                  <c:v>41061</c:v>
                </c:pt>
                <c:pt idx="4">
                  <c:v>41153</c:v>
                </c:pt>
                <c:pt idx="5">
                  <c:v>41244</c:v>
                </c:pt>
                <c:pt idx="6">
                  <c:v>41334</c:v>
                </c:pt>
                <c:pt idx="7">
                  <c:v>41426</c:v>
                </c:pt>
                <c:pt idx="8">
                  <c:v>41518</c:v>
                </c:pt>
                <c:pt idx="9">
                  <c:v>41609</c:v>
                </c:pt>
                <c:pt idx="10">
                  <c:v>41699</c:v>
                </c:pt>
                <c:pt idx="11">
                  <c:v>41791</c:v>
                </c:pt>
                <c:pt idx="12">
                  <c:v>41883</c:v>
                </c:pt>
                <c:pt idx="13">
                  <c:v>41974</c:v>
                </c:pt>
                <c:pt idx="14">
                  <c:v>42064</c:v>
                </c:pt>
                <c:pt idx="15">
                  <c:v>42156</c:v>
                </c:pt>
                <c:pt idx="16">
                  <c:v>42248</c:v>
                </c:pt>
                <c:pt idx="17">
                  <c:v>42339</c:v>
                </c:pt>
                <c:pt idx="18">
                  <c:v>42430</c:v>
                </c:pt>
                <c:pt idx="19">
                  <c:v>42522</c:v>
                </c:pt>
                <c:pt idx="20">
                  <c:v>42614</c:v>
                </c:pt>
                <c:pt idx="21">
                  <c:v>42705</c:v>
                </c:pt>
                <c:pt idx="22">
                  <c:v>42795</c:v>
                </c:pt>
                <c:pt idx="23">
                  <c:v>42887</c:v>
                </c:pt>
                <c:pt idx="24">
                  <c:v>42979</c:v>
                </c:pt>
                <c:pt idx="25">
                  <c:v>43070</c:v>
                </c:pt>
                <c:pt idx="26">
                  <c:v>43160</c:v>
                </c:pt>
                <c:pt idx="27">
                  <c:v>43252</c:v>
                </c:pt>
                <c:pt idx="28">
                  <c:v>43344</c:v>
                </c:pt>
                <c:pt idx="29">
                  <c:v>43435</c:v>
                </c:pt>
                <c:pt idx="30">
                  <c:v>43525</c:v>
                </c:pt>
                <c:pt idx="31">
                  <c:v>43617</c:v>
                </c:pt>
                <c:pt idx="32">
                  <c:v>43709</c:v>
                </c:pt>
                <c:pt idx="33">
                  <c:v>43800</c:v>
                </c:pt>
                <c:pt idx="34">
                  <c:v>43891</c:v>
                </c:pt>
                <c:pt idx="35">
                  <c:v>43983</c:v>
                </c:pt>
                <c:pt idx="36">
                  <c:v>44075</c:v>
                </c:pt>
                <c:pt idx="37">
                  <c:v>44166</c:v>
                </c:pt>
                <c:pt idx="38">
                  <c:v>44256</c:v>
                </c:pt>
                <c:pt idx="39">
                  <c:v>44348</c:v>
                </c:pt>
                <c:pt idx="40">
                  <c:v>44440</c:v>
                </c:pt>
                <c:pt idx="41">
                  <c:v>44531</c:v>
                </c:pt>
                <c:pt idx="42">
                  <c:v>44621</c:v>
                </c:pt>
                <c:pt idx="43">
                  <c:v>44713</c:v>
                </c:pt>
                <c:pt idx="44">
                  <c:v>44805</c:v>
                </c:pt>
                <c:pt idx="45">
                  <c:v>44896</c:v>
                </c:pt>
                <c:pt idx="46">
                  <c:v>44986</c:v>
                </c:pt>
                <c:pt idx="47">
                  <c:v>45078</c:v>
                </c:pt>
                <c:pt idx="48">
                  <c:v>45170</c:v>
                </c:pt>
                <c:pt idx="49">
                  <c:v>45261</c:v>
                </c:pt>
                <c:pt idx="50">
                  <c:v>45352</c:v>
                </c:pt>
                <c:pt idx="51">
                  <c:v>45444</c:v>
                </c:pt>
              </c:numCache>
            </c:numRef>
          </c:cat>
          <c:val>
            <c:numRef>
              <c:f>'NA_langton_live_2024-09-27 (1)'!$K$2:$K$70</c:f>
              <c:numCache>
                <c:formatCode>0.0</c:formatCode>
                <c:ptCount val="52"/>
                <c:pt idx="0">
                  <c:v>100</c:v>
                </c:pt>
                <c:pt idx="1">
                  <c:v>99.582953192321909</c:v>
                </c:pt>
                <c:pt idx="2">
                  <c:v>100.19445792755954</c:v>
                </c:pt>
                <c:pt idx="3">
                  <c:v>100.85881960678411</c:v>
                </c:pt>
                <c:pt idx="4">
                  <c:v>100.50765700490825</c:v>
                </c:pt>
                <c:pt idx="5">
                  <c:v>103.05555477234813</c:v>
                </c:pt>
                <c:pt idx="6">
                  <c:v>104.37597480453016</c:v>
                </c:pt>
                <c:pt idx="7">
                  <c:v>106.26924549741081</c:v>
                </c:pt>
                <c:pt idx="8">
                  <c:v>108.26226363058508</c:v>
                </c:pt>
                <c:pt idx="9">
                  <c:v>112.39324849492355</c:v>
                </c:pt>
                <c:pt idx="10">
                  <c:v>114.20747630063421</c:v>
                </c:pt>
                <c:pt idx="11">
                  <c:v>116.45875296990266</c:v>
                </c:pt>
                <c:pt idx="12">
                  <c:v>118.3857076887941</c:v>
                </c:pt>
                <c:pt idx="13">
                  <c:v>122.37243689460091</c:v>
                </c:pt>
                <c:pt idx="14">
                  <c:v>125.29114807117435</c:v>
                </c:pt>
                <c:pt idx="15">
                  <c:v>130.57048654242277</c:v>
                </c:pt>
                <c:pt idx="16">
                  <c:v>133.71520589692437</c:v>
                </c:pt>
                <c:pt idx="17">
                  <c:v>134.72592978019148</c:v>
                </c:pt>
                <c:pt idx="18">
                  <c:v>134.83887413299536</c:v>
                </c:pt>
                <c:pt idx="19">
                  <c:v>137.9944941420093</c:v>
                </c:pt>
                <c:pt idx="20">
                  <c:v>140.86804000258252</c:v>
                </c:pt>
                <c:pt idx="21">
                  <c:v>146.89709834708134</c:v>
                </c:pt>
                <c:pt idx="22">
                  <c:v>150.59245128958185</c:v>
                </c:pt>
                <c:pt idx="23">
                  <c:v>154.50939910249525</c:v>
                </c:pt>
                <c:pt idx="24">
                  <c:v>154.69314753125505</c:v>
                </c:pt>
                <c:pt idx="25">
                  <c:v>158.53643587975523</c:v>
                </c:pt>
                <c:pt idx="26">
                  <c:v>158.76834837975701</c:v>
                </c:pt>
                <c:pt idx="27">
                  <c:v>157.94513869278833</c:v>
                </c:pt>
                <c:pt idx="28">
                  <c:v>156.51197263185432</c:v>
                </c:pt>
                <c:pt idx="29">
                  <c:v>154.83897305607664</c:v>
                </c:pt>
                <c:pt idx="30">
                  <c:v>151.78215665602519</c:v>
                </c:pt>
                <c:pt idx="31">
                  <c:v>153.24428280742177</c:v>
                </c:pt>
                <c:pt idx="32">
                  <c:v>158.50054878415648</c:v>
                </c:pt>
                <c:pt idx="33">
                  <c:v>163.61618150311378</c:v>
                </c:pt>
                <c:pt idx="34">
                  <c:v>166.05803324952907</c:v>
                </c:pt>
                <c:pt idx="35">
                  <c:v>165.40761160064764</c:v>
                </c:pt>
                <c:pt idx="36">
                  <c:v>170.62036097940353</c:v>
                </c:pt>
                <c:pt idx="37">
                  <c:v>179.48611514197447</c:v>
                </c:pt>
                <c:pt idx="38">
                  <c:v>190.2212120810984</c:v>
                </c:pt>
                <c:pt idx="39">
                  <c:v>200.1988353933786</c:v>
                </c:pt>
                <c:pt idx="40">
                  <c:v>214.13949655033235</c:v>
                </c:pt>
                <c:pt idx="41">
                  <c:v>227.67758855539282</c:v>
                </c:pt>
                <c:pt idx="42">
                  <c:v>231.8162817738428</c:v>
                </c:pt>
                <c:pt idx="43">
                  <c:v>230.2823838206952</c:v>
                </c:pt>
                <c:pt idx="44">
                  <c:v>223.41570503794225</c:v>
                </c:pt>
                <c:pt idx="45">
                  <c:v>224.36194493100209</c:v>
                </c:pt>
                <c:pt idx="46">
                  <c:v>225.06081738469453</c:v>
                </c:pt>
                <c:pt idx="47">
                  <c:v>231.87012078030338</c:v>
                </c:pt>
                <c:pt idx="48">
                  <c:v>235.37461191208808</c:v>
                </c:pt>
                <c:pt idx="49">
                  <c:v>242.52089415569606</c:v>
                </c:pt>
                <c:pt idx="50">
                  <c:v>245.33154739736958</c:v>
                </c:pt>
                <c:pt idx="51">
                  <c:v>250.49253180914693</c:v>
                </c:pt>
              </c:numCache>
            </c:numRef>
          </c:val>
          <c:smooth val="0"/>
          <c:extLst>
            <c:ext xmlns:c16="http://schemas.microsoft.com/office/drawing/2014/chart" uri="{C3380CC4-5D6E-409C-BE32-E72D297353CC}">
              <c16:uniqueId val="{00000009-26B4-4899-9813-19080D481B60}"/>
            </c:ext>
          </c:extLst>
        </c:ser>
        <c:dLbls>
          <c:showLegendKey val="0"/>
          <c:showVal val="0"/>
          <c:showCatName val="0"/>
          <c:showSerName val="0"/>
          <c:showPercent val="0"/>
          <c:showBubbleSize val="0"/>
        </c:dLbls>
        <c:marker val="1"/>
        <c:smooth val="0"/>
        <c:axId val="1039350223"/>
        <c:axId val="1039348303"/>
      </c:lineChart>
      <c:lineChart>
        <c:grouping val="standard"/>
        <c:varyColors val="0"/>
        <c:ser>
          <c:idx val="10"/>
          <c:order val="0"/>
          <c:tx>
            <c:v>DUMMY</c:v>
          </c:tx>
          <c:spPr>
            <a:ln w="28575" cap="rnd">
              <a:noFill/>
              <a:round/>
            </a:ln>
            <a:effectLst/>
            <a:extLst>
              <a:ext uri="{91240B29-F687-4F45-9708-019B960494DF}">
                <a14:hiddenLine xmlns:a14="http://schemas.microsoft.com/office/drawing/2010/main" w="28575" cap="rnd">
                  <a:solidFill>
                    <a:srgbClr val="00827F">
                      <a:lumMod val="60000"/>
                    </a:srgbClr>
                  </a:solidFill>
                  <a:round/>
                </a14:hiddenLine>
              </a:ext>
            </a:extLst>
          </c:spPr>
          <c:marker>
            <c:symbol val="none"/>
          </c:marker>
          <c:val>
            <c:numLit>
              <c:formatCode>General</c:formatCode>
              <c:ptCount val="1"/>
              <c:pt idx="0">
                <c:v>0</c:v>
              </c:pt>
            </c:numLit>
          </c:val>
          <c:smooth val="0"/>
          <c:extLst>
            <c:ext xmlns:c16="http://schemas.microsoft.com/office/drawing/2014/chart" uri="{C3380CC4-5D6E-409C-BE32-E72D297353CC}">
              <c16:uniqueId val="{0000000A-26B4-4899-9813-19080D481B60}"/>
            </c:ext>
          </c:extLst>
        </c:ser>
        <c:dLbls>
          <c:showLegendKey val="0"/>
          <c:showVal val="0"/>
          <c:showCatName val="0"/>
          <c:showSerName val="0"/>
          <c:showPercent val="0"/>
          <c:showBubbleSize val="0"/>
        </c:dLbls>
        <c:marker val="1"/>
        <c:smooth val="0"/>
        <c:axId val="2036431024"/>
        <c:axId val="2036430544"/>
      </c:lineChart>
      <c:dateAx>
        <c:axId val="1039350223"/>
        <c:scaling>
          <c:orientation val="minMax"/>
        </c:scaling>
        <c:delete val="0"/>
        <c:axPos val="b"/>
        <c:numFmt formatCode="m/d/yyyy"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039348303"/>
        <c:crosses val="autoZero"/>
        <c:auto val="0"/>
        <c:lblOffset val="100"/>
        <c:baseTimeUnit val="months"/>
        <c:majorUnit val="51"/>
        <c:majorTimeUnit val="months"/>
      </c:dateAx>
      <c:valAx>
        <c:axId val="1039348303"/>
        <c:scaling>
          <c:orientation val="minMax"/>
          <c:min val="80"/>
        </c:scaling>
        <c:delete val="0"/>
        <c:axPos val="l"/>
        <c:majorGridlines>
          <c:spPr>
            <a:ln w="25400" cap="flat" cmpd="sng" algn="ctr">
              <a:noFill/>
              <a:round/>
            </a:ln>
            <a:effectLst/>
          </c:spPr>
        </c:majorGridlines>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US"/>
                  <a:t>Index (Sep</a:t>
                </a:r>
                <a:r>
                  <a:rPr lang="en-US" baseline="0"/>
                  <a:t> 11</a:t>
                </a:r>
                <a:r>
                  <a:rPr lang="en-US"/>
                  <a:t>=100)</a:t>
                </a:r>
              </a:p>
            </c:rich>
          </c:tx>
          <c:layout>
            <c:manualLayout>
              <c:xMode val="edge"/>
              <c:yMode val="edge"/>
              <c:x val="1.9785469426620212E-3"/>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039350223"/>
        <c:crosses val="autoZero"/>
        <c:crossBetween val="between"/>
      </c:valAx>
      <c:valAx>
        <c:axId val="2036430544"/>
        <c:scaling>
          <c:orientation val="minMax"/>
          <c:max val="260"/>
          <c:min val="80"/>
        </c:scaling>
        <c:delete val="0"/>
        <c:axPos val="r"/>
        <c:title>
          <c:tx>
            <c:rich>
              <a:bodyPr rot="0" spcFirstLastPara="1" vertOverflow="ellipsis" wrap="square" anchor="ctr" anchorCtr="1"/>
              <a:lstStyle/>
              <a:p>
                <a:pPr>
                  <a:defRPr sz="800" b="0" i="0" u="none" strike="noStrike" kern="1200" baseline="0">
                    <a:solidFill>
                      <a:srgbClr val="000000"/>
                    </a:solidFill>
                    <a:latin typeface="Arial"/>
                    <a:ea typeface="Arial"/>
                    <a:cs typeface="Arial"/>
                  </a:defRPr>
                </a:pPr>
                <a:r>
                  <a:rPr lang="en-US"/>
                  <a:t>Index (Sep</a:t>
                </a:r>
                <a:r>
                  <a:rPr lang="en-US" baseline="0"/>
                  <a:t> 11</a:t>
                </a:r>
                <a:r>
                  <a:rPr lang="en-US"/>
                  <a:t>=100)</a:t>
                </a:r>
              </a:p>
            </c:rich>
          </c:tx>
          <c:layout>
            <c:manualLayout>
              <c:xMode val="edge"/>
              <c:yMode val="edge"/>
              <c:x val="0.85131219725894913"/>
              <c:y val="0"/>
            </c:manualLayout>
          </c:layout>
          <c:overlay val="0"/>
          <c:spPr>
            <a:noFill/>
            <a:ln>
              <a:noFill/>
            </a:ln>
            <a:effectLst/>
          </c:spPr>
          <c:txPr>
            <a:bodyPr rot="0" spcFirstLastPara="1" vertOverflow="ellipsis"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2036431024"/>
        <c:crosses val="max"/>
        <c:crossBetween val="between"/>
        <c:majorUnit val="20"/>
        <c:minorUnit val="4"/>
      </c:valAx>
      <c:catAx>
        <c:axId val="2036431024"/>
        <c:scaling>
          <c:orientation val="minMax"/>
        </c:scaling>
        <c:delete val="1"/>
        <c:axPos val="b"/>
        <c:majorTickMark val="out"/>
        <c:minorTickMark val="none"/>
        <c:tickLblPos val="nextTo"/>
        <c:crossAx val="2036430544"/>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t"/>
      <c:legendEntry>
        <c:idx val="3"/>
        <c:delete val="1"/>
      </c:legendEntry>
      <c:layout>
        <c:manualLayout>
          <c:xMode val="edge"/>
          <c:yMode val="edge"/>
          <c:x val="7.6893686900248573E-2"/>
          <c:y val="8.764607679465776E-2"/>
          <c:w val="0.33980005971475785"/>
          <c:h val="0.237375284266428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1039426523297495E-3"/>
          <c:y val="4.9366189512591488E-2"/>
          <c:w val="0.98367697132616483"/>
          <c:h val="0.945603631393229"/>
        </c:manualLayout>
      </c:layout>
      <c:barChart>
        <c:barDir val="bar"/>
        <c:grouping val="clustered"/>
        <c:varyColors val="0"/>
        <c:ser>
          <c:idx val="0"/>
          <c:order val="0"/>
          <c:spPr>
            <a:solidFill>
              <a:schemeClr val="accent1"/>
            </a:solidFill>
            <a:ln>
              <a:noFill/>
            </a:ln>
            <a:effectLst/>
          </c:spPr>
          <c:invertIfNegative val="0"/>
          <c:cat>
            <c:strRef>
              <c:f>'Chart 2'!$B$4:$M$4</c:f>
              <c:strCache>
                <c:ptCount val="12"/>
                <c:pt idx="0">
                  <c:v>Total</c:v>
                </c:pt>
                <c:pt idx="1">
                  <c:v>Food and non-alcoholic beverages</c:v>
                </c:pt>
                <c:pt idx="2">
                  <c:v>Alcohol and tobacco</c:v>
                </c:pt>
                <c:pt idx="3">
                  <c:v>Clothing and footwear</c:v>
                </c:pt>
                <c:pt idx="4">
                  <c:v>Housing</c:v>
                </c:pt>
                <c:pt idx="5">
                  <c:v>Furnishings, household equipment and services</c:v>
                </c:pt>
                <c:pt idx="6">
                  <c:v>Health</c:v>
                </c:pt>
                <c:pt idx="7">
                  <c:v>Transport</c:v>
                </c:pt>
                <c:pt idx="8">
                  <c:v>Communication</c:v>
                </c:pt>
                <c:pt idx="9">
                  <c:v>Recreation and culture</c:v>
                </c:pt>
                <c:pt idx="10">
                  <c:v>Education</c:v>
                </c:pt>
                <c:pt idx="11">
                  <c:v>Insurance and financial services</c:v>
                </c:pt>
              </c:strCache>
            </c:strRef>
          </c:cat>
          <c:val>
            <c:numRef>
              <c:f>'Chart 2'!$B$5:$M$5</c:f>
              <c:numCache>
                <c:formatCode>General</c:formatCode>
                <c:ptCount val="12"/>
                <c:pt idx="0">
                  <c:v>55.184331797235011</c:v>
                </c:pt>
                <c:pt idx="1">
                  <c:v>51.949541284403658</c:v>
                </c:pt>
                <c:pt idx="2">
                  <c:v>150.06435006435007</c:v>
                </c:pt>
                <c:pt idx="3">
                  <c:v>-3.0120481927710885</c:v>
                </c:pt>
                <c:pt idx="4">
                  <c:v>87.584345479082344</c:v>
                </c:pt>
                <c:pt idx="5">
                  <c:v>23.702950152594092</c:v>
                </c:pt>
                <c:pt idx="6">
                  <c:v>96.856106408706168</c:v>
                </c:pt>
                <c:pt idx="7">
                  <c:v>41.928494041170097</c:v>
                </c:pt>
                <c:pt idx="8">
                  <c:v>-19.918283963227779</c:v>
                </c:pt>
                <c:pt idx="9">
                  <c:v>22.10953346855986</c:v>
                </c:pt>
                <c:pt idx="10">
                  <c:v>104.29292929292929</c:v>
                </c:pt>
                <c:pt idx="11">
                  <c:v>73.599003735990038</c:v>
                </c:pt>
              </c:numCache>
            </c:numRef>
          </c:val>
          <c:extLst>
            <c:ext xmlns:c16="http://schemas.microsoft.com/office/drawing/2014/chart" uri="{C3380CC4-5D6E-409C-BE32-E72D297353CC}">
              <c16:uniqueId val="{00000000-F7ED-42AD-9063-5C946B7F86FD}"/>
            </c:ext>
          </c:extLst>
        </c:ser>
        <c:dLbls>
          <c:showLegendKey val="0"/>
          <c:showVal val="0"/>
          <c:showCatName val="0"/>
          <c:showSerName val="0"/>
          <c:showPercent val="0"/>
          <c:showBubbleSize val="0"/>
        </c:dLbls>
        <c:gapWidth val="50"/>
        <c:axId val="861405871"/>
        <c:axId val="847315423"/>
      </c:barChart>
      <c:barChart>
        <c:barDir val="bar"/>
        <c:grouping val="clustered"/>
        <c:varyColors val="0"/>
        <c:ser>
          <c:idx val="1"/>
          <c:order val="1"/>
          <c:tx>
            <c:v>DUMMY</c:v>
          </c:tx>
          <c:spPr>
            <a:noFill/>
            <a:ln>
              <a:noFill/>
            </a:ln>
            <a:effectLst/>
            <a:extLst>
              <a:ext uri="{909E8E84-426E-40DD-AFC4-6F175D3DCCD1}">
                <a14:hiddenFill xmlns:a14="http://schemas.microsoft.com/office/drawing/2010/main">
                  <a:solidFill>
                    <a:srgbClr val="E61E26"/>
                  </a:solidFill>
                </a14:hiddenFill>
              </a:ext>
              <a:ext uri="{91240B29-F687-4F45-9708-019B960494DF}">
                <a14:hiddenLine xmlns:a14="http://schemas.microsoft.com/office/drawing/2010/main">
                  <a:noFill/>
                </a14:hiddenLine>
              </a:ext>
            </a:extLst>
          </c:spPr>
          <c:invertIfNegative val="0"/>
          <c:val>
            <c:numLit>
              <c:formatCode>General</c:formatCode>
              <c:ptCount val="1"/>
              <c:pt idx="0">
                <c:v>0</c:v>
              </c:pt>
            </c:numLit>
          </c:val>
          <c:extLst>
            <c:ext xmlns:c16="http://schemas.microsoft.com/office/drawing/2014/chart" uri="{C3380CC4-5D6E-409C-BE32-E72D297353CC}">
              <c16:uniqueId val="{00000001-F7ED-42AD-9063-5C946B7F86FD}"/>
            </c:ext>
          </c:extLst>
        </c:ser>
        <c:dLbls>
          <c:showLegendKey val="0"/>
          <c:showVal val="0"/>
          <c:showCatName val="0"/>
          <c:showSerName val="0"/>
          <c:showPercent val="0"/>
          <c:showBubbleSize val="0"/>
        </c:dLbls>
        <c:gapWidth val="182"/>
        <c:axId val="838815311"/>
        <c:axId val="157677663"/>
      </c:barChart>
      <c:catAx>
        <c:axId val="861405871"/>
        <c:scaling>
          <c:orientation val="minMax"/>
        </c:scaling>
        <c:delete val="0"/>
        <c:axPos val="l"/>
        <c:numFmt formatCode="General" sourceLinked="1"/>
        <c:majorTickMark val="cross"/>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47315423"/>
        <c:crosses val="autoZero"/>
        <c:auto val="1"/>
        <c:lblAlgn val="ctr"/>
        <c:lblOffset val="100"/>
        <c:noMultiLvlLbl val="0"/>
      </c:catAx>
      <c:valAx>
        <c:axId val="847315423"/>
        <c:scaling>
          <c:orientation val="minMax"/>
        </c:scaling>
        <c:delete val="0"/>
        <c:axPos val="b"/>
        <c:majorGridlines>
          <c:spPr>
            <a:ln w="25400" cap="flat" cmpd="sng" algn="ctr">
              <a:noFill/>
              <a:round/>
            </a:ln>
            <a:effectLst/>
          </c:spPr>
        </c:majorGridlines>
        <c:title>
          <c:tx>
            <c:rich>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r>
                  <a:rPr lang="en-AU"/>
                  <a:t>Per cent</a:t>
                </a:r>
              </a:p>
            </c:rich>
          </c:tx>
          <c:layout>
            <c:manualLayout>
              <c:xMode val="edge"/>
              <c:yMode val="edge"/>
              <c:x val="0.91851971326164872"/>
              <c:y val="0.84607651971810416"/>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alpha val="96000"/>
                  </a:srgbClr>
                </a:solidFill>
                <a:latin typeface="Arial"/>
                <a:ea typeface="Arial"/>
                <a:cs typeface="Arial"/>
              </a:defRPr>
            </a:pPr>
            <a:endParaRPr lang="en-US"/>
          </a:p>
        </c:txPr>
        <c:crossAx val="861405871"/>
        <c:crosses val="autoZero"/>
        <c:crossBetween val="between"/>
      </c:valAx>
      <c:valAx>
        <c:axId val="157677663"/>
        <c:scaling>
          <c:orientation val="minMax"/>
          <c:max val="160"/>
          <c:min val="-40"/>
        </c:scaling>
        <c:delete val="0"/>
        <c:axPos val="t"/>
        <c:title>
          <c:tx>
            <c:rich>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r>
                  <a:rPr lang="en-AU"/>
                  <a:t>Per cent</a:t>
                </a:r>
              </a:p>
            </c:rich>
          </c:tx>
          <c:layout>
            <c:manualLayout>
              <c:xMode val="edge"/>
              <c:yMode val="edge"/>
              <c:x val="0.91851971326164872"/>
              <c:y val="0.12877258481099796"/>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838815311"/>
        <c:crosses val="max"/>
        <c:crossBetween val="between"/>
        <c:majorUnit val="20"/>
        <c:minorUnit val="4"/>
      </c:valAx>
      <c:catAx>
        <c:axId val="838815311"/>
        <c:scaling>
          <c:orientation val="minMax"/>
        </c:scaling>
        <c:delete val="1"/>
        <c:axPos val="l"/>
        <c:majorTickMark val="out"/>
        <c:minorTickMark val="none"/>
        <c:tickLblPos val="nextTo"/>
        <c:crossAx val="157677663"/>
        <c:crosses val="autoZero"/>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0747846212411772E-3"/>
          <c:y val="4.9585670635473797E-2"/>
          <c:w val="0.98371323662733123"/>
          <c:h val="0.94532714218648106"/>
        </c:manualLayout>
      </c:layout>
      <c:scatterChart>
        <c:scatterStyle val="lineMarker"/>
        <c:varyColors val="0"/>
        <c:ser>
          <c:idx val="2"/>
          <c:order val="0"/>
          <c:tx>
            <c:strRef>
              <c:f>'Chart restricted OECD countries'!$C$5</c:f>
              <c:strCache>
                <c:ptCount val="1"/>
                <c:pt idx="0">
                  <c:v>Fertility rate 2019</c:v>
                </c:pt>
              </c:strCache>
            </c:strRef>
          </c:tx>
          <c:spPr>
            <a:ln w="19050" cap="rnd">
              <a:noFill/>
              <a:round/>
            </a:ln>
            <a:effectLst/>
          </c:spPr>
          <c:marker>
            <c:symbol val="circle"/>
            <c:size val="5"/>
            <c:spPr>
              <a:solidFill>
                <a:schemeClr val="accent3"/>
              </a:solidFill>
              <a:ln w="9525">
                <a:solidFill>
                  <a:schemeClr val="accent3"/>
                </a:solidFill>
              </a:ln>
              <a:effectLst/>
            </c:spPr>
          </c:marker>
          <c:xVal>
            <c:numRef>
              <c:f>'Chart restricted OECD countries'!$B$6:$B$92</c:f>
              <c:numCache>
                <c:formatCode>General</c:formatCode>
                <c:ptCount val="87"/>
                <c:pt idx="0">
                  <c:v>9.4</c:v>
                </c:pt>
                <c:pt idx="1">
                  <c:v>9</c:v>
                </c:pt>
                <c:pt idx="2">
                  <c:v>5.8000000000000007</c:v>
                </c:pt>
                <c:pt idx="3">
                  <c:v>5</c:v>
                </c:pt>
                <c:pt idx="4">
                  <c:v>12.2</c:v>
                </c:pt>
                <c:pt idx="5">
                  <c:v>2.1</c:v>
                </c:pt>
                <c:pt idx="7">
                  <c:v>4.3999999999999995</c:v>
                </c:pt>
                <c:pt idx="8">
                  <c:v>6.5</c:v>
                </c:pt>
                <c:pt idx="9">
                  <c:v>4.7</c:v>
                </c:pt>
                <c:pt idx="10">
                  <c:v>6.3</c:v>
                </c:pt>
                <c:pt idx="11">
                  <c:v>6</c:v>
                </c:pt>
                <c:pt idx="12">
                  <c:v>11.1</c:v>
                </c:pt>
                <c:pt idx="13">
                  <c:v>9.3000000000000007</c:v>
                </c:pt>
                <c:pt idx="14">
                  <c:v>11.600000000000001</c:v>
                </c:pt>
                <c:pt idx="15">
                  <c:v>12</c:v>
                </c:pt>
                <c:pt idx="16">
                  <c:v>12</c:v>
                </c:pt>
                <c:pt idx="17">
                  <c:v>9.7000000000000011</c:v>
                </c:pt>
                <c:pt idx="18">
                  <c:v>9.1999999999999993</c:v>
                </c:pt>
                <c:pt idx="19">
                  <c:v>9.7000000000000011</c:v>
                </c:pt>
                <c:pt idx="20">
                  <c:v>7.3999999999999995</c:v>
                </c:pt>
                <c:pt idx="22">
                  <c:v>5.5</c:v>
                </c:pt>
                <c:pt idx="23">
                  <c:v>7.5</c:v>
                </c:pt>
                <c:pt idx="24">
                  <c:v>3</c:v>
                </c:pt>
                <c:pt idx="25">
                  <c:v>8.3000000000000007</c:v>
                </c:pt>
                <c:pt idx="26">
                  <c:v>7.6</c:v>
                </c:pt>
                <c:pt idx="27">
                  <c:v>9.4</c:v>
                </c:pt>
                <c:pt idx="28">
                  <c:v>10.299999999999999</c:v>
                </c:pt>
                <c:pt idx="29">
                  <c:v>3.2</c:v>
                </c:pt>
                <c:pt idx="30">
                  <c:v>6</c:v>
                </c:pt>
                <c:pt idx="32">
                  <c:v>5.7</c:v>
                </c:pt>
                <c:pt idx="33">
                  <c:v>5.7</c:v>
                </c:pt>
              </c:numCache>
            </c:numRef>
          </c:xVal>
          <c:yVal>
            <c:numRef>
              <c:f>'Chart restricted OECD countries'!$C$6:$C$92</c:f>
              <c:numCache>
                <c:formatCode>General</c:formatCode>
                <c:ptCount val="87"/>
                <c:pt idx="0">
                  <c:v>1.657</c:v>
                </c:pt>
                <c:pt idx="1">
                  <c:v>1.46</c:v>
                </c:pt>
                <c:pt idx="2">
                  <c:v>1.6</c:v>
                </c:pt>
                <c:pt idx="3">
                  <c:v>1.47</c:v>
                </c:pt>
                <c:pt idx="4">
                  <c:v>1.5449999999999999</c:v>
                </c:pt>
                <c:pt idx="5">
                  <c:v>1.7649999999999999</c:v>
                </c:pt>
                <c:pt idx="7">
                  <c:v>1.7</c:v>
                </c:pt>
                <c:pt idx="8">
                  <c:v>1.66</c:v>
                </c:pt>
                <c:pt idx="9">
                  <c:v>1.35</c:v>
                </c:pt>
                <c:pt idx="10">
                  <c:v>1.86</c:v>
                </c:pt>
                <c:pt idx="11">
                  <c:v>1.54</c:v>
                </c:pt>
                <c:pt idx="12">
                  <c:v>1.34</c:v>
                </c:pt>
                <c:pt idx="13">
                  <c:v>1.55</c:v>
                </c:pt>
                <c:pt idx="14">
                  <c:v>1.71</c:v>
                </c:pt>
                <c:pt idx="15">
                  <c:v>1.27</c:v>
                </c:pt>
                <c:pt idx="16">
                  <c:v>1.36</c:v>
                </c:pt>
                <c:pt idx="17">
                  <c:v>0.91800000000000004</c:v>
                </c:pt>
                <c:pt idx="18">
                  <c:v>1.61</c:v>
                </c:pt>
                <c:pt idx="19">
                  <c:v>1.61</c:v>
                </c:pt>
                <c:pt idx="20">
                  <c:v>1.34</c:v>
                </c:pt>
                <c:pt idx="22">
                  <c:v>1.57</c:v>
                </c:pt>
                <c:pt idx="23">
                  <c:v>1.72</c:v>
                </c:pt>
                <c:pt idx="24">
                  <c:v>1.53</c:v>
                </c:pt>
                <c:pt idx="25">
                  <c:v>1.44</c:v>
                </c:pt>
                <c:pt idx="26">
                  <c:v>1.43</c:v>
                </c:pt>
                <c:pt idx="27">
                  <c:v>1.61</c:v>
                </c:pt>
                <c:pt idx="28">
                  <c:v>1.23</c:v>
                </c:pt>
                <c:pt idx="29">
                  <c:v>1.71</c:v>
                </c:pt>
                <c:pt idx="30">
                  <c:v>1.48</c:v>
                </c:pt>
                <c:pt idx="32">
                  <c:v>1.63</c:v>
                </c:pt>
                <c:pt idx="33">
                  <c:v>1.706</c:v>
                </c:pt>
              </c:numCache>
            </c:numRef>
          </c:yVal>
          <c:smooth val="0"/>
          <c:extLst>
            <c:ext xmlns:c16="http://schemas.microsoft.com/office/drawing/2014/chart" uri="{C3380CC4-5D6E-409C-BE32-E72D297353CC}">
              <c16:uniqueId val="{00000000-3501-4A15-A62E-8FDDE4976A86}"/>
            </c:ext>
          </c:extLst>
        </c:ser>
        <c:ser>
          <c:idx val="3"/>
          <c:order val="1"/>
          <c:tx>
            <c:v>DUMMY</c:v>
          </c:tx>
          <c:spPr>
            <a:ln w="25400" cap="rnd">
              <a:noFill/>
              <a:round/>
            </a:ln>
            <a:effectLst/>
          </c:spPr>
          <c:marker>
            <c:symbol val="circle"/>
            <c:size val="5"/>
            <c:spPr>
              <a:solidFill>
                <a:schemeClr val="accent4"/>
              </a:solidFill>
              <a:ln w="9525">
                <a:solidFill>
                  <a:schemeClr val="accent4"/>
                </a:solidFill>
              </a:ln>
              <a:effectLst/>
            </c:spPr>
          </c:marker>
          <c:yVal>
            <c:numLit>
              <c:formatCode>General</c:formatCode>
              <c:ptCount val="1"/>
              <c:pt idx="0">
                <c:v>0</c:v>
              </c:pt>
            </c:numLit>
          </c:yVal>
          <c:smooth val="0"/>
          <c:extLst>
            <c:ext xmlns:c16="http://schemas.microsoft.com/office/drawing/2014/chart" uri="{C3380CC4-5D6E-409C-BE32-E72D297353CC}">
              <c16:uniqueId val="{00000001-3501-4A15-A62E-8FDDE4976A86}"/>
            </c:ext>
          </c:extLst>
        </c:ser>
        <c:ser>
          <c:idx val="0"/>
          <c:order val="2"/>
          <c:tx>
            <c:strRef>
              <c:f>'Chart restricted OECD countries'!$C$5</c:f>
              <c:strCache>
                <c:ptCount val="1"/>
                <c:pt idx="0">
                  <c:v>Fertility rate 2019</c:v>
                </c:pt>
              </c:strCache>
            </c:strRef>
          </c:tx>
          <c:spPr>
            <a:ln w="19050" cap="rnd">
              <a:noFill/>
              <a:round/>
            </a:ln>
            <a:effectLst/>
          </c:spPr>
          <c:marker>
            <c:symbol val="circle"/>
            <c:size val="5"/>
            <c:spPr>
              <a:solidFill>
                <a:schemeClr val="dk1"/>
              </a:solidFill>
              <a:ln w="9525">
                <a:solidFill>
                  <a:schemeClr val="accent1"/>
                </a:solidFill>
              </a:ln>
              <a:effectLst/>
            </c:spPr>
          </c:marker>
          <c:dPt>
            <c:idx val="0"/>
            <c:marker>
              <c:symbol val="circle"/>
              <c:size val="5"/>
              <c:spPr>
                <a:solidFill>
                  <a:schemeClr val="accent3"/>
                </a:solidFill>
                <a:ln w="9525">
                  <a:solidFill>
                    <a:schemeClr val="accent1"/>
                  </a:solidFill>
                </a:ln>
                <a:effectLst/>
              </c:spPr>
            </c:marker>
            <c:bubble3D val="0"/>
            <c:extLst>
              <c:ext xmlns:c16="http://schemas.microsoft.com/office/drawing/2014/chart" uri="{C3380CC4-5D6E-409C-BE32-E72D297353CC}">
                <c16:uniqueId val="{00000002-3501-4A15-A62E-8FDDE4976A86}"/>
              </c:ext>
            </c:extLst>
          </c:dPt>
          <c:trendline>
            <c:spPr>
              <a:ln w="19050" cap="rnd">
                <a:solidFill>
                  <a:schemeClr val="accent1"/>
                </a:solidFill>
                <a:prstDash val="sysDot"/>
              </a:ln>
              <a:effectLst/>
            </c:spPr>
            <c:trendlineType val="linear"/>
            <c:dispRSqr val="0"/>
            <c:dispEq val="0"/>
          </c:trendline>
          <c:trendline>
            <c:spPr>
              <a:ln w="25400" cap="rnd">
                <a:solidFill>
                  <a:schemeClr val="accent2"/>
                </a:solidFill>
                <a:prstDash val="solid"/>
              </a:ln>
              <a:effectLst/>
            </c:spPr>
            <c:trendlineType val="linear"/>
            <c:dispRSqr val="0"/>
            <c:dispEq val="0"/>
          </c:trendline>
          <c:xVal>
            <c:numRef>
              <c:f>'Chart restricted OECD countries'!$B$6:$B$92</c:f>
              <c:numCache>
                <c:formatCode>General</c:formatCode>
                <c:ptCount val="87"/>
                <c:pt idx="0">
                  <c:v>9.4</c:v>
                </c:pt>
                <c:pt idx="1">
                  <c:v>9</c:v>
                </c:pt>
                <c:pt idx="2">
                  <c:v>5.8000000000000007</c:v>
                </c:pt>
                <c:pt idx="3">
                  <c:v>5</c:v>
                </c:pt>
                <c:pt idx="4">
                  <c:v>12.2</c:v>
                </c:pt>
                <c:pt idx="5">
                  <c:v>2.1</c:v>
                </c:pt>
                <c:pt idx="7">
                  <c:v>4.3999999999999995</c:v>
                </c:pt>
                <c:pt idx="8">
                  <c:v>6.5</c:v>
                </c:pt>
                <c:pt idx="9">
                  <c:v>4.7</c:v>
                </c:pt>
                <c:pt idx="10">
                  <c:v>6.3</c:v>
                </c:pt>
                <c:pt idx="11">
                  <c:v>6</c:v>
                </c:pt>
                <c:pt idx="12">
                  <c:v>11.1</c:v>
                </c:pt>
                <c:pt idx="13">
                  <c:v>9.3000000000000007</c:v>
                </c:pt>
                <c:pt idx="14">
                  <c:v>11.600000000000001</c:v>
                </c:pt>
                <c:pt idx="15">
                  <c:v>12</c:v>
                </c:pt>
                <c:pt idx="16">
                  <c:v>12</c:v>
                </c:pt>
                <c:pt idx="17">
                  <c:v>9.7000000000000011</c:v>
                </c:pt>
                <c:pt idx="18">
                  <c:v>9.1999999999999993</c:v>
                </c:pt>
                <c:pt idx="19">
                  <c:v>9.7000000000000011</c:v>
                </c:pt>
                <c:pt idx="20">
                  <c:v>7.3999999999999995</c:v>
                </c:pt>
                <c:pt idx="22">
                  <c:v>5.5</c:v>
                </c:pt>
                <c:pt idx="23">
                  <c:v>7.5</c:v>
                </c:pt>
                <c:pt idx="24">
                  <c:v>3</c:v>
                </c:pt>
                <c:pt idx="25">
                  <c:v>8.3000000000000007</c:v>
                </c:pt>
                <c:pt idx="26">
                  <c:v>7.6</c:v>
                </c:pt>
                <c:pt idx="27">
                  <c:v>9.4</c:v>
                </c:pt>
                <c:pt idx="28">
                  <c:v>10.299999999999999</c:v>
                </c:pt>
                <c:pt idx="29">
                  <c:v>3.2</c:v>
                </c:pt>
                <c:pt idx="30">
                  <c:v>6</c:v>
                </c:pt>
                <c:pt idx="32">
                  <c:v>5.7</c:v>
                </c:pt>
                <c:pt idx="33">
                  <c:v>5.7</c:v>
                </c:pt>
              </c:numCache>
            </c:numRef>
          </c:xVal>
          <c:yVal>
            <c:numRef>
              <c:f>'Chart restricted OECD countries'!$C$6:$C$92</c:f>
              <c:numCache>
                <c:formatCode>General</c:formatCode>
                <c:ptCount val="87"/>
                <c:pt idx="0">
                  <c:v>1.657</c:v>
                </c:pt>
                <c:pt idx="1">
                  <c:v>1.46</c:v>
                </c:pt>
                <c:pt idx="2">
                  <c:v>1.6</c:v>
                </c:pt>
                <c:pt idx="3">
                  <c:v>1.47</c:v>
                </c:pt>
                <c:pt idx="4">
                  <c:v>1.5449999999999999</c:v>
                </c:pt>
                <c:pt idx="5">
                  <c:v>1.7649999999999999</c:v>
                </c:pt>
                <c:pt idx="7">
                  <c:v>1.7</c:v>
                </c:pt>
                <c:pt idx="8">
                  <c:v>1.66</c:v>
                </c:pt>
                <c:pt idx="9">
                  <c:v>1.35</c:v>
                </c:pt>
                <c:pt idx="10">
                  <c:v>1.86</c:v>
                </c:pt>
                <c:pt idx="11">
                  <c:v>1.54</c:v>
                </c:pt>
                <c:pt idx="12">
                  <c:v>1.34</c:v>
                </c:pt>
                <c:pt idx="13">
                  <c:v>1.55</c:v>
                </c:pt>
                <c:pt idx="14">
                  <c:v>1.71</c:v>
                </c:pt>
                <c:pt idx="15">
                  <c:v>1.27</c:v>
                </c:pt>
                <c:pt idx="16">
                  <c:v>1.36</c:v>
                </c:pt>
                <c:pt idx="17">
                  <c:v>0.91800000000000004</c:v>
                </c:pt>
                <c:pt idx="18">
                  <c:v>1.61</c:v>
                </c:pt>
                <c:pt idx="19">
                  <c:v>1.61</c:v>
                </c:pt>
                <c:pt idx="20">
                  <c:v>1.34</c:v>
                </c:pt>
                <c:pt idx="22">
                  <c:v>1.57</c:v>
                </c:pt>
                <c:pt idx="23">
                  <c:v>1.72</c:v>
                </c:pt>
                <c:pt idx="24">
                  <c:v>1.53</c:v>
                </c:pt>
                <c:pt idx="25">
                  <c:v>1.44</c:v>
                </c:pt>
                <c:pt idx="26">
                  <c:v>1.43</c:v>
                </c:pt>
                <c:pt idx="27">
                  <c:v>1.61</c:v>
                </c:pt>
                <c:pt idx="28">
                  <c:v>1.23</c:v>
                </c:pt>
                <c:pt idx="29">
                  <c:v>1.71</c:v>
                </c:pt>
                <c:pt idx="30">
                  <c:v>1.48</c:v>
                </c:pt>
                <c:pt idx="32">
                  <c:v>1.63</c:v>
                </c:pt>
                <c:pt idx="33">
                  <c:v>1.706</c:v>
                </c:pt>
              </c:numCache>
            </c:numRef>
          </c:yVal>
          <c:smooth val="0"/>
          <c:extLst>
            <c:ext xmlns:c16="http://schemas.microsoft.com/office/drawing/2014/chart" uri="{C3380CC4-5D6E-409C-BE32-E72D297353CC}">
              <c16:uniqueId val="{00000005-3501-4A15-A62E-8FDDE4976A86}"/>
            </c:ext>
          </c:extLst>
        </c:ser>
        <c:dLbls>
          <c:showLegendKey val="0"/>
          <c:showVal val="0"/>
          <c:showCatName val="0"/>
          <c:showSerName val="0"/>
          <c:showPercent val="0"/>
          <c:showBubbleSize val="0"/>
        </c:dLbls>
        <c:axId val="1892889007"/>
        <c:axId val="1423741887"/>
      </c:scatterChart>
      <c:scatterChart>
        <c:scatterStyle val="lineMarker"/>
        <c:varyColors val="0"/>
        <c:ser>
          <c:idx val="1"/>
          <c:order val="3"/>
          <c:tx>
            <c:v>DUMMY</c:v>
          </c:tx>
          <c:spPr>
            <a:ln w="25400" cap="rnd">
              <a:noFill/>
              <a:round/>
            </a:ln>
            <a:effectLst/>
          </c:spPr>
          <c:marker>
            <c:symbol val="none"/>
          </c:marker>
          <c:yVal>
            <c:numLit>
              <c:formatCode>General</c:formatCode>
              <c:ptCount val="1"/>
              <c:pt idx="0">
                <c:v>0</c:v>
              </c:pt>
            </c:numLit>
          </c:yVal>
          <c:smooth val="0"/>
          <c:extLst>
            <c:ext xmlns:c16="http://schemas.microsoft.com/office/drawing/2014/chart" uri="{C3380CC4-5D6E-409C-BE32-E72D297353CC}">
              <c16:uniqueId val="{00000006-3501-4A15-A62E-8FDDE4976A86}"/>
            </c:ext>
          </c:extLst>
        </c:ser>
        <c:dLbls>
          <c:showLegendKey val="0"/>
          <c:showVal val="0"/>
          <c:showCatName val="0"/>
          <c:showSerName val="0"/>
          <c:showPercent val="0"/>
          <c:showBubbleSize val="0"/>
        </c:dLbls>
        <c:axId val="1247251071"/>
        <c:axId val="1247261631"/>
      </c:scatterChart>
      <c:valAx>
        <c:axId val="1892889007"/>
        <c:scaling>
          <c:orientation val="minMax"/>
          <c:max val="12"/>
          <c:min val="2"/>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423741887"/>
        <c:crosses val="autoZero"/>
        <c:crossBetween val="midCat"/>
      </c:valAx>
      <c:valAx>
        <c:axId val="1423741887"/>
        <c:scaling>
          <c:orientation val="minMax"/>
          <c:max val="2"/>
          <c:min val="0.8"/>
        </c:scaling>
        <c:delete val="0"/>
        <c:axPos val="l"/>
        <c:majorGridlines>
          <c:spPr>
            <a:ln w="3175" cap="flat" cmpd="sng" algn="ctr">
              <a:solidFill>
                <a:srgbClr val="808080">
                  <a:alpha val="40000"/>
                </a:srgbClr>
              </a:solidFill>
              <a:round/>
            </a:ln>
            <a:effectLst/>
          </c:spPr>
        </c:majorGridlines>
        <c:numFmt formatCode="0.0" sourceLinked="0"/>
        <c:majorTickMark val="none"/>
        <c:minorTickMark val="none"/>
        <c:tickLblPos val="nextTo"/>
        <c:spPr>
          <a:noFill/>
          <a:ln w="12700" cap="flat" cmpd="sng" algn="ctr">
            <a:solidFill>
              <a:srgbClr val="808080">
                <a:alpha val="93000"/>
              </a:srgbClr>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892889007"/>
        <c:crosses val="autoZero"/>
        <c:crossBetween val="midCat"/>
      </c:valAx>
      <c:valAx>
        <c:axId val="1247261631"/>
        <c:scaling>
          <c:orientation val="minMax"/>
          <c:max val="6"/>
          <c:min val="0"/>
        </c:scaling>
        <c:delete val="1"/>
        <c:axPos val="r"/>
        <c:numFmt formatCode="0" sourceLinked="0"/>
        <c:majorTickMark val="in"/>
        <c:minorTickMark val="none"/>
        <c:tickLblPos val="nextTo"/>
        <c:crossAx val="1247251071"/>
        <c:crosses val="max"/>
        <c:crossBetween val="midCat"/>
        <c:majorUnit val="1"/>
        <c:minorUnit val="0.2"/>
      </c:valAx>
      <c:valAx>
        <c:axId val="1247251071"/>
        <c:scaling>
          <c:orientation val="minMax"/>
        </c:scaling>
        <c:delete val="1"/>
        <c:axPos val="b"/>
        <c:majorTickMark val="out"/>
        <c:minorTickMark val="none"/>
        <c:tickLblPos val="nextTo"/>
        <c:crossAx val="1247261631"/>
        <c:crosses val="autoZero"/>
        <c:crossBetween val="midCat"/>
      </c:valAx>
      <c:spPr>
        <a:noFill/>
        <a:ln w="25400">
          <a:noFill/>
        </a:ln>
        <a:effectLst/>
      </c:spPr>
    </c:plotArea>
    <c:plotVisOnly val="1"/>
    <c:dispBlanksAs val="gap"/>
    <c:showDLblsOverMax val="0"/>
  </c:chart>
  <c:spPr>
    <a:solidFill>
      <a:sysClr val="window" lastClr="FFFFFF"/>
    </a:solidFill>
    <a:ln w="25400"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941441553463334E-2"/>
          <c:y val="0.11251122825005806"/>
          <c:w val="0.89020741486488919"/>
          <c:h val="0.69693992758417722"/>
        </c:manualLayout>
      </c:layout>
      <c:lineChart>
        <c:grouping val="standard"/>
        <c:varyColors val="0"/>
        <c:ser>
          <c:idx val="0"/>
          <c:order val="0"/>
          <c:tx>
            <c:strRef>
              <c:f>Data!$B$2</c:f>
              <c:strCache>
                <c:ptCount val="1"/>
                <c:pt idx="0">
                  <c:v>Men, 2002</c:v>
                </c:pt>
              </c:strCache>
            </c:strRef>
          </c:tx>
          <c:spPr>
            <a:ln w="25400" cap="rnd">
              <a:solidFill>
                <a:schemeClr val="tx2"/>
              </a:solidFill>
              <a:round/>
            </a:ln>
            <a:effectLst/>
          </c:spPr>
          <c:marker>
            <c:symbol val="circle"/>
            <c:size val="5"/>
            <c:spPr>
              <a:solidFill>
                <a:schemeClr val="tx2"/>
              </a:solidFill>
              <a:ln w="25400">
                <a:solidFill>
                  <a:schemeClr val="tx2"/>
                </a:solidFill>
              </a:ln>
              <a:effectLst/>
            </c:spPr>
          </c:marker>
          <c:cat>
            <c:strRef>
              <c:f>Data!$A$3:$A$16</c:f>
              <c:strCache>
                <c:ptCount val="14"/>
                <c:pt idx="0">
                  <c:v>16-20</c:v>
                </c:pt>
                <c:pt idx="1">
                  <c:v>21-25</c:v>
                </c:pt>
                <c:pt idx="2">
                  <c:v>26-30</c:v>
                </c:pt>
                <c:pt idx="3">
                  <c:v>31-35</c:v>
                </c:pt>
                <c:pt idx="4">
                  <c:v>36-40</c:v>
                </c:pt>
                <c:pt idx="5">
                  <c:v>41-45</c:v>
                </c:pt>
                <c:pt idx="6">
                  <c:v>46-50</c:v>
                </c:pt>
                <c:pt idx="7">
                  <c:v>51-55</c:v>
                </c:pt>
                <c:pt idx="8">
                  <c:v>56-60</c:v>
                </c:pt>
                <c:pt idx="9">
                  <c:v>61-65</c:v>
                </c:pt>
                <c:pt idx="10">
                  <c:v>66-70</c:v>
                </c:pt>
                <c:pt idx="11">
                  <c:v>71-75</c:v>
                </c:pt>
                <c:pt idx="12">
                  <c:v>76-80</c:v>
                </c:pt>
                <c:pt idx="13">
                  <c:v>81-85</c:v>
                </c:pt>
              </c:strCache>
            </c:strRef>
          </c:cat>
          <c:val>
            <c:numRef>
              <c:f>Data!$B$3:$B$16</c:f>
              <c:numCache>
                <c:formatCode>0.0</c:formatCode>
                <c:ptCount val="14"/>
                <c:pt idx="0">
                  <c:v>6.4047494287189801</c:v>
                </c:pt>
                <c:pt idx="1">
                  <c:v>11.4426115581866</c:v>
                </c:pt>
                <c:pt idx="2">
                  <c:v>17.078304867393701</c:v>
                </c:pt>
                <c:pt idx="3">
                  <c:v>20.181708261852901</c:v>
                </c:pt>
                <c:pt idx="4">
                  <c:v>23.142231596694</c:v>
                </c:pt>
                <c:pt idx="5">
                  <c:v>21.361789454400899</c:v>
                </c:pt>
                <c:pt idx="6">
                  <c:v>19.697139671526202</c:v>
                </c:pt>
                <c:pt idx="7">
                  <c:v>18.631228775035702</c:v>
                </c:pt>
                <c:pt idx="8">
                  <c:v>19.995314349595098</c:v>
                </c:pt>
                <c:pt idx="9">
                  <c:v>20.3151319792942</c:v>
                </c:pt>
                <c:pt idx="10">
                  <c:v>23.455492417902398</c:v>
                </c:pt>
                <c:pt idx="11">
                  <c:v>22.662228216033199</c:v>
                </c:pt>
                <c:pt idx="12">
                  <c:v>16.957483999551599</c:v>
                </c:pt>
                <c:pt idx="13">
                  <c:v>13.871656880802201</c:v>
                </c:pt>
              </c:numCache>
            </c:numRef>
          </c:val>
          <c:smooth val="0"/>
          <c:extLst>
            <c:ext xmlns:c16="http://schemas.microsoft.com/office/drawing/2014/chart" uri="{C3380CC4-5D6E-409C-BE32-E72D297353CC}">
              <c16:uniqueId val="{00000000-A44D-49AD-92D7-8B6461BDD38F}"/>
            </c:ext>
          </c:extLst>
        </c:ser>
        <c:ser>
          <c:idx val="1"/>
          <c:order val="1"/>
          <c:tx>
            <c:strRef>
              <c:f>Data!$C$2</c:f>
              <c:strCache>
                <c:ptCount val="1"/>
                <c:pt idx="0">
                  <c:v>Women, 2002</c:v>
                </c:pt>
              </c:strCache>
            </c:strRef>
          </c:tx>
          <c:spPr>
            <a:ln w="25400" cap="rnd">
              <a:solidFill>
                <a:schemeClr val="bg2"/>
              </a:solidFill>
              <a:round/>
            </a:ln>
            <a:effectLst/>
          </c:spPr>
          <c:marker>
            <c:symbol val="circle"/>
            <c:size val="5"/>
            <c:spPr>
              <a:solidFill>
                <a:schemeClr val="bg2"/>
              </a:solidFill>
              <a:ln w="25400">
                <a:solidFill>
                  <a:schemeClr val="bg2"/>
                </a:solidFill>
              </a:ln>
              <a:effectLst/>
            </c:spPr>
          </c:marker>
          <c:cat>
            <c:strRef>
              <c:f>Data!$A$3:$A$16</c:f>
              <c:strCache>
                <c:ptCount val="14"/>
                <c:pt idx="0">
                  <c:v>16-20</c:v>
                </c:pt>
                <c:pt idx="1">
                  <c:v>21-25</c:v>
                </c:pt>
                <c:pt idx="2">
                  <c:v>26-30</c:v>
                </c:pt>
                <c:pt idx="3">
                  <c:v>31-35</c:v>
                </c:pt>
                <c:pt idx="4">
                  <c:v>36-40</c:v>
                </c:pt>
                <c:pt idx="5">
                  <c:v>41-45</c:v>
                </c:pt>
                <c:pt idx="6">
                  <c:v>46-50</c:v>
                </c:pt>
                <c:pt idx="7">
                  <c:v>51-55</c:v>
                </c:pt>
                <c:pt idx="8">
                  <c:v>56-60</c:v>
                </c:pt>
                <c:pt idx="9">
                  <c:v>61-65</c:v>
                </c:pt>
                <c:pt idx="10">
                  <c:v>66-70</c:v>
                </c:pt>
                <c:pt idx="11">
                  <c:v>71-75</c:v>
                </c:pt>
                <c:pt idx="12">
                  <c:v>76-80</c:v>
                </c:pt>
                <c:pt idx="13">
                  <c:v>81-85</c:v>
                </c:pt>
              </c:strCache>
            </c:strRef>
          </c:cat>
          <c:val>
            <c:numRef>
              <c:f>Data!$C$3:$C$16</c:f>
              <c:numCache>
                <c:formatCode>0.0</c:formatCode>
                <c:ptCount val="14"/>
                <c:pt idx="0">
                  <c:v>9.2203711754803699</c:v>
                </c:pt>
                <c:pt idx="1">
                  <c:v>19.913976379216699</c:v>
                </c:pt>
                <c:pt idx="2">
                  <c:v>35.067340917724302</c:v>
                </c:pt>
                <c:pt idx="3">
                  <c:v>44.762916225635998</c:v>
                </c:pt>
                <c:pt idx="4">
                  <c:v>45.852234805872698</c:v>
                </c:pt>
                <c:pt idx="5">
                  <c:v>40.039279903032998</c:v>
                </c:pt>
                <c:pt idx="6">
                  <c:v>35.205878510324702</c:v>
                </c:pt>
                <c:pt idx="7">
                  <c:v>32.869023814059297</c:v>
                </c:pt>
                <c:pt idx="8">
                  <c:v>37.650582416083601</c:v>
                </c:pt>
                <c:pt idx="9">
                  <c:v>37.161764915286803</c:v>
                </c:pt>
                <c:pt idx="10">
                  <c:v>34.997586956188499</c:v>
                </c:pt>
                <c:pt idx="11">
                  <c:v>34.5510630894846</c:v>
                </c:pt>
                <c:pt idx="12">
                  <c:v>30.7060268548958</c:v>
                </c:pt>
                <c:pt idx="13">
                  <c:v>21.925397572228601</c:v>
                </c:pt>
              </c:numCache>
            </c:numRef>
          </c:val>
          <c:smooth val="0"/>
          <c:extLst>
            <c:ext xmlns:c16="http://schemas.microsoft.com/office/drawing/2014/chart" uri="{C3380CC4-5D6E-409C-BE32-E72D297353CC}">
              <c16:uniqueId val="{00000001-A44D-49AD-92D7-8B6461BDD38F}"/>
            </c:ext>
          </c:extLst>
        </c:ser>
        <c:ser>
          <c:idx val="2"/>
          <c:order val="2"/>
          <c:tx>
            <c:strRef>
              <c:f>Data!$D$2</c:f>
              <c:strCache>
                <c:ptCount val="1"/>
                <c:pt idx="0">
                  <c:v>Men, 2022</c:v>
                </c:pt>
              </c:strCache>
            </c:strRef>
          </c:tx>
          <c:spPr>
            <a:ln w="25400" cap="rnd">
              <a:solidFill>
                <a:schemeClr val="accent2"/>
              </a:solidFill>
              <a:round/>
            </a:ln>
            <a:effectLst/>
          </c:spPr>
          <c:marker>
            <c:symbol val="circle"/>
            <c:size val="5"/>
            <c:spPr>
              <a:solidFill>
                <a:schemeClr val="accent2"/>
              </a:solidFill>
              <a:ln w="25400">
                <a:solidFill>
                  <a:schemeClr val="accent2"/>
                </a:solidFill>
              </a:ln>
              <a:effectLst/>
            </c:spPr>
          </c:marker>
          <c:cat>
            <c:strRef>
              <c:f>Data!$A$3:$A$16</c:f>
              <c:strCache>
                <c:ptCount val="14"/>
                <c:pt idx="0">
                  <c:v>16-20</c:v>
                </c:pt>
                <c:pt idx="1">
                  <c:v>21-25</c:v>
                </c:pt>
                <c:pt idx="2">
                  <c:v>26-30</c:v>
                </c:pt>
                <c:pt idx="3">
                  <c:v>31-35</c:v>
                </c:pt>
                <c:pt idx="4">
                  <c:v>36-40</c:v>
                </c:pt>
                <c:pt idx="5">
                  <c:v>41-45</c:v>
                </c:pt>
                <c:pt idx="6">
                  <c:v>46-50</c:v>
                </c:pt>
                <c:pt idx="7">
                  <c:v>51-55</c:v>
                </c:pt>
                <c:pt idx="8">
                  <c:v>56-60</c:v>
                </c:pt>
                <c:pt idx="9">
                  <c:v>61-65</c:v>
                </c:pt>
                <c:pt idx="10">
                  <c:v>66-70</c:v>
                </c:pt>
                <c:pt idx="11">
                  <c:v>71-75</c:v>
                </c:pt>
                <c:pt idx="12">
                  <c:v>76-80</c:v>
                </c:pt>
                <c:pt idx="13">
                  <c:v>81-85</c:v>
                </c:pt>
              </c:strCache>
            </c:strRef>
          </c:cat>
          <c:val>
            <c:numRef>
              <c:f>Data!$D$3:$D$16</c:f>
              <c:numCache>
                <c:formatCode>0.0</c:formatCode>
                <c:ptCount val="14"/>
                <c:pt idx="0">
                  <c:v>4.8393103076916804</c:v>
                </c:pt>
                <c:pt idx="1">
                  <c:v>9.8015315154594607</c:v>
                </c:pt>
                <c:pt idx="2">
                  <c:v>14.662947906197299</c:v>
                </c:pt>
                <c:pt idx="3">
                  <c:v>20.301487048896998</c:v>
                </c:pt>
                <c:pt idx="4">
                  <c:v>23.336084513918099</c:v>
                </c:pt>
                <c:pt idx="5">
                  <c:v>27.235028597161101</c:v>
                </c:pt>
                <c:pt idx="6">
                  <c:v>22.141765674247502</c:v>
                </c:pt>
                <c:pt idx="7">
                  <c:v>18.254077596034598</c:v>
                </c:pt>
                <c:pt idx="8">
                  <c:v>21.5474594186439</c:v>
                </c:pt>
                <c:pt idx="9">
                  <c:v>23.977326992197501</c:v>
                </c:pt>
                <c:pt idx="10">
                  <c:v>23.0822179771016</c:v>
                </c:pt>
                <c:pt idx="11">
                  <c:v>23.067891606225299</c:v>
                </c:pt>
                <c:pt idx="12">
                  <c:v>25.005315207205602</c:v>
                </c:pt>
                <c:pt idx="13">
                  <c:v>20.548496889582001</c:v>
                </c:pt>
              </c:numCache>
            </c:numRef>
          </c:val>
          <c:smooth val="0"/>
          <c:extLst>
            <c:ext xmlns:c16="http://schemas.microsoft.com/office/drawing/2014/chart" uri="{C3380CC4-5D6E-409C-BE32-E72D297353CC}">
              <c16:uniqueId val="{00000002-A44D-49AD-92D7-8B6461BDD38F}"/>
            </c:ext>
          </c:extLst>
        </c:ser>
        <c:ser>
          <c:idx val="3"/>
          <c:order val="3"/>
          <c:tx>
            <c:strRef>
              <c:f>Data!$E$2</c:f>
              <c:strCache>
                <c:ptCount val="1"/>
                <c:pt idx="0">
                  <c:v>Women, 2022</c:v>
                </c:pt>
              </c:strCache>
            </c:strRef>
          </c:tx>
          <c:spPr>
            <a:ln w="25400" cap="rnd">
              <a:solidFill>
                <a:schemeClr val="accent4"/>
              </a:solidFill>
              <a:round/>
            </a:ln>
            <a:effectLst/>
          </c:spPr>
          <c:marker>
            <c:symbol val="circle"/>
            <c:size val="5"/>
            <c:spPr>
              <a:solidFill>
                <a:schemeClr val="accent4"/>
              </a:solidFill>
              <a:ln w="25400">
                <a:solidFill>
                  <a:schemeClr val="accent4"/>
                </a:solidFill>
              </a:ln>
              <a:effectLst/>
            </c:spPr>
          </c:marker>
          <c:cat>
            <c:strRef>
              <c:f>Data!$A$3:$A$16</c:f>
              <c:strCache>
                <c:ptCount val="14"/>
                <c:pt idx="0">
                  <c:v>16-20</c:v>
                </c:pt>
                <c:pt idx="1">
                  <c:v>21-25</c:v>
                </c:pt>
                <c:pt idx="2">
                  <c:v>26-30</c:v>
                </c:pt>
                <c:pt idx="3">
                  <c:v>31-35</c:v>
                </c:pt>
                <c:pt idx="4">
                  <c:v>36-40</c:v>
                </c:pt>
                <c:pt idx="5">
                  <c:v>41-45</c:v>
                </c:pt>
                <c:pt idx="6">
                  <c:v>46-50</c:v>
                </c:pt>
                <c:pt idx="7">
                  <c:v>51-55</c:v>
                </c:pt>
                <c:pt idx="8">
                  <c:v>56-60</c:v>
                </c:pt>
                <c:pt idx="9">
                  <c:v>61-65</c:v>
                </c:pt>
                <c:pt idx="10">
                  <c:v>66-70</c:v>
                </c:pt>
                <c:pt idx="11">
                  <c:v>71-75</c:v>
                </c:pt>
                <c:pt idx="12">
                  <c:v>76-80</c:v>
                </c:pt>
                <c:pt idx="13">
                  <c:v>81-85</c:v>
                </c:pt>
              </c:strCache>
            </c:strRef>
          </c:cat>
          <c:val>
            <c:numRef>
              <c:f>Data!$E$3:$E$16</c:f>
              <c:numCache>
                <c:formatCode>0.0</c:formatCode>
                <c:ptCount val="14"/>
                <c:pt idx="0">
                  <c:v>6.3628241792387303</c:v>
                </c:pt>
                <c:pt idx="1">
                  <c:v>14.6489754805306</c:v>
                </c:pt>
                <c:pt idx="2">
                  <c:v>24.7285030911085</c:v>
                </c:pt>
                <c:pt idx="3">
                  <c:v>38.343542964945598</c:v>
                </c:pt>
                <c:pt idx="4">
                  <c:v>38.519662120597303</c:v>
                </c:pt>
                <c:pt idx="5">
                  <c:v>37.788196873709403</c:v>
                </c:pt>
                <c:pt idx="6">
                  <c:v>33.385903571874401</c:v>
                </c:pt>
                <c:pt idx="7">
                  <c:v>31.095880174593201</c:v>
                </c:pt>
                <c:pt idx="8">
                  <c:v>29.598747861950201</c:v>
                </c:pt>
                <c:pt idx="9">
                  <c:v>34.505732427146903</c:v>
                </c:pt>
                <c:pt idx="10">
                  <c:v>33.791218947170798</c:v>
                </c:pt>
                <c:pt idx="11">
                  <c:v>31.662677991426001</c:v>
                </c:pt>
                <c:pt idx="12">
                  <c:v>28.8797221492955</c:v>
                </c:pt>
                <c:pt idx="13">
                  <c:v>25.678318078886601</c:v>
                </c:pt>
              </c:numCache>
            </c:numRef>
          </c:val>
          <c:smooth val="0"/>
          <c:extLst>
            <c:ext xmlns:c16="http://schemas.microsoft.com/office/drawing/2014/chart" uri="{C3380CC4-5D6E-409C-BE32-E72D297353CC}">
              <c16:uniqueId val="{00000003-A44D-49AD-92D7-8B6461BDD38F}"/>
            </c:ext>
          </c:extLst>
        </c:ser>
        <c:dLbls>
          <c:showLegendKey val="0"/>
          <c:showVal val="0"/>
          <c:showCatName val="0"/>
          <c:showSerName val="0"/>
          <c:showPercent val="0"/>
          <c:showBubbleSize val="0"/>
        </c:dLbls>
        <c:marker val="1"/>
        <c:smooth val="0"/>
        <c:axId val="1946315791"/>
        <c:axId val="1360745919"/>
      </c:lineChart>
      <c:catAx>
        <c:axId val="1946315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800" b="1">
                    <a:solidFill>
                      <a:schemeClr val="tx1"/>
                    </a:solidFill>
                    <a:latin typeface="Arial" panose="020B0604020202020204" pitchFamily="34" charset="0"/>
                    <a:cs typeface="Arial" panose="020B0604020202020204" pitchFamily="34" charset="0"/>
                  </a:rPr>
                  <a:t>Age group</a:t>
                </a:r>
              </a:p>
            </c:rich>
          </c:tx>
          <c:layout>
            <c:manualLayout>
              <c:xMode val="edge"/>
              <c:yMode val="edge"/>
              <c:x val="0.44800279562899153"/>
              <c:y val="0.8678775420498822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w="9525" cap="flat" cmpd="sng" algn="ctr">
            <a:solidFill>
              <a:srgbClr val="010000"/>
            </a:solidFill>
            <a:prstDash val="solid"/>
            <a:round/>
          </a:ln>
          <a:effec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360745919"/>
        <c:crosses val="autoZero"/>
        <c:auto val="1"/>
        <c:lblAlgn val="ctr"/>
        <c:lblOffset val="100"/>
        <c:noMultiLvlLbl val="0"/>
      </c:catAx>
      <c:valAx>
        <c:axId val="1360745919"/>
        <c:scaling>
          <c:orientation val="minMax"/>
        </c:scaling>
        <c:delete val="0"/>
        <c:axPos val="l"/>
        <c:majorGridlines>
          <c:spPr>
            <a:ln w="3175" cap="flat" cmpd="sng" algn="ctr">
              <a:solidFill>
                <a:srgbClr val="808080">
                  <a:alpha val="40000"/>
                </a:srgbClr>
              </a:solidFill>
              <a:prstDash val="solid"/>
              <a:round/>
              <a:headEnd type="none" w="med" len="med"/>
              <a:tailEnd type="none" w="med" len="med"/>
            </a:ln>
            <a:effectLst/>
          </c:spPr>
        </c:majorGridlines>
        <c:title>
          <c:tx>
            <c:rich>
              <a:bodyPr rot="0" spcFirstLastPara="1" vertOverflow="ellipsis" wrap="square" anchor="ctr" anchorCtr="1"/>
              <a:lstStyle/>
              <a:p>
                <a:pPr>
                  <a:defRPr sz="800" b="1" i="0" u="none" strike="noStrike" kern="1200" baseline="0">
                    <a:solidFill>
                      <a:srgbClr val="000000"/>
                    </a:solidFill>
                    <a:latin typeface="Arial"/>
                    <a:ea typeface="Arial"/>
                    <a:cs typeface="Arial"/>
                  </a:defRPr>
                </a:pPr>
                <a:r>
                  <a:rPr lang="en-AU"/>
                  <a:t>Hours per week</a:t>
                </a:r>
              </a:p>
            </c:rich>
          </c:tx>
          <c:layout>
            <c:manualLayout>
              <c:xMode val="edge"/>
              <c:yMode val="edge"/>
              <c:x val="1.5024994667186037E-2"/>
              <c:y val="2.6776035299427309E-2"/>
            </c:manualLayout>
          </c:layout>
          <c:overlay val="0"/>
          <c:spPr>
            <a:noFill/>
            <a:ln>
              <a:noFill/>
            </a:ln>
            <a:effectLst/>
          </c:spPr>
          <c:txPr>
            <a:bodyPr rot="0" spcFirstLastPara="1" vertOverflow="ellipsis" wrap="square" anchor="ctr" anchorCtr="1"/>
            <a:lstStyle/>
            <a:p>
              <a:pPr>
                <a:defRPr sz="800" b="1" i="0" u="none" strike="noStrike" kern="1200" baseline="0">
                  <a:solidFill>
                    <a:srgbClr val="000000"/>
                  </a:solidFill>
                  <a:latin typeface="Arial"/>
                  <a:ea typeface="Arial"/>
                  <a:cs typeface="Arial"/>
                </a:defRPr>
              </a:pPr>
              <a:endParaRPr lang="en-US"/>
            </a:p>
          </c:txPr>
        </c:title>
        <c:numFmt formatCode="0" sourceLinked="0"/>
        <c:majorTickMark val="in"/>
        <c:minorTickMark val="none"/>
        <c:tickLblPos val="nextTo"/>
        <c:spPr>
          <a:noFill/>
          <a:ln w="9525">
            <a:noFill/>
            <a:prstDash val="solid"/>
          </a:ln>
          <a:effectLst/>
          <a:extLst>
            <a:ext uri="{91240B29-F687-4F45-9708-019B960494DF}">
              <a14:hiddenLine xmlns:a14="http://schemas.microsoft.com/office/drawing/2010/main" w="9525">
                <a:solidFill>
                  <a:srgbClr val="010000"/>
                </a:solidFill>
                <a:prstDash val="solid"/>
              </a14:hiddenLine>
            </a:ext>
          </a:extLst>
        </c:spPr>
        <c:txPr>
          <a:bodyPr rot="-6000000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crossAx val="1946315791"/>
        <c:crosses val="autoZero"/>
        <c:crossBetween val="midCat"/>
        <c:majorUnit val="10"/>
      </c:valAx>
      <c:spPr>
        <a:noFill/>
        <a:ln w="25400">
          <a:noFill/>
        </a:ln>
        <a:effectLst/>
        <a:extLst>
          <a:ext uri="{909E8E84-426E-40DD-AFC4-6F175D3DCCD1}">
            <a14:hiddenFill xmlns:a14="http://schemas.microsoft.com/office/drawing/2010/main">
              <a:noFill/>
            </a14:hiddenFill>
          </a:ext>
        </a:extLst>
      </c:spPr>
    </c:plotArea>
    <c:legend>
      <c:legendPos val="b"/>
      <c:layout>
        <c:manualLayout>
          <c:xMode val="edge"/>
          <c:yMode val="edge"/>
          <c:x val="5.686157563949415E-2"/>
          <c:y val="0.9273184659742415"/>
          <c:w val="0.88567377582218687"/>
          <c:h val="6.593840493543919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a:ea typeface="Arial"/>
              <a:cs typeface="Arial"/>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25400"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0.73185</cdr:x>
      <cdr:y>0.25579</cdr:y>
    </cdr:from>
    <cdr:to>
      <cdr:x>0.88417</cdr:x>
      <cdr:y>0.34942</cdr:y>
    </cdr:to>
    <cdr:sp macro="" textlink="">
      <cdr:nvSpPr>
        <cdr:cNvPr id="3" name="Text Box 1"/>
        <cdr:cNvSpPr txBox="1"/>
      </cdr:nvSpPr>
      <cdr:spPr>
        <a:xfrm xmlns:a="http://schemas.openxmlformats.org/drawingml/2006/main">
          <a:off x="4083537" y="736599"/>
          <a:ext cx="849923" cy="26963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a:solidFill>
                <a:schemeClr val="accent3"/>
              </a:solidFill>
            </a:rPr>
            <a:t>Australia</a:t>
          </a:r>
        </a:p>
      </cdr:txBody>
    </cdr:sp>
  </cdr:relSizeAnchor>
</c:userShapes>
</file>

<file path=word/theme/theme1.xml><?xml version="1.0" encoding="utf-8"?>
<a:theme xmlns:a="http://schemas.openxmlformats.org/drawingml/2006/main" name="Corporat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3503</Words>
  <Characters>22280</Characters>
  <Application>Microsoft Office Word</Application>
  <DocSecurity>0</DocSecurity>
  <Lines>320</Lines>
  <Paragraphs>104</Paragraphs>
  <ScaleCrop>false</ScaleCrop>
  <HeadingPairs>
    <vt:vector size="2" baseType="variant">
      <vt:variant>
        <vt:lpstr>Title</vt:lpstr>
      </vt:variant>
      <vt:variant>
        <vt:i4>1</vt:i4>
      </vt:variant>
    </vt:vector>
  </HeadingPairs>
  <TitlesOfParts>
    <vt:vector size="1" baseType="lpstr">
      <vt:lpstr>Fertility decline in Australia: Is it here to stay?</vt:lpstr>
    </vt:vector>
  </TitlesOfParts>
  <Company/>
  <LinksUpToDate>false</LinksUpToDate>
  <CharactersWithSpaces>25739</CharactersWithSpaces>
  <SharedDoc>false</SharedDoc>
  <HLinks>
    <vt:vector size="228" baseType="variant">
      <vt:variant>
        <vt:i4>1441868</vt:i4>
      </vt:variant>
      <vt:variant>
        <vt:i4>111</vt:i4>
      </vt:variant>
      <vt:variant>
        <vt:i4>0</vt:i4>
      </vt:variant>
      <vt:variant>
        <vt:i4>5</vt:i4>
      </vt:variant>
      <vt:variant>
        <vt:lpwstr>https://www.ncbi.nlm.nih.gov/pmc/articles/PMC5548437/</vt:lpwstr>
      </vt:variant>
      <vt:variant>
        <vt:lpwstr/>
      </vt:variant>
      <vt:variant>
        <vt:i4>4849742</vt:i4>
      </vt:variant>
      <vt:variant>
        <vt:i4>108</vt:i4>
      </vt:variant>
      <vt:variant>
        <vt:i4>0</vt:i4>
      </vt:variant>
      <vt:variant>
        <vt:i4>5</vt:i4>
      </vt:variant>
      <vt:variant>
        <vt:lpwstr>https://genderdata.worldbank.org/en/indicator/sg-tim-uwrk?gender=gender-gap&amp;year=2019</vt:lpwstr>
      </vt:variant>
      <vt:variant>
        <vt:lpwstr/>
      </vt:variant>
      <vt:variant>
        <vt:i4>4390985</vt:i4>
      </vt:variant>
      <vt:variant>
        <vt:i4>105</vt:i4>
      </vt:variant>
      <vt:variant>
        <vt:i4>0</vt:i4>
      </vt:variant>
      <vt:variant>
        <vt:i4>5</vt:i4>
      </vt:variant>
      <vt:variant>
        <vt:lpwstr>https://www.un.org/en/development/desa/population/events/pdf/expert/24/Policy_Briefs/PB_Italy.pdf</vt:lpwstr>
      </vt:variant>
      <vt:variant>
        <vt:lpwstr/>
      </vt:variant>
      <vt:variant>
        <vt:i4>524305</vt:i4>
      </vt:variant>
      <vt:variant>
        <vt:i4>102</vt:i4>
      </vt:variant>
      <vt:variant>
        <vt:i4>0</vt:i4>
      </vt:variant>
      <vt:variant>
        <vt:i4>5</vt:i4>
      </vt:variant>
      <vt:variant>
        <vt:lpwstr>https://ourworldindata.org/fertility-rate</vt:lpwstr>
      </vt:variant>
      <vt:variant>
        <vt:lpwstr/>
      </vt:variant>
      <vt:variant>
        <vt:i4>4063240</vt:i4>
      </vt:variant>
      <vt:variant>
        <vt:i4>99</vt:i4>
      </vt:variant>
      <vt:variant>
        <vt:i4>0</vt:i4>
      </vt:variant>
      <vt:variant>
        <vt:i4>5</vt:i4>
      </vt:variant>
      <vt:variant>
        <vt:lpwstr>https://data.worldbank.org/indicator/SP.DYN.TFRT.IN?end=2019&amp;most_recent_year_desc=false&amp;start=2019&amp;view=chart</vt:lpwstr>
      </vt:variant>
      <vt:variant>
        <vt:lpwstr/>
      </vt:variant>
      <vt:variant>
        <vt:i4>2162727</vt:i4>
      </vt:variant>
      <vt:variant>
        <vt:i4>96</vt:i4>
      </vt:variant>
      <vt:variant>
        <vt:i4>0</vt:i4>
      </vt:variant>
      <vt:variant>
        <vt:i4>5</vt:i4>
      </vt:variant>
      <vt:variant>
        <vt:lpwstr>https://www.eastasiaforum.org/2022/10/26/will-japans-population-shrink-or-swim/</vt:lpwstr>
      </vt:variant>
      <vt:variant>
        <vt:lpwstr/>
      </vt:variant>
      <vt:variant>
        <vt:i4>2424872</vt:i4>
      </vt:variant>
      <vt:variant>
        <vt:i4>93</vt:i4>
      </vt:variant>
      <vt:variant>
        <vt:i4>0</vt:i4>
      </vt:variant>
      <vt:variant>
        <vt:i4>5</vt:i4>
      </vt:variant>
      <vt:variant>
        <vt:lpwstr>https://doi-org.virtual.anu.edu.au/10.1111/1467-8462.12540</vt:lpwstr>
      </vt:variant>
      <vt:variant>
        <vt:lpwstr/>
      </vt:variant>
      <vt:variant>
        <vt:i4>6094932</vt:i4>
      </vt:variant>
      <vt:variant>
        <vt:i4>90</vt:i4>
      </vt:variant>
      <vt:variant>
        <vt:i4>0</vt:i4>
      </vt:variant>
      <vt:variant>
        <vt:i4>5</vt:i4>
      </vt:variant>
      <vt:variant>
        <vt:lpwstr>https://populationandeconomics.pensoft.net/article/37938/list/1/</vt:lpwstr>
      </vt:variant>
      <vt:variant>
        <vt:lpwstr/>
      </vt:variant>
      <vt:variant>
        <vt:i4>5046351</vt:i4>
      </vt:variant>
      <vt:variant>
        <vt:i4>87</vt:i4>
      </vt:variant>
      <vt:variant>
        <vt:i4>0</vt:i4>
      </vt:variant>
      <vt:variant>
        <vt:i4>5</vt:i4>
      </vt:variant>
      <vt:variant>
        <vt:lpwstr>https://www.theguardian.com/world/2016/mar/10/the-death-of-the-great-australian-dream</vt:lpwstr>
      </vt:variant>
      <vt:variant>
        <vt:lpwstr/>
      </vt:variant>
      <vt:variant>
        <vt:i4>7143476</vt:i4>
      </vt:variant>
      <vt:variant>
        <vt:i4>84</vt:i4>
      </vt:variant>
      <vt:variant>
        <vt:i4>0</vt:i4>
      </vt:variant>
      <vt:variant>
        <vt:i4>5</vt:i4>
      </vt:variant>
      <vt:variant>
        <vt:lpwstr>https://www.eastasiaforum.org/2022/11/24/japan-must-reform-its-inflexible-work-culture/</vt:lpwstr>
      </vt:variant>
      <vt:variant>
        <vt:lpwstr/>
      </vt:variant>
      <vt:variant>
        <vt:i4>3866624</vt:i4>
      </vt:variant>
      <vt:variant>
        <vt:i4>81</vt:i4>
      </vt:variant>
      <vt:variant>
        <vt:i4>0</vt:i4>
      </vt:variant>
      <vt:variant>
        <vt:i4>5</vt:i4>
      </vt:variant>
      <vt:variant>
        <vt:lpwstr>https://population.gov.au/sites/population.gov.au/files/2021-09/2020_mcdonald_fertility_projections.pdf</vt:lpwstr>
      </vt:variant>
      <vt:variant>
        <vt:lpwstr/>
      </vt:variant>
      <vt:variant>
        <vt:i4>6946937</vt:i4>
      </vt:variant>
      <vt:variant>
        <vt:i4>78</vt:i4>
      </vt:variant>
      <vt:variant>
        <vt:i4>0</vt:i4>
      </vt:variant>
      <vt:variant>
        <vt:i4>5</vt:i4>
      </vt:variant>
      <vt:variant>
        <vt:lpwstr>https://www.niussp.org/fertility-and-reproduction/in-australia-fertility-is-falling-only-for-low-educated-womenen-australie-la-fecondite-baisse-uniquement-chez-les-femmes-peu-scolarisees/</vt:lpwstr>
      </vt:variant>
      <vt:variant>
        <vt:lpwstr/>
      </vt:variant>
      <vt:variant>
        <vt:i4>4390993</vt:i4>
      </vt:variant>
      <vt:variant>
        <vt:i4>75</vt:i4>
      </vt:variant>
      <vt:variant>
        <vt:i4>0</vt:i4>
      </vt:variant>
      <vt:variant>
        <vt:i4>5</vt:i4>
      </vt:variant>
      <vt:variant>
        <vt:lpwstr>https://www.pnas.org/doi/10.1073/pnas.1420441111</vt:lpwstr>
      </vt:variant>
      <vt:variant>
        <vt:lpwstr/>
      </vt:variant>
      <vt:variant>
        <vt:i4>3735678</vt:i4>
      </vt:variant>
      <vt:variant>
        <vt:i4>72</vt:i4>
      </vt:variant>
      <vt:variant>
        <vt:i4>0</vt:i4>
      </vt:variant>
      <vt:variant>
        <vt:i4>5</vt:i4>
      </vt:variant>
      <vt:variant>
        <vt:lpwstr>https://www.humanfertility.org/</vt:lpwstr>
      </vt:variant>
      <vt:variant>
        <vt:lpwstr/>
      </vt:variant>
      <vt:variant>
        <vt:i4>124</vt:i4>
      </vt:variant>
      <vt:variant>
        <vt:i4>69</vt:i4>
      </vt:variant>
      <vt:variant>
        <vt:i4>0</vt:i4>
      </vt:variant>
      <vt:variant>
        <vt:i4>5</vt:i4>
      </vt:variant>
      <vt:variant>
        <vt:lpwstr>https://population.gov.au/sites/population.gov.au/files/2022-03/ANU_Impacts-of-Policies-on-Fertility-Rates-Full-report.pdf</vt:lpwstr>
      </vt:variant>
      <vt:variant>
        <vt:lpwstr/>
      </vt:variant>
      <vt:variant>
        <vt:i4>2162727</vt:i4>
      </vt:variant>
      <vt:variant>
        <vt:i4>66</vt:i4>
      </vt:variant>
      <vt:variant>
        <vt:i4>0</vt:i4>
      </vt:variant>
      <vt:variant>
        <vt:i4>5</vt:i4>
      </vt:variant>
      <vt:variant>
        <vt:lpwstr>https://www.imf.org/en/Publications/fandd/issues/Series/Analytical-Series/new-economics-of-fertility-doepke-hannusch-kindermann-tertilt</vt:lpwstr>
      </vt:variant>
      <vt:variant>
        <vt:lpwstr/>
      </vt:variant>
      <vt:variant>
        <vt:i4>589911</vt:i4>
      </vt:variant>
      <vt:variant>
        <vt:i4>63</vt:i4>
      </vt:variant>
      <vt:variant>
        <vt:i4>0</vt:i4>
      </vt:variant>
      <vt:variant>
        <vt:i4>5</vt:i4>
      </vt:variant>
      <vt:variant>
        <vt:lpwstr>https://treasury.gov.au/publication/2023-intergenerational-report</vt:lpwstr>
      </vt:variant>
      <vt:variant>
        <vt:lpwstr/>
      </vt:variant>
      <vt:variant>
        <vt:i4>3342436</vt:i4>
      </vt:variant>
      <vt:variant>
        <vt:i4>60</vt:i4>
      </vt:variant>
      <vt:variant>
        <vt:i4>0</vt:i4>
      </vt:variant>
      <vt:variant>
        <vt:i4>5</vt:i4>
      </vt:variant>
      <vt:variant>
        <vt:lpwstr>https://treasury.gov.au/employment-whitepaper/final-report</vt:lpwstr>
      </vt:variant>
      <vt:variant>
        <vt:lpwstr/>
      </vt:variant>
      <vt:variant>
        <vt:i4>786525</vt:i4>
      </vt:variant>
      <vt:variant>
        <vt:i4>57</vt:i4>
      </vt:variant>
      <vt:variant>
        <vt:i4>0</vt:i4>
      </vt:variant>
      <vt:variant>
        <vt:i4>5</vt:i4>
      </vt:variant>
      <vt:variant>
        <vt:lpwstr>https://www.dss.gov.au/about-the-department/longitudinal-studies/living-in-australia-hilda-household-income-and-labour-dynamics-in-australia-overview</vt:lpwstr>
      </vt:variant>
      <vt:variant>
        <vt:lpwstr/>
      </vt:variant>
      <vt:variant>
        <vt:i4>7995490</vt:i4>
      </vt:variant>
      <vt:variant>
        <vt:i4>54</vt:i4>
      </vt:variant>
      <vt:variant>
        <vt:i4>0</vt:i4>
      </vt:variant>
      <vt:variant>
        <vt:i4>5</vt:i4>
      </vt:variant>
      <vt:variant>
        <vt:lpwstr>https://paa2004.populationassociation.org/papers/41632</vt:lpwstr>
      </vt:variant>
      <vt:variant>
        <vt:lpwstr/>
      </vt:variant>
      <vt:variant>
        <vt:i4>4849690</vt:i4>
      </vt:variant>
      <vt:variant>
        <vt:i4>51</vt:i4>
      </vt:variant>
      <vt:variant>
        <vt:i4>0</vt:i4>
      </vt:variant>
      <vt:variant>
        <vt:i4>5</vt:i4>
      </vt:variant>
      <vt:variant>
        <vt:lpwstr>https://doi-org.virtual.anu.edu.au/10.1007/s11205-010-9644-1</vt:lpwstr>
      </vt:variant>
      <vt:variant>
        <vt:lpwstr/>
      </vt:variant>
      <vt:variant>
        <vt:i4>1966174</vt:i4>
      </vt:variant>
      <vt:variant>
        <vt:i4>48</vt:i4>
      </vt:variant>
      <vt:variant>
        <vt:i4>0</vt:i4>
      </vt:variant>
      <vt:variant>
        <vt:i4>5</vt:i4>
      </vt:variant>
      <vt:variant>
        <vt:lpwstr>https://doi-org.virtual.anu.edu.au/10.1093/sp/jxq004</vt:lpwstr>
      </vt:variant>
      <vt:variant>
        <vt:lpwstr/>
      </vt:variant>
      <vt:variant>
        <vt:i4>4849744</vt:i4>
      </vt:variant>
      <vt:variant>
        <vt:i4>45</vt:i4>
      </vt:variant>
      <vt:variant>
        <vt:i4>0</vt:i4>
      </vt:variant>
      <vt:variant>
        <vt:i4>5</vt:i4>
      </vt:variant>
      <vt:variant>
        <vt:lpwstr>https://www.ncbi.nlm.nih.gov/pmc/articles/PMC6282098/pdf/main.pdf</vt:lpwstr>
      </vt:variant>
      <vt:variant>
        <vt:lpwstr/>
      </vt:variant>
      <vt:variant>
        <vt:i4>5373983</vt:i4>
      </vt:variant>
      <vt:variant>
        <vt:i4>42</vt:i4>
      </vt:variant>
      <vt:variant>
        <vt:i4>0</vt:i4>
      </vt:variant>
      <vt:variant>
        <vt:i4>5</vt:i4>
      </vt:variant>
      <vt:variant>
        <vt:lpwstr>https://www.damianclarke.net/research/papers/fertilityFLFPchapter.pdf</vt:lpwstr>
      </vt:variant>
      <vt:variant>
        <vt:lpwstr/>
      </vt:variant>
      <vt:variant>
        <vt:i4>5177439</vt:i4>
      </vt:variant>
      <vt:variant>
        <vt:i4>39</vt:i4>
      </vt:variant>
      <vt:variant>
        <vt:i4>0</vt:i4>
      </vt:variant>
      <vt:variant>
        <vt:i4>5</vt:i4>
      </vt:variant>
      <vt:variant>
        <vt:lpwstr>https://aifs.gov.au/research/facts-and-figures/births-australia-2023</vt:lpwstr>
      </vt:variant>
      <vt:variant>
        <vt:lpwstr/>
      </vt:variant>
      <vt:variant>
        <vt:i4>4390981</vt:i4>
      </vt:variant>
      <vt:variant>
        <vt:i4>36</vt:i4>
      </vt:variant>
      <vt:variant>
        <vt:i4>0</vt:i4>
      </vt:variant>
      <vt:variant>
        <vt:i4>5</vt:i4>
      </vt:variant>
      <vt:variant>
        <vt:lpwstr>https://www.abs.gov.au/statistics/economy/price-indexes-and-inflation/consumer-price-index-australia/jun-quarter-2024</vt:lpwstr>
      </vt:variant>
      <vt:variant>
        <vt:lpwstr/>
      </vt:variant>
      <vt:variant>
        <vt:i4>7864416</vt:i4>
      </vt:variant>
      <vt:variant>
        <vt:i4>33</vt:i4>
      </vt:variant>
      <vt:variant>
        <vt:i4>0</vt:i4>
      </vt:variant>
      <vt:variant>
        <vt:i4>5</vt:i4>
      </vt:variant>
      <vt:variant>
        <vt:lpwstr>https://www.abs.gov.au/statistics/economy/national-accounts/australian-national-accounts-national-income-expenditure-and-product/jun-2024</vt:lpwstr>
      </vt:variant>
      <vt:variant>
        <vt:lpwstr>data-downloads</vt:lpwstr>
      </vt:variant>
      <vt:variant>
        <vt:i4>5701725</vt:i4>
      </vt:variant>
      <vt:variant>
        <vt:i4>30</vt:i4>
      </vt:variant>
      <vt:variant>
        <vt:i4>0</vt:i4>
      </vt:variant>
      <vt:variant>
        <vt:i4>5</vt:i4>
      </vt:variant>
      <vt:variant>
        <vt:lpwstr>https://www.abs.gov.au/statistics/economy/price-indexes-and-inflation/selected-living-cost-indexes-australia/latest-release</vt:lpwstr>
      </vt:variant>
      <vt:variant>
        <vt:lpwstr>data-downloads</vt:lpwstr>
      </vt:variant>
      <vt:variant>
        <vt:i4>1114127</vt:i4>
      </vt:variant>
      <vt:variant>
        <vt:i4>27</vt:i4>
      </vt:variant>
      <vt:variant>
        <vt:i4>0</vt:i4>
      </vt:variant>
      <vt:variant>
        <vt:i4>5</vt:i4>
      </vt:variant>
      <vt:variant>
        <vt:lpwstr>https://www.abs.gov.au/statistics/economy/price-indexes-and-inflation/total-value-dwellings/latest-release</vt:lpwstr>
      </vt:variant>
      <vt:variant>
        <vt:lpwstr>data-downloads</vt:lpwstr>
      </vt:variant>
      <vt:variant>
        <vt:i4>2359338</vt:i4>
      </vt:variant>
      <vt:variant>
        <vt:i4>24</vt:i4>
      </vt:variant>
      <vt:variant>
        <vt:i4>0</vt:i4>
      </vt:variant>
      <vt:variant>
        <vt:i4>5</vt:i4>
      </vt:variant>
      <vt:variant>
        <vt:lpwstr>https://www.abs.gov.au/statistics/labour/employment-and-unemployment/labour-force-australia/latest-release</vt:lpwstr>
      </vt:variant>
      <vt:variant>
        <vt:lpwstr/>
      </vt:variant>
      <vt:variant>
        <vt:i4>5767175</vt:i4>
      </vt:variant>
      <vt:variant>
        <vt:i4>21</vt:i4>
      </vt:variant>
      <vt:variant>
        <vt:i4>0</vt:i4>
      </vt:variant>
      <vt:variant>
        <vt:i4>5</vt:i4>
      </vt:variant>
      <vt:variant>
        <vt:lpwstr>https://www.abs.gov.au/statistics/people/population/births-australia/2022</vt:lpwstr>
      </vt:variant>
      <vt:variant>
        <vt:lpwstr/>
      </vt:variant>
      <vt:variant>
        <vt:i4>6422565</vt:i4>
      </vt:variant>
      <vt:variant>
        <vt:i4>18</vt:i4>
      </vt:variant>
      <vt:variant>
        <vt:i4>0</vt:i4>
      </vt:variant>
      <vt:variant>
        <vt:i4>5</vt:i4>
      </vt:variant>
      <vt:variant>
        <vt:lpwstr>https://www.abs.gov.au/statistics/people/education/education-and-work-australia/latest-release</vt:lpwstr>
      </vt:variant>
      <vt:variant>
        <vt:lpwstr/>
      </vt:variant>
      <vt:variant>
        <vt:i4>917583</vt:i4>
      </vt:variant>
      <vt:variant>
        <vt:i4>15</vt:i4>
      </vt:variant>
      <vt:variant>
        <vt:i4>0</vt:i4>
      </vt:variant>
      <vt:variant>
        <vt:i4>5</vt:i4>
      </vt:variant>
      <vt:variant>
        <vt:lpwstr>https://www.lifeline.org.au/</vt:lpwstr>
      </vt:variant>
      <vt:variant>
        <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Fertility decline in Australia: Is it here to stay?</dc:title>
  <dc:subject/>
  <dc:creator/>
  <cp:keywords/>
  <cp:lastModifiedBy/>
  <cp:revision>1</cp:revision>
  <dcterms:created xsi:type="dcterms:W3CDTF">2024-10-29T04:43:00Z</dcterms:created>
  <dcterms:modified xsi:type="dcterms:W3CDTF">2024-10-29T04:45:00Z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2024-10-29T04:43:51Z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7f47878b-5d04-409b-99a8-e3fd49bd0cd5</vt:lpwstr>
  </property>
  <property fmtid="{D5CDD505-2E9C-101B-9397-08002B2CF9AE}" pid="8" name="MSIP_Label_4f932d64-9ab1-4d9b-81d2-a3a8b82dd47d_ContentBits">
    <vt:lpwstr>0</vt:lpwstr>
  </property>
</Properties>
</file>