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34784004"/>
        <w:docPartObj>
          <w:docPartGallery w:val="Cover Pages"/>
          <w:docPartUnique/>
        </w:docPartObj>
      </w:sdtPr>
      <w:sdtContent>
        <w:p w14:paraId="20303EB3" w14:textId="77777777" w:rsidR="00204375" w:rsidRDefault="00D207AA" w:rsidP="00204375">
          <w:r>
            <w:rPr>
              <w:noProof/>
              <w:lang w:eastAsia="en-AU"/>
            </w:rPr>
            <w:drawing>
              <wp:anchor distT="0" distB="0" distL="114300" distR="114300" simplePos="0" relativeHeight="251658240" behindDoc="1" locked="0" layoutInCell="1" allowOverlap="1" wp14:anchorId="3376ACB5" wp14:editId="5EAEEDCE">
                <wp:simplePos x="0" y="0"/>
                <wp:positionH relativeFrom="margin">
                  <wp:posOffset>-717550</wp:posOffset>
                </wp:positionH>
                <wp:positionV relativeFrom="page">
                  <wp:posOffset>182880</wp:posOffset>
                </wp:positionV>
                <wp:extent cx="7192990" cy="10174601"/>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ulus\csg_h$\MCD\Publishing\Graphic Design Services Team\Projects\2019\Treasury Branding update 2018\Proofs\WORD MOCKUPS\Annual report covers_WORD.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192990" cy="10174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21D6F" w14:textId="77777777" w:rsidR="00204375" w:rsidRDefault="00204375" w:rsidP="00204375">
          <w:r>
            <w:br/>
          </w:r>
        </w:p>
        <w:p w14:paraId="2028218B" w14:textId="77777777" w:rsidR="00844F83" w:rsidRPr="006D0240" w:rsidRDefault="00844F83" w:rsidP="00204375"/>
        <w:p w14:paraId="07052285" w14:textId="77777777" w:rsidR="00613121" w:rsidRPr="00B76165" w:rsidRDefault="00613121" w:rsidP="009353D9">
          <w:pPr>
            <w:pStyle w:val="Title"/>
            <w:spacing w:after="120" w:line="240" w:lineRule="auto"/>
            <w:rPr>
              <w:sz w:val="37"/>
              <w:szCs w:val="37"/>
            </w:rPr>
          </w:pPr>
          <w:r w:rsidRPr="00B76165">
            <w:rPr>
              <w:sz w:val="37"/>
              <w:szCs w:val="37"/>
            </w:rPr>
            <w:t>Submission to the inquiry into excess mortality</w:t>
          </w:r>
        </w:p>
        <w:p w14:paraId="7E90254E" w14:textId="25F8C9DF" w:rsidR="00204375" w:rsidRPr="005678B9" w:rsidRDefault="00C9144F" w:rsidP="00F12E38">
          <w:pPr>
            <w:pStyle w:val="Title"/>
            <w:spacing w:after="120" w:line="240" w:lineRule="auto"/>
            <w:rPr>
              <w:b w:val="0"/>
              <w:bCs/>
              <w:sz w:val="36"/>
              <w:szCs w:val="44"/>
            </w:rPr>
          </w:pPr>
          <w:r w:rsidRPr="00B76165">
            <w:rPr>
              <w:b w:val="0"/>
              <w:bCs/>
              <w:sz w:val="32"/>
              <w:szCs w:val="40"/>
            </w:rPr>
            <w:t xml:space="preserve">To the </w:t>
          </w:r>
          <w:r w:rsidR="005E24D4" w:rsidRPr="005678B9">
            <w:rPr>
              <w:b w:val="0"/>
              <w:bCs/>
              <w:sz w:val="32"/>
              <w:szCs w:val="40"/>
            </w:rPr>
            <w:t xml:space="preserve">Senate </w:t>
          </w:r>
          <w:r w:rsidR="00841F13" w:rsidRPr="00B76165">
            <w:rPr>
              <w:b w:val="0"/>
              <w:bCs/>
              <w:sz w:val="32"/>
              <w:szCs w:val="40"/>
            </w:rPr>
            <w:t xml:space="preserve">community affairs References </w:t>
          </w:r>
          <w:r w:rsidR="005E24D4" w:rsidRPr="005678B9">
            <w:rPr>
              <w:b w:val="0"/>
              <w:bCs/>
              <w:sz w:val="32"/>
              <w:szCs w:val="40"/>
            </w:rPr>
            <w:t>committee</w:t>
          </w:r>
        </w:p>
        <w:p w14:paraId="46D091C1" w14:textId="77777777" w:rsidR="006B13DF" w:rsidRPr="009353D9" w:rsidRDefault="006B13DF" w:rsidP="00844F83">
          <w:pPr>
            <w:pStyle w:val="PreparedBy"/>
            <w:spacing w:after="120"/>
            <w:rPr>
              <w:rFonts w:ascii="Calibri Light" w:hAnsi="Calibri Light" w:cs="Calibri Light"/>
              <w:sz w:val="22"/>
              <w:szCs w:val="22"/>
            </w:rPr>
          </w:pPr>
        </w:p>
        <w:p w14:paraId="010E1006" w14:textId="77777777" w:rsidR="00204375" w:rsidRPr="005678B9" w:rsidRDefault="00204375" w:rsidP="00844F83">
          <w:pPr>
            <w:pStyle w:val="PreparedBy"/>
            <w:spacing w:after="120"/>
            <w:rPr>
              <w:rFonts w:ascii="Calibri Light" w:hAnsi="Calibri Light" w:cs="Calibri Light"/>
              <w:sz w:val="32"/>
              <w:szCs w:val="32"/>
            </w:rPr>
          </w:pPr>
          <w:r w:rsidRPr="005678B9">
            <w:rPr>
              <w:rFonts w:ascii="Calibri Light" w:hAnsi="Calibri Light" w:cs="Calibri Light"/>
              <w:sz w:val="32"/>
              <w:szCs w:val="32"/>
            </w:rPr>
            <w:t>Prepared by the Centre for Population</w:t>
          </w:r>
        </w:p>
        <w:p w14:paraId="13896C5B" w14:textId="39F217BD" w:rsidR="00204375" w:rsidRPr="005678B9" w:rsidRDefault="00204375" w:rsidP="00844F83">
          <w:pPr>
            <w:pStyle w:val="PreparedBy"/>
            <w:spacing w:after="120"/>
            <w:rPr>
              <w:rFonts w:ascii="Calibri Light" w:hAnsi="Calibri Light" w:cs="Calibri Light"/>
              <w:sz w:val="32"/>
              <w:szCs w:val="32"/>
            </w:rPr>
          </w:pPr>
        </w:p>
        <w:p w14:paraId="1A0E9F0D" w14:textId="77777777" w:rsidR="00D207AA" w:rsidRDefault="00204375" w:rsidP="00204375">
          <w:r>
            <w:rPr>
              <w:noProof/>
            </w:rPr>
            <w:t xml:space="preserve"> </w:t>
          </w:r>
          <w:r w:rsidR="00D207AA">
            <w:rPr>
              <w:noProof/>
            </w:rPr>
            <w:br w:type="page"/>
          </w:r>
        </w:p>
      </w:sdtContent>
    </w:sdt>
    <w:p w14:paraId="3B4AB817" w14:textId="53171B14" w:rsidR="00F836F9" w:rsidRPr="005E24D4" w:rsidRDefault="00F836F9" w:rsidP="005E24D4">
      <w:pPr>
        <w:ind w:left="720"/>
        <w:rPr>
          <w:color w:val="0563C1"/>
        </w:rPr>
        <w:sectPr w:rsidR="00F836F9" w:rsidRPr="005E24D4" w:rsidSect="00917E28">
          <w:footerReference w:type="default" r:id="rId13"/>
          <w:pgSz w:w="11906" w:h="16838" w:code="9"/>
          <w:pgMar w:top="1418" w:right="1418" w:bottom="1418" w:left="1418" w:header="709" w:footer="709" w:gutter="0"/>
          <w:pgNumType w:fmt="lowerRoman" w:start="0"/>
          <w:cols w:space="708"/>
          <w:titlePg/>
          <w:docGrid w:linePitch="360"/>
        </w:sectPr>
      </w:pPr>
    </w:p>
    <w:tbl>
      <w:tblPr>
        <w:tblStyle w:val="TableGrid"/>
        <w:tblpPr w:leftFromText="180" w:rightFromText="180" w:vertAnchor="text" w:horzAnchor="margin" w:tblpY="264"/>
        <w:tblW w:w="5001" w:type="pct"/>
        <w:shd w:val="clear" w:color="auto" w:fill="EBEBEB"/>
        <w:tblLook w:val="04A0" w:firstRow="1" w:lastRow="0" w:firstColumn="1" w:lastColumn="0" w:noHBand="0" w:noVBand="1"/>
      </w:tblPr>
      <w:tblGrid>
        <w:gridCol w:w="9074"/>
      </w:tblGrid>
      <w:tr w:rsidR="00F71D98" w14:paraId="68B9E31F" w14:textId="77777777" w:rsidTr="00F71D98">
        <w:tc>
          <w:tcPr>
            <w:tcW w:w="5000" w:type="pct"/>
            <w:shd w:val="clear" w:color="auto" w:fill="EBEBEB"/>
          </w:tcPr>
          <w:p w14:paraId="77773D36" w14:textId="0BCA2848" w:rsidR="00F71D98" w:rsidRPr="000553FE" w:rsidRDefault="00F71D98" w:rsidP="00A81705">
            <w:pPr>
              <w:pStyle w:val="BoxHeading"/>
              <w:numPr>
                <w:ilvl w:val="0"/>
                <w:numId w:val="0"/>
              </w:numPr>
            </w:pPr>
            <w:r>
              <w:lastRenderedPageBreak/>
              <w:t>Key Points</w:t>
            </w:r>
          </w:p>
          <w:p w14:paraId="4C2DBDF0" w14:textId="37BE6A2C" w:rsidR="00A81705" w:rsidRDefault="00A81705" w:rsidP="00A81705">
            <w:pPr>
              <w:pStyle w:val="BoxText"/>
            </w:pPr>
            <w:r>
              <w:t xml:space="preserve">Excess mortality since 2020 has corresponded </w:t>
            </w:r>
            <w:r w:rsidR="000F6AB0">
              <w:t>with</w:t>
            </w:r>
            <w:r>
              <w:t xml:space="preserve"> the prevalence of COVID-19 in the community and the timing of COVID</w:t>
            </w:r>
            <w:r w:rsidR="008E603A">
              <w:t>-19</w:t>
            </w:r>
            <w:r>
              <w:t xml:space="preserve"> waves.</w:t>
            </w:r>
          </w:p>
          <w:p w14:paraId="11DC7349" w14:textId="77777777" w:rsidR="00A81705" w:rsidRDefault="00A81705" w:rsidP="00A81705">
            <w:pPr>
              <w:pStyle w:val="BoxText"/>
            </w:pPr>
            <w:r>
              <w:t>Deaths were slightly higher than expected in 2021. Excess mortality then peaked in 2022, before moderating in 2023.</w:t>
            </w:r>
          </w:p>
          <w:p w14:paraId="513F7BDA" w14:textId="77777777" w:rsidR="00A81705" w:rsidRDefault="00A81705" w:rsidP="00A81705">
            <w:pPr>
              <w:pStyle w:val="BoxText"/>
            </w:pPr>
            <w:r>
              <w:t>The Centre for Population is forecasting excess mortality will continue to subside over 2023–24 to 2025–26.</w:t>
            </w:r>
          </w:p>
          <w:p w14:paraId="34743249" w14:textId="0B7F4D37" w:rsidR="00F71D98" w:rsidRDefault="00A81705" w:rsidP="00A81705">
            <w:pPr>
              <w:pStyle w:val="BoxText"/>
            </w:pPr>
            <w:r>
              <w:t>Excess mortality has seen Australia experience a decline in life expectancy for the first time since the early 1990s, although the decline is smaller than in many other countries.</w:t>
            </w:r>
          </w:p>
        </w:tc>
      </w:tr>
    </w:tbl>
    <w:p w14:paraId="0448EEFD" w14:textId="77777777" w:rsidR="00F71D98" w:rsidRPr="00835798" w:rsidRDefault="00F71D98" w:rsidP="00F71D98">
      <w:pPr>
        <w:pStyle w:val="Heading1"/>
      </w:pPr>
      <w:r w:rsidRPr="00835798">
        <w:t>Introduction</w:t>
      </w:r>
    </w:p>
    <w:p w14:paraId="7D051614" w14:textId="4045252D" w:rsidR="00F71D98" w:rsidRDefault="00F71D98" w:rsidP="00F71D98">
      <w:r>
        <w:t>The Centre for Population</w:t>
      </w:r>
      <w:r w:rsidR="00E61045">
        <w:t xml:space="preserve"> (the Centre</w:t>
      </w:r>
      <w:r w:rsidR="006D3D03" w:rsidRPr="00DE121C">
        <w:t>)</w:t>
      </w:r>
      <w:r w:rsidR="006D3D03">
        <w:t xml:space="preserve"> </w:t>
      </w:r>
      <w:r w:rsidR="008576B1">
        <w:t xml:space="preserve">in the </w:t>
      </w:r>
      <w:r w:rsidR="00F70348">
        <w:t xml:space="preserve">Australian Government </w:t>
      </w:r>
      <w:r w:rsidR="008576B1">
        <w:t>Department</w:t>
      </w:r>
      <w:r>
        <w:t xml:space="preserve"> of</w:t>
      </w:r>
      <w:r w:rsidRPr="005D0E53">
        <w:t xml:space="preserve"> the Treasury</w:t>
      </w:r>
      <w:r w:rsidR="008576B1">
        <w:t xml:space="preserve"> </w:t>
      </w:r>
      <w:r>
        <w:t>welcomes the invitation from the Senate Community Affairs References Committee to make this submission to the inquiry into excess mortality.</w:t>
      </w:r>
    </w:p>
    <w:p w14:paraId="25E4C0D2" w14:textId="7E1A6A31" w:rsidR="00F71D98" w:rsidRDefault="00604136" w:rsidP="00F71D98">
      <w:r>
        <w:t>In 2019, the Australian Government established the Centre t</w:t>
      </w:r>
      <w:r w:rsidR="00F71D98">
        <w:t xml:space="preserve">o better understand </w:t>
      </w:r>
      <w:r>
        <w:t>Australia’s changing</w:t>
      </w:r>
      <w:r w:rsidR="00F71D98">
        <w:t xml:space="preserve"> population. </w:t>
      </w:r>
      <w:r w:rsidR="00F71D98" w:rsidRPr="649AC865">
        <w:rPr>
          <w:rFonts w:eastAsia="Calibri Light" w:cs="Calibri Light"/>
        </w:rPr>
        <w:t>The Centre’s objectives are to: engage and collaborate, enrich the evidence base, and inform policy.</w:t>
      </w:r>
      <w:r w:rsidR="00214548">
        <w:t xml:space="preserve"> </w:t>
      </w:r>
      <w:r w:rsidR="00F71D98">
        <w:t>To meet these objectives, t</w:t>
      </w:r>
      <w:r w:rsidR="00F71D98" w:rsidRPr="005D0E53">
        <w:t xml:space="preserve">he Centre </w:t>
      </w:r>
      <w:r w:rsidR="00F71D98">
        <w:t xml:space="preserve">produces </w:t>
      </w:r>
      <w:r w:rsidR="00F71D98" w:rsidRPr="005D0E53">
        <w:t>data</w:t>
      </w:r>
      <w:r w:rsidR="00F71D98">
        <w:t xml:space="preserve"> analysis,</w:t>
      </w:r>
      <w:r w:rsidR="00F71D98" w:rsidRPr="005D0E53">
        <w:t xml:space="preserve"> </w:t>
      </w:r>
      <w:r w:rsidR="00F71D98">
        <w:t xml:space="preserve">population </w:t>
      </w:r>
      <w:r w:rsidR="00F71D98" w:rsidRPr="005D0E53">
        <w:t xml:space="preserve">forecasts </w:t>
      </w:r>
      <w:r w:rsidR="00F71D98">
        <w:t>and new</w:t>
      </w:r>
      <w:r w:rsidR="00F71D98" w:rsidRPr="005D0E53">
        <w:t xml:space="preserve"> </w:t>
      </w:r>
      <w:r w:rsidR="00F71D98">
        <w:t>research, which are</w:t>
      </w:r>
      <w:r w:rsidR="00F71D98" w:rsidRPr="005D0E53">
        <w:t xml:space="preserve"> regularly publishe</w:t>
      </w:r>
      <w:r w:rsidR="00F71D98">
        <w:t>d</w:t>
      </w:r>
      <w:r w:rsidR="00F71D98" w:rsidRPr="005D0E53">
        <w:t xml:space="preserve"> </w:t>
      </w:r>
      <w:r w:rsidR="00FB38B4">
        <w:t>on</w:t>
      </w:r>
      <w:r w:rsidR="00F71D98" w:rsidRPr="005D0E53">
        <w:t xml:space="preserve"> </w:t>
      </w:r>
      <w:hyperlink r:id="rId14" w:history="1">
        <w:r w:rsidR="00254784">
          <w:rPr>
            <w:rStyle w:val="Hyperlink"/>
          </w:rPr>
          <w:t>population.gov.au</w:t>
        </w:r>
      </w:hyperlink>
      <w:r w:rsidR="00F71D98" w:rsidRPr="005D0E53">
        <w:t>.</w:t>
      </w:r>
    </w:p>
    <w:p w14:paraId="53C5FB93" w14:textId="2F6A38E1" w:rsidR="00F71D98" w:rsidRDefault="00F71D98" w:rsidP="00F71D98">
      <w:r>
        <w:t xml:space="preserve">The Centre analyses mortality data from the </w:t>
      </w:r>
      <w:r w:rsidR="004A22ED">
        <w:t>Australian Bureau of Statistics (</w:t>
      </w:r>
      <w:r>
        <w:t>ABS</w:t>
      </w:r>
      <w:r w:rsidR="004A22ED">
        <w:t>)</w:t>
      </w:r>
      <w:r>
        <w:t xml:space="preserve"> and other sources to understand trends in mortality and its causes. Based on this analysis, and advice from the Australian Government Actuary, the Centre </w:t>
      </w:r>
      <w:r w:rsidR="000B4650">
        <w:t>forecasts</w:t>
      </w:r>
      <w:r>
        <w:t xml:space="preserve"> future mortality rates</w:t>
      </w:r>
      <w:r w:rsidR="00866611">
        <w:t xml:space="preserve">. This </w:t>
      </w:r>
      <w:r>
        <w:t>inform</w:t>
      </w:r>
      <w:r w:rsidR="00866611">
        <w:t>s</w:t>
      </w:r>
      <w:r>
        <w:t xml:space="preserve"> population projections in Australian Government Budget Papers</w:t>
      </w:r>
      <w:r w:rsidR="00866611">
        <w:t xml:space="preserve">, </w:t>
      </w:r>
      <w:r>
        <w:t>the Intergenerational Report</w:t>
      </w:r>
      <w:r w:rsidR="00214548">
        <w:t xml:space="preserve"> and the Centre’s flagship annual publication, </w:t>
      </w:r>
      <w:hyperlink r:id="rId15" w:history="1">
        <w:r w:rsidR="00214548" w:rsidRPr="00495274">
          <w:rPr>
            <w:rStyle w:val="Hyperlink"/>
          </w:rPr>
          <w:t>the Population Statement</w:t>
        </w:r>
      </w:hyperlink>
      <w:r w:rsidR="00214548">
        <w:t xml:space="preserve">, which </w:t>
      </w:r>
      <w:r w:rsidR="00F020F3">
        <w:t xml:space="preserve">analyses recent and expected future </w:t>
      </w:r>
      <w:r w:rsidR="00C9043E">
        <w:t>changes</w:t>
      </w:r>
      <w:r w:rsidR="00F020F3">
        <w:t xml:space="preserve"> in Australia’s population.</w:t>
      </w:r>
    </w:p>
    <w:p w14:paraId="6D511496" w14:textId="48CC0027" w:rsidR="00F71D98" w:rsidRDefault="00F71D98" w:rsidP="00F71D98">
      <w:pPr>
        <w:pStyle w:val="Heading1"/>
      </w:pPr>
      <w:bookmarkStart w:id="0" w:name="_Toc164062005"/>
      <w:r>
        <w:t>Mortality in Australia</w:t>
      </w:r>
      <w:bookmarkEnd w:id="0"/>
    </w:p>
    <w:p w14:paraId="5A8FA4B1" w14:textId="710F3DD6" w:rsidR="00F71D98" w:rsidRDefault="00F71D98" w:rsidP="00F71D98">
      <w:r>
        <w:t xml:space="preserve">Australia has the </w:t>
      </w:r>
      <w:r w:rsidR="00654654">
        <w:t xml:space="preserve">third </w:t>
      </w:r>
      <w:r>
        <w:t>highest life expectanc</w:t>
      </w:r>
      <w:r w:rsidR="00654654">
        <w:t>y</w:t>
      </w:r>
      <w:r>
        <w:t xml:space="preserve"> in the world</w:t>
      </w:r>
      <w:r w:rsidR="00F22D71">
        <w:t>,</w:t>
      </w:r>
      <w:r w:rsidR="00605C12">
        <w:t xml:space="preserve"> behind </w:t>
      </w:r>
      <w:r w:rsidR="00201FCF">
        <w:t xml:space="preserve">only </w:t>
      </w:r>
      <w:r w:rsidR="00605C12">
        <w:t>Monaco and Japan</w:t>
      </w:r>
      <w:r>
        <w:t>. Over the past 30 years, l</w:t>
      </w:r>
      <w:r w:rsidRPr="00552E02">
        <w:t>ife expectancies at birth have increase</w:t>
      </w:r>
      <w:r>
        <w:t>d</w:t>
      </w:r>
      <w:r w:rsidRPr="00552E02">
        <w:t>, from 75.0 years for males and 80.9 years for females in 1993, to 81.2</w:t>
      </w:r>
      <w:r w:rsidR="00C25628">
        <w:t> </w:t>
      </w:r>
      <w:r w:rsidRPr="00552E02">
        <w:t>years for males and 85.3 years for females in 2020</w:t>
      </w:r>
      <w:r w:rsidR="00BA26B4">
        <w:t>–</w:t>
      </w:r>
      <w:r w:rsidRPr="00552E02">
        <w:t>2</w:t>
      </w:r>
      <w:r>
        <w:t>2</w:t>
      </w:r>
      <w:r w:rsidRPr="00552E02">
        <w:t>.</w:t>
      </w:r>
      <w:r>
        <w:t xml:space="preserve"> </w:t>
      </w:r>
      <w:r w:rsidR="005B52C5">
        <w:t xml:space="preserve">The </w:t>
      </w:r>
      <w:r w:rsidR="00196DFF">
        <w:t>five</w:t>
      </w:r>
      <w:r w:rsidR="005B52C5">
        <w:t xml:space="preserve"> leading causes of deaths in 2021 were unchanged from 2012: ischaemic heart diseases, dementia including Alzheimer’s disease, cerebrovascular diseases, lung cancer, and chronic lower respiratory diseases.</w:t>
      </w:r>
      <w:r w:rsidR="005B52C5" w:rsidRPr="00471225">
        <w:rPr>
          <w:rStyle w:val="FootnoteReference"/>
        </w:rPr>
        <w:footnoteReference w:id="2"/>
      </w:r>
      <w:r w:rsidR="005B52C5">
        <w:t xml:space="preserve"> W</w:t>
      </w:r>
      <w:r w:rsidR="00CE2A67">
        <w:t>hile death rates have continued to decline, t</w:t>
      </w:r>
      <w:r w:rsidR="00CE2A67" w:rsidRPr="00F03DDF">
        <w:t xml:space="preserve">otal deaths </w:t>
      </w:r>
      <w:r w:rsidR="00CE2A67">
        <w:t xml:space="preserve">have </w:t>
      </w:r>
      <w:r w:rsidR="00B05F80">
        <w:t xml:space="preserve">gradually </w:t>
      </w:r>
      <w:r w:rsidR="00CE2A67" w:rsidRPr="00F03DDF">
        <w:t>increase</w:t>
      </w:r>
      <w:r w:rsidR="00CE2A67">
        <w:t>d</w:t>
      </w:r>
      <w:r w:rsidR="00CE2A67" w:rsidRPr="00F03DDF">
        <w:t xml:space="preserve"> from </w:t>
      </w:r>
      <w:r w:rsidR="00CE2A67">
        <w:t>121</w:t>
      </w:r>
      <w:r w:rsidR="00CE2A67" w:rsidRPr="00F03DDF">
        <w:t xml:space="preserve">,000 in </w:t>
      </w:r>
      <w:r w:rsidR="00CE2A67">
        <w:t>1992</w:t>
      </w:r>
      <w:r w:rsidR="00CE2A67" w:rsidRPr="00F03DDF">
        <w:t>–</w:t>
      </w:r>
      <w:r w:rsidR="00CE2A67">
        <w:t>93</w:t>
      </w:r>
      <w:r w:rsidR="00CE2A67" w:rsidRPr="00F03DDF">
        <w:t xml:space="preserve"> to </w:t>
      </w:r>
      <w:r w:rsidR="00CE2A67">
        <w:t>166</w:t>
      </w:r>
      <w:r w:rsidR="00CE2A67" w:rsidRPr="00F03DDF">
        <w:t xml:space="preserve">,000 </w:t>
      </w:r>
      <w:r w:rsidR="00CE2A67">
        <w:t>in</w:t>
      </w:r>
      <w:r w:rsidR="00CE2A67" w:rsidRPr="00F03DDF">
        <w:t xml:space="preserve"> 20</w:t>
      </w:r>
      <w:r w:rsidR="00CE2A67">
        <w:t>20</w:t>
      </w:r>
      <w:r w:rsidR="00CE2A67" w:rsidRPr="00F03DDF">
        <w:t>–</w:t>
      </w:r>
      <w:r w:rsidR="00CE2A67">
        <w:t>21 (Chart 1)</w:t>
      </w:r>
      <w:r w:rsidR="00CE2A67" w:rsidRPr="00F03DDF">
        <w:t>, in line with the increasing size and ageing of the population.</w:t>
      </w:r>
      <w:r w:rsidR="00CE2A67">
        <w:t xml:space="preserve"> </w:t>
      </w:r>
    </w:p>
    <w:p w14:paraId="3008CB5B" w14:textId="429C57C9" w:rsidR="001A1FD6" w:rsidRDefault="004F4770" w:rsidP="00F71D98">
      <w:r>
        <w:t>T</w:t>
      </w:r>
      <w:r w:rsidR="00F71D98">
        <w:t>otal deaths climbed to 183,000 in 2021</w:t>
      </w:r>
      <w:r w:rsidR="00BA26B4">
        <w:t>–</w:t>
      </w:r>
      <w:r w:rsidR="00F71D98">
        <w:t>22 and 190,000 in 2022</w:t>
      </w:r>
      <w:r w:rsidR="00BA26B4">
        <w:t>–</w:t>
      </w:r>
      <w:r w:rsidR="00F71D98">
        <w:t>23</w:t>
      </w:r>
      <w:r w:rsidR="00F65FC0">
        <w:t xml:space="preserve">, as </w:t>
      </w:r>
      <w:r w:rsidR="000660CF">
        <w:t>COVID-19</w:t>
      </w:r>
      <w:r w:rsidR="00F65FC0">
        <w:t xml:space="preserve"> became </w:t>
      </w:r>
      <w:r w:rsidR="007048CF">
        <w:t xml:space="preserve">widespread </w:t>
      </w:r>
      <w:r w:rsidR="00B40540">
        <w:t xml:space="preserve">from </w:t>
      </w:r>
      <w:r w:rsidR="00A01568">
        <w:t>late 2021</w:t>
      </w:r>
      <w:r w:rsidR="00F71D98">
        <w:t xml:space="preserve">. </w:t>
      </w:r>
      <w:r w:rsidR="00801926">
        <w:t xml:space="preserve">To </w:t>
      </w:r>
      <w:r w:rsidR="00327C63">
        <w:t>the end of 2023, there were 21,600 COVID-19 deaths</w:t>
      </w:r>
      <w:r w:rsidR="00871488">
        <w:t>, including</w:t>
      </w:r>
      <w:r w:rsidR="00F71D98">
        <w:t xml:space="preserve"> 17,</w:t>
      </w:r>
      <w:r w:rsidR="008E5BC3">
        <w:t>1</w:t>
      </w:r>
      <w:r w:rsidR="00F71D98">
        <w:t xml:space="preserve">00 people who died </w:t>
      </w:r>
      <w:r w:rsidR="00871488">
        <w:t>due to the disease</w:t>
      </w:r>
      <w:r w:rsidR="001448D8">
        <w:t xml:space="preserve"> and a further 4,500 deaths where it was a contributing factor</w:t>
      </w:r>
      <w:r w:rsidR="007308B3">
        <w:t xml:space="preserve"> (Table 1)</w:t>
      </w:r>
      <w:r w:rsidR="007936A4">
        <w:t>.</w:t>
      </w:r>
      <w:r w:rsidR="008C0E6B">
        <w:rPr>
          <w:rStyle w:val="FootnoteReference"/>
        </w:rPr>
        <w:footnoteReference w:id="3"/>
      </w:r>
      <w:r w:rsidR="007936A4">
        <w:t xml:space="preserve"> Over </w:t>
      </w:r>
      <w:r w:rsidR="00B40540">
        <w:t>60 </w:t>
      </w:r>
      <w:r w:rsidR="007936A4">
        <w:t>per cent of COVID-</w:t>
      </w:r>
      <w:r w:rsidR="00125D54">
        <w:t>‍</w:t>
      </w:r>
      <w:r w:rsidR="007936A4">
        <w:t xml:space="preserve">19 deaths </w:t>
      </w:r>
      <w:r w:rsidR="00452F96">
        <w:t xml:space="preserve">were </w:t>
      </w:r>
      <w:r w:rsidR="007936A4">
        <w:t>in 2022</w:t>
      </w:r>
      <w:r w:rsidR="00F71D98">
        <w:t xml:space="preserve"> (when it </w:t>
      </w:r>
      <w:r w:rsidR="00B74202">
        <w:t xml:space="preserve">was </w:t>
      </w:r>
      <w:r w:rsidR="00F71D98">
        <w:t>the third leading cause of death)</w:t>
      </w:r>
      <w:r w:rsidR="00452F96">
        <w:t>,</w:t>
      </w:r>
      <w:r w:rsidR="00F71D98">
        <w:t xml:space="preserve"> and </w:t>
      </w:r>
      <w:r w:rsidR="00B40540">
        <w:t>28 per </w:t>
      </w:r>
      <w:r w:rsidR="00452F96">
        <w:t>cent were</w:t>
      </w:r>
      <w:r w:rsidR="00F71D98">
        <w:t xml:space="preserve"> in 2023.</w:t>
      </w:r>
      <w:r w:rsidR="00F71D98" w:rsidRPr="00C7519E">
        <w:rPr>
          <w:rStyle w:val="FootnoteReference"/>
        </w:rPr>
        <w:footnoteReference w:id="4"/>
      </w:r>
      <w:r w:rsidR="00F71D98">
        <w:t xml:space="preserve"> </w:t>
      </w:r>
      <w:r w:rsidR="00B97F45" w:rsidRPr="00DE43C0">
        <w:rPr>
          <w:szCs w:val="18"/>
        </w:rPr>
        <w:lastRenderedPageBreak/>
        <w:t>The vast majority (81.7 per cent) of deaths due to COVID-19 have been reported with other pre</w:t>
      </w:r>
      <w:r w:rsidR="0085600F">
        <w:rPr>
          <w:szCs w:val="18"/>
        </w:rPr>
        <w:noBreakHyphen/>
      </w:r>
      <w:r w:rsidR="00B97F45" w:rsidRPr="00DE43C0">
        <w:rPr>
          <w:szCs w:val="18"/>
        </w:rPr>
        <w:t>existing chronic conditions listed on the death certificate.</w:t>
      </w:r>
      <w:r w:rsidR="00F71D98" w:rsidRPr="005A5BF1">
        <w:rPr>
          <w:rStyle w:val="FootnoteReference"/>
        </w:rPr>
        <w:footnoteReference w:id="5"/>
      </w:r>
    </w:p>
    <w:p w14:paraId="790C49C6" w14:textId="61FD85DA" w:rsidR="00F9739B" w:rsidRDefault="00D8765D" w:rsidP="00D8765D">
      <w:pPr>
        <w:pStyle w:val="Heading9"/>
      </w:pPr>
      <w:r>
        <w:t xml:space="preserve">Deaths, </w:t>
      </w:r>
      <w:r w:rsidR="009C3F7F">
        <w:t xml:space="preserve">Year to </w:t>
      </w:r>
      <w:r w:rsidR="00987C2B">
        <w:t>June 19</w:t>
      </w:r>
      <w:r>
        <w:t xml:space="preserve">93 </w:t>
      </w:r>
      <w:r w:rsidR="00A80437">
        <w:t>through</w:t>
      </w:r>
      <w:r>
        <w:t xml:space="preserve"> </w:t>
      </w:r>
      <w:r w:rsidR="00A80437">
        <w:t xml:space="preserve">year to </w:t>
      </w:r>
      <w:r w:rsidR="00987C2B">
        <w:t>September 20</w:t>
      </w:r>
      <w:r>
        <w:t>23</w:t>
      </w:r>
    </w:p>
    <w:p w14:paraId="02DE038F" w14:textId="5626C13A" w:rsidR="0052132E" w:rsidRDefault="00C616DE" w:rsidP="006F7D65">
      <w:pPr>
        <w:spacing w:after="0"/>
      </w:pPr>
      <w:r w:rsidRPr="00C616DE">
        <w:rPr>
          <w:noProof/>
        </w:rPr>
        <w:drawing>
          <wp:inline distT="0" distB="0" distL="0" distR="0" wp14:anchorId="61E54619" wp14:editId="5D84B844">
            <wp:extent cx="5686425" cy="3143250"/>
            <wp:effectExtent l="0" t="0" r="0" b="0"/>
            <wp:docPr id="4" name="Picture 4" descr="This chart shows total annual deaths for Australia from June 1993 to September 2023. Annual deaths began rising rapidly (significantly faster than the pre-pandemic trend) from the second half of 2021, peaking in the March quarter of 2023. In the two subsequent quarters, annual deaths have decreased sharply, but remain above the pre-pandemic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total annual deaths for Australia from June 1993 to September 2023. Annual deaths began rising rapidly (significantly faster than the pre-pandemic trend) from the second half of 2021, peaking in the March quarter of 2023. In the two subsequent quarters, annual deaths have decreased sharply, but remain above the pre-pandemic tr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3143250"/>
                    </a:xfrm>
                    <a:prstGeom prst="rect">
                      <a:avLst/>
                    </a:prstGeom>
                    <a:noFill/>
                    <a:ln>
                      <a:noFill/>
                    </a:ln>
                  </pic:spPr>
                </pic:pic>
              </a:graphicData>
            </a:graphic>
          </wp:inline>
        </w:drawing>
      </w:r>
    </w:p>
    <w:p w14:paraId="358F69F3" w14:textId="62CAEF7C" w:rsidR="002678D9" w:rsidRDefault="002678D9" w:rsidP="006F7D65">
      <w:pPr>
        <w:spacing w:before="0" w:after="0"/>
      </w:pPr>
      <w:r>
        <w:t xml:space="preserve">Note: </w:t>
      </w:r>
      <w:r w:rsidR="005251CA">
        <w:t xml:space="preserve">Shaded </w:t>
      </w:r>
      <w:r>
        <w:t xml:space="preserve">COVID-19 </w:t>
      </w:r>
      <w:r w:rsidR="00CE246C">
        <w:t xml:space="preserve">period </w:t>
      </w:r>
      <w:r w:rsidR="0036018C">
        <w:t xml:space="preserve">is </w:t>
      </w:r>
      <w:r w:rsidR="00D549A4">
        <w:t>from the start of 2020</w:t>
      </w:r>
      <w:r w:rsidR="001B7968">
        <w:t xml:space="preserve">. </w:t>
      </w:r>
    </w:p>
    <w:p w14:paraId="4188D938" w14:textId="55E4EC93" w:rsidR="009E006D" w:rsidRPr="002839BD" w:rsidRDefault="009E006D" w:rsidP="006F7D65">
      <w:pPr>
        <w:spacing w:before="0"/>
      </w:pPr>
      <w:r>
        <w:t xml:space="preserve">Source: </w:t>
      </w:r>
      <w:r w:rsidR="009028B8">
        <w:t xml:space="preserve">ABS, </w:t>
      </w:r>
      <w:r w:rsidR="009028B8" w:rsidRPr="006F7D65">
        <w:rPr>
          <w:i/>
          <w:iCs/>
        </w:rPr>
        <w:t>National, state and territory population, September 2023</w:t>
      </w:r>
      <w:r w:rsidR="009028B8">
        <w:t>.</w:t>
      </w:r>
    </w:p>
    <w:p w14:paraId="231BA564" w14:textId="24D5CB0E" w:rsidR="00200E47" w:rsidRDefault="00741110" w:rsidP="00297FA5">
      <w:pPr>
        <w:pStyle w:val="Heading8"/>
        <w:ind w:left="993" w:hanging="993"/>
      </w:pPr>
      <w:r>
        <w:t>COVID-19 deaths</w:t>
      </w:r>
    </w:p>
    <w:tbl>
      <w:tblPr>
        <w:tblStyle w:val="CPOPTable"/>
        <w:tblW w:w="5000" w:type="pct"/>
        <w:tblLayout w:type="fixed"/>
        <w:tblLook w:val="04A0" w:firstRow="1" w:lastRow="0" w:firstColumn="1" w:lastColumn="0" w:noHBand="0" w:noVBand="1"/>
      </w:tblPr>
      <w:tblGrid>
        <w:gridCol w:w="1311"/>
        <w:gridCol w:w="2587"/>
        <w:gridCol w:w="2587"/>
        <w:gridCol w:w="2587"/>
      </w:tblGrid>
      <w:tr w:rsidR="00741110" w:rsidRPr="00C821DC" w14:paraId="26C974FE" w14:textId="6026D1E6" w:rsidTr="00297FA5">
        <w:trPr>
          <w:cnfStyle w:val="100000000000" w:firstRow="1" w:lastRow="0" w:firstColumn="0" w:lastColumn="0" w:oddVBand="0" w:evenVBand="0" w:oddHBand="0" w:evenHBand="0" w:firstRowFirstColumn="0" w:firstRowLastColumn="0" w:lastRowFirstColumn="0" w:lastRowLastColumn="0"/>
          <w:trHeight w:val="316"/>
        </w:trPr>
        <w:tc>
          <w:tcPr>
            <w:tcW w:w="722" w:type="pct"/>
          </w:tcPr>
          <w:p w14:paraId="63F91F89" w14:textId="3C772F6B" w:rsidR="00741110" w:rsidRPr="00C821DC" w:rsidRDefault="00741110" w:rsidP="00D028E2">
            <w:pPr>
              <w:pStyle w:val="TableSecondHeading"/>
            </w:pPr>
            <w:r w:rsidRPr="00C821DC">
              <w:t>Y</w:t>
            </w:r>
            <w:r w:rsidR="00D736E1">
              <w:t>ear</w:t>
            </w:r>
          </w:p>
        </w:tc>
        <w:tc>
          <w:tcPr>
            <w:tcW w:w="1426" w:type="pct"/>
          </w:tcPr>
          <w:p w14:paraId="673BB132" w14:textId="09D92350" w:rsidR="00741110" w:rsidRPr="00C821DC" w:rsidRDefault="008540D5" w:rsidP="00D028E2">
            <w:pPr>
              <w:pStyle w:val="TableSecondHeading"/>
            </w:pPr>
            <w:r>
              <w:t>Deaths due to COVID-19</w:t>
            </w:r>
          </w:p>
        </w:tc>
        <w:tc>
          <w:tcPr>
            <w:tcW w:w="1426" w:type="pct"/>
          </w:tcPr>
          <w:p w14:paraId="7809B09D" w14:textId="3E019E12" w:rsidR="00741110" w:rsidRPr="00C821DC" w:rsidRDefault="00E523B0" w:rsidP="00D028E2">
            <w:pPr>
              <w:pStyle w:val="TableSecondHeading"/>
            </w:pPr>
            <w:r>
              <w:t xml:space="preserve">COVID-19 </w:t>
            </w:r>
            <w:r w:rsidR="004C01DC">
              <w:t>related</w:t>
            </w:r>
            <w:r w:rsidR="008540D5">
              <w:t xml:space="preserve"> </w:t>
            </w:r>
          </w:p>
        </w:tc>
        <w:tc>
          <w:tcPr>
            <w:tcW w:w="1426" w:type="pct"/>
            <w:shd w:val="clear" w:color="auto" w:fill="F2F2F2" w:themeFill="background1" w:themeFillShade="F2"/>
          </w:tcPr>
          <w:p w14:paraId="4C4F5DF0" w14:textId="0C783701" w:rsidR="00741110" w:rsidRPr="00C821DC" w:rsidRDefault="008540D5" w:rsidP="00D028E2">
            <w:pPr>
              <w:pStyle w:val="TableSecondHeading"/>
            </w:pPr>
            <w:r>
              <w:t>All COVID-19 deaths</w:t>
            </w:r>
          </w:p>
        </w:tc>
      </w:tr>
      <w:tr w:rsidR="00741110" w:rsidRPr="000E0ACC" w14:paraId="545B45A1" w14:textId="523740F0" w:rsidTr="00297FA5">
        <w:trPr>
          <w:trHeight w:val="316"/>
        </w:trPr>
        <w:tc>
          <w:tcPr>
            <w:tcW w:w="722" w:type="pct"/>
          </w:tcPr>
          <w:p w14:paraId="1999F4CA" w14:textId="77777777" w:rsidR="00741110" w:rsidRPr="00C821DC" w:rsidRDefault="00741110" w:rsidP="00D028E2">
            <w:pPr>
              <w:pStyle w:val="TableSecondHeading"/>
            </w:pPr>
            <w:r w:rsidRPr="00C821DC">
              <w:t>2020</w:t>
            </w:r>
          </w:p>
        </w:tc>
        <w:tc>
          <w:tcPr>
            <w:tcW w:w="1426" w:type="pct"/>
          </w:tcPr>
          <w:p w14:paraId="4250ABEB" w14:textId="4A9FE2E4" w:rsidR="00741110" w:rsidRPr="000E0ACC" w:rsidRDefault="00EE5833" w:rsidP="00D028E2">
            <w:pPr>
              <w:pStyle w:val="TableTextRight"/>
            </w:pPr>
            <w:r>
              <w:t>906</w:t>
            </w:r>
          </w:p>
        </w:tc>
        <w:tc>
          <w:tcPr>
            <w:tcW w:w="1426" w:type="pct"/>
          </w:tcPr>
          <w:p w14:paraId="2BE03B9A" w14:textId="65FAA2ED" w:rsidR="00741110" w:rsidRPr="000E0ACC" w:rsidRDefault="005D3145" w:rsidP="00D028E2">
            <w:pPr>
              <w:pStyle w:val="TableTextRight"/>
            </w:pPr>
            <w:r>
              <w:t>9</w:t>
            </w:r>
          </w:p>
        </w:tc>
        <w:tc>
          <w:tcPr>
            <w:tcW w:w="1426" w:type="pct"/>
            <w:shd w:val="clear" w:color="auto" w:fill="F2F2F2" w:themeFill="background1" w:themeFillShade="F2"/>
          </w:tcPr>
          <w:p w14:paraId="2CC31081" w14:textId="5E1FD452" w:rsidR="00741110" w:rsidRPr="000E0ACC" w:rsidRDefault="006F4FE3" w:rsidP="00D028E2">
            <w:pPr>
              <w:pStyle w:val="TableTextRight"/>
            </w:pPr>
            <w:r>
              <w:t>915</w:t>
            </w:r>
          </w:p>
        </w:tc>
      </w:tr>
      <w:tr w:rsidR="00741110" w:rsidRPr="000E0ACC" w14:paraId="16BBF8C7" w14:textId="60F8D751" w:rsidTr="00297FA5">
        <w:trPr>
          <w:trHeight w:val="316"/>
        </w:trPr>
        <w:tc>
          <w:tcPr>
            <w:tcW w:w="722" w:type="pct"/>
          </w:tcPr>
          <w:p w14:paraId="4C8B24A7" w14:textId="77777777" w:rsidR="00741110" w:rsidRPr="00C821DC" w:rsidRDefault="00741110" w:rsidP="00D028E2">
            <w:pPr>
              <w:pStyle w:val="TableSecondHeading"/>
            </w:pPr>
            <w:r w:rsidRPr="00C821DC">
              <w:t>2021</w:t>
            </w:r>
          </w:p>
        </w:tc>
        <w:tc>
          <w:tcPr>
            <w:tcW w:w="1426" w:type="pct"/>
          </w:tcPr>
          <w:p w14:paraId="1109FB7A" w14:textId="4362EC58" w:rsidR="00741110" w:rsidRPr="000E0ACC" w:rsidRDefault="00EE5833" w:rsidP="00D028E2">
            <w:pPr>
              <w:pStyle w:val="TableTextRight"/>
            </w:pPr>
            <w:r>
              <w:t>1,35</w:t>
            </w:r>
            <w:r w:rsidR="0074086B">
              <w:t>5</w:t>
            </w:r>
          </w:p>
        </w:tc>
        <w:tc>
          <w:tcPr>
            <w:tcW w:w="1426" w:type="pct"/>
          </w:tcPr>
          <w:p w14:paraId="470144DF" w14:textId="4511C8F4" w:rsidR="00741110" w:rsidRPr="000E0ACC" w:rsidRDefault="005D3145" w:rsidP="00D028E2">
            <w:pPr>
              <w:pStyle w:val="TableTextRight"/>
            </w:pPr>
            <w:r>
              <w:t>6</w:t>
            </w:r>
            <w:r w:rsidR="00FC2034">
              <w:t>5</w:t>
            </w:r>
          </w:p>
        </w:tc>
        <w:tc>
          <w:tcPr>
            <w:tcW w:w="1426" w:type="pct"/>
            <w:shd w:val="clear" w:color="auto" w:fill="F2F2F2" w:themeFill="background1" w:themeFillShade="F2"/>
          </w:tcPr>
          <w:p w14:paraId="456922D4" w14:textId="56572270" w:rsidR="00741110" w:rsidRPr="000E0ACC" w:rsidRDefault="006F4FE3" w:rsidP="00D028E2">
            <w:pPr>
              <w:pStyle w:val="TableTextRight"/>
            </w:pPr>
            <w:r>
              <w:t>1,4</w:t>
            </w:r>
            <w:r w:rsidR="00EB3E88">
              <w:t>20</w:t>
            </w:r>
          </w:p>
        </w:tc>
      </w:tr>
      <w:tr w:rsidR="00741110" w:rsidRPr="000E0ACC" w14:paraId="42895761" w14:textId="4D4401AB" w:rsidTr="00297FA5">
        <w:trPr>
          <w:trHeight w:val="316"/>
        </w:trPr>
        <w:tc>
          <w:tcPr>
            <w:tcW w:w="722" w:type="pct"/>
          </w:tcPr>
          <w:p w14:paraId="4443B4FF" w14:textId="77777777" w:rsidR="00741110" w:rsidRPr="00C821DC" w:rsidRDefault="00741110" w:rsidP="00D028E2">
            <w:pPr>
              <w:pStyle w:val="TableSecondHeading"/>
            </w:pPr>
            <w:r w:rsidRPr="00C821DC">
              <w:t>2022</w:t>
            </w:r>
          </w:p>
        </w:tc>
        <w:tc>
          <w:tcPr>
            <w:tcW w:w="1426" w:type="pct"/>
          </w:tcPr>
          <w:p w14:paraId="74837825" w14:textId="67D10ECF" w:rsidR="00741110" w:rsidRPr="000E0ACC" w:rsidRDefault="00EE5833" w:rsidP="00D028E2">
            <w:pPr>
              <w:pStyle w:val="TableTextRight"/>
            </w:pPr>
            <w:r>
              <w:t>10,30</w:t>
            </w:r>
            <w:r w:rsidR="0074086B">
              <w:t>1</w:t>
            </w:r>
          </w:p>
        </w:tc>
        <w:tc>
          <w:tcPr>
            <w:tcW w:w="1426" w:type="pct"/>
          </w:tcPr>
          <w:p w14:paraId="72A517A7" w14:textId="5A31F928" w:rsidR="00741110" w:rsidRPr="000E0ACC" w:rsidRDefault="009B2B1E" w:rsidP="00D028E2">
            <w:pPr>
              <w:pStyle w:val="TableTextRight"/>
            </w:pPr>
            <w:r>
              <w:t>2,</w:t>
            </w:r>
            <w:r w:rsidR="00036F08">
              <w:t>9</w:t>
            </w:r>
            <w:r w:rsidR="00FC2034">
              <w:t>70</w:t>
            </w:r>
          </w:p>
        </w:tc>
        <w:tc>
          <w:tcPr>
            <w:tcW w:w="1426" w:type="pct"/>
            <w:shd w:val="clear" w:color="auto" w:fill="F2F2F2" w:themeFill="background1" w:themeFillShade="F2"/>
          </w:tcPr>
          <w:p w14:paraId="4500D8FC" w14:textId="4A306B31" w:rsidR="00741110" w:rsidRPr="000E0ACC" w:rsidRDefault="006F4FE3" w:rsidP="00D028E2">
            <w:pPr>
              <w:pStyle w:val="TableTextRight"/>
            </w:pPr>
            <w:r>
              <w:t>13,2</w:t>
            </w:r>
            <w:r w:rsidR="00EB3E88">
              <w:t>71</w:t>
            </w:r>
          </w:p>
        </w:tc>
      </w:tr>
      <w:tr w:rsidR="00741110" w:rsidRPr="000E0ACC" w14:paraId="2F94774D" w14:textId="64F013E1" w:rsidTr="00297FA5">
        <w:trPr>
          <w:trHeight w:val="316"/>
        </w:trPr>
        <w:tc>
          <w:tcPr>
            <w:tcW w:w="722" w:type="pct"/>
          </w:tcPr>
          <w:p w14:paraId="29EA0BDE" w14:textId="77777777" w:rsidR="00741110" w:rsidRPr="00C821DC" w:rsidRDefault="00741110" w:rsidP="00D028E2">
            <w:pPr>
              <w:pStyle w:val="TableSecondHeading"/>
            </w:pPr>
            <w:r w:rsidRPr="00C821DC">
              <w:t>2023</w:t>
            </w:r>
          </w:p>
        </w:tc>
        <w:tc>
          <w:tcPr>
            <w:tcW w:w="1426" w:type="pct"/>
          </w:tcPr>
          <w:p w14:paraId="12D5FF25" w14:textId="3E8D13B6" w:rsidR="00741110" w:rsidRPr="000E0ACC" w:rsidRDefault="00EE5833" w:rsidP="00D028E2">
            <w:pPr>
              <w:pStyle w:val="TableTextRight"/>
            </w:pPr>
            <w:r>
              <w:t>4,52</w:t>
            </w:r>
            <w:r w:rsidR="0074086B">
              <w:t>5</w:t>
            </w:r>
          </w:p>
        </w:tc>
        <w:tc>
          <w:tcPr>
            <w:tcW w:w="1426" w:type="pct"/>
          </w:tcPr>
          <w:p w14:paraId="36A9EA76" w14:textId="453A0FF3" w:rsidR="00741110" w:rsidRPr="000E0ACC" w:rsidRDefault="00036F08" w:rsidP="00D028E2">
            <w:pPr>
              <w:pStyle w:val="TableTextRight"/>
            </w:pPr>
            <w:r>
              <w:t>1,4</w:t>
            </w:r>
            <w:r w:rsidR="00FC2034">
              <w:t>44</w:t>
            </w:r>
          </w:p>
        </w:tc>
        <w:tc>
          <w:tcPr>
            <w:tcW w:w="1426" w:type="pct"/>
            <w:shd w:val="clear" w:color="auto" w:fill="F2F2F2" w:themeFill="background1" w:themeFillShade="F2"/>
          </w:tcPr>
          <w:p w14:paraId="69377E92" w14:textId="5F82A728" w:rsidR="00741110" w:rsidRPr="000E0ACC" w:rsidRDefault="008F5D37" w:rsidP="00D028E2">
            <w:pPr>
              <w:pStyle w:val="TableTextRight"/>
            </w:pPr>
            <w:r>
              <w:t>5,9</w:t>
            </w:r>
            <w:r w:rsidR="00EB3E88">
              <w:t>69</w:t>
            </w:r>
          </w:p>
        </w:tc>
      </w:tr>
      <w:tr w:rsidR="00EE5833" w:rsidRPr="000E0ACC" w14:paraId="20D50F8A" w14:textId="77777777" w:rsidTr="00297FA5">
        <w:trPr>
          <w:trHeight w:val="316"/>
        </w:trPr>
        <w:tc>
          <w:tcPr>
            <w:tcW w:w="0" w:type="pct"/>
          </w:tcPr>
          <w:p w14:paraId="4917A72D" w14:textId="7FA582DD" w:rsidR="00EE5833" w:rsidRPr="00C821DC" w:rsidRDefault="00EE5833" w:rsidP="00D028E2">
            <w:pPr>
              <w:pStyle w:val="TableSecondHeading"/>
            </w:pPr>
            <w:r>
              <w:t>Total</w:t>
            </w:r>
          </w:p>
        </w:tc>
        <w:tc>
          <w:tcPr>
            <w:tcW w:w="0" w:type="pct"/>
          </w:tcPr>
          <w:p w14:paraId="2B7532EE" w14:textId="3253871E" w:rsidR="00EE5833" w:rsidRPr="00297FA5" w:rsidRDefault="003A690E" w:rsidP="00D028E2">
            <w:pPr>
              <w:pStyle w:val="TableTextRight"/>
              <w:rPr>
                <w:b/>
                <w:bCs/>
              </w:rPr>
            </w:pPr>
            <w:r w:rsidRPr="00297FA5">
              <w:rPr>
                <w:b/>
                <w:bCs/>
              </w:rPr>
              <w:t>17,0</w:t>
            </w:r>
            <w:r w:rsidR="005770E8" w:rsidRPr="00297FA5">
              <w:rPr>
                <w:b/>
                <w:bCs/>
              </w:rPr>
              <w:t>8</w:t>
            </w:r>
            <w:r w:rsidR="006E0D83">
              <w:rPr>
                <w:b/>
                <w:bCs/>
              </w:rPr>
              <w:t>7</w:t>
            </w:r>
          </w:p>
        </w:tc>
        <w:tc>
          <w:tcPr>
            <w:tcW w:w="0" w:type="pct"/>
          </w:tcPr>
          <w:p w14:paraId="4A2F962C" w14:textId="49735EB8" w:rsidR="00EE5833" w:rsidRPr="00297FA5" w:rsidRDefault="008F49C3" w:rsidP="00D028E2">
            <w:pPr>
              <w:pStyle w:val="TableTextRight"/>
              <w:rPr>
                <w:b/>
                <w:bCs/>
              </w:rPr>
            </w:pPr>
            <w:r w:rsidRPr="00297FA5">
              <w:rPr>
                <w:b/>
                <w:bCs/>
              </w:rPr>
              <w:t>4,</w:t>
            </w:r>
            <w:r w:rsidR="007F1E00">
              <w:rPr>
                <w:b/>
                <w:bCs/>
              </w:rPr>
              <w:t>488</w:t>
            </w:r>
          </w:p>
        </w:tc>
        <w:tc>
          <w:tcPr>
            <w:tcW w:w="0" w:type="pct"/>
            <w:shd w:val="clear" w:color="auto" w:fill="F2F2F2" w:themeFill="background1" w:themeFillShade="F2"/>
          </w:tcPr>
          <w:p w14:paraId="1EA0FB4A" w14:textId="70A5AE97" w:rsidR="00EE5833" w:rsidRPr="00297FA5" w:rsidRDefault="005D760B" w:rsidP="00D028E2">
            <w:pPr>
              <w:pStyle w:val="TableTextRight"/>
              <w:rPr>
                <w:b/>
                <w:bCs/>
              </w:rPr>
            </w:pPr>
            <w:r w:rsidRPr="00297FA5">
              <w:rPr>
                <w:b/>
                <w:bCs/>
              </w:rPr>
              <w:t>21,</w:t>
            </w:r>
            <w:r w:rsidR="003D5FE4">
              <w:rPr>
                <w:b/>
                <w:bCs/>
              </w:rPr>
              <w:t>575</w:t>
            </w:r>
          </w:p>
        </w:tc>
      </w:tr>
    </w:tbl>
    <w:p w14:paraId="25A0EF5F" w14:textId="6A019921" w:rsidR="00200E47" w:rsidRPr="002839BD" w:rsidRDefault="008F3630" w:rsidP="006F7D65">
      <w:pPr>
        <w:spacing w:before="0"/>
      </w:pPr>
      <w:r>
        <w:t xml:space="preserve">Source: </w:t>
      </w:r>
      <w:r w:rsidR="007747A5">
        <w:t xml:space="preserve">ABS, </w:t>
      </w:r>
      <w:r w:rsidR="007747A5">
        <w:rPr>
          <w:i/>
          <w:iCs/>
        </w:rPr>
        <w:t>COVID-19 Mortality in Australia: Deaths registered until 31 January 2024.</w:t>
      </w:r>
    </w:p>
    <w:p w14:paraId="743C4EB7" w14:textId="77777777" w:rsidR="00F71D98" w:rsidRDefault="00F71D98" w:rsidP="00F71D98">
      <w:pPr>
        <w:pStyle w:val="Heading1"/>
      </w:pPr>
      <w:bookmarkStart w:id="1" w:name="_Toc164062006"/>
      <w:r>
        <w:t>Excess mortality since 2020</w:t>
      </w:r>
      <w:bookmarkEnd w:id="1"/>
    </w:p>
    <w:p w14:paraId="48A4AEFA" w14:textId="1C07D303" w:rsidR="00F71D98" w:rsidRPr="002E0100" w:rsidRDefault="00F71D98" w:rsidP="00F71D98">
      <w:r>
        <w:t>Excess mortality</w:t>
      </w:r>
      <w:r w:rsidRPr="00757DDB">
        <w:t xml:space="preserve"> </w:t>
      </w:r>
      <w:r>
        <w:t xml:space="preserve">provides a measure of whether deaths are above their normal or trend level. It is measured as the difference between the number of actual and ‘expected’ deaths in a specific period. Expected deaths is the number of deaths </w:t>
      </w:r>
      <w:r w:rsidR="00EF592A">
        <w:t>that would be anticipated</w:t>
      </w:r>
      <w:r>
        <w:t xml:space="preserve"> under ‘normal’ conditions (</w:t>
      </w:r>
      <w:r w:rsidR="0067094E">
        <w:t xml:space="preserve">for example, </w:t>
      </w:r>
      <w:r>
        <w:t>in the absence of the COVID-19 pandemic)</w:t>
      </w:r>
      <w:r w:rsidR="00160675">
        <w:t>. Expected deaths</w:t>
      </w:r>
      <w:r>
        <w:t xml:space="preserve"> can be </w:t>
      </w:r>
      <w:r w:rsidR="00BA414D">
        <w:t xml:space="preserve">modelled </w:t>
      </w:r>
      <w:r>
        <w:t>in different ways</w:t>
      </w:r>
      <w:r w:rsidR="00160675">
        <w:t xml:space="preserve">, </w:t>
      </w:r>
      <w:r w:rsidR="003C1243">
        <w:t>which can</w:t>
      </w:r>
      <w:r>
        <w:t xml:space="preserve"> lead to varying</w:t>
      </w:r>
      <w:r w:rsidRPr="002E0100">
        <w:t xml:space="preserve"> estimates</w:t>
      </w:r>
      <w:r>
        <w:t xml:space="preserve"> of expected</w:t>
      </w:r>
      <w:r w:rsidR="00C9073F">
        <w:t>,</w:t>
      </w:r>
      <w:r>
        <w:t xml:space="preserve"> and </w:t>
      </w:r>
      <w:r w:rsidR="00C9073F">
        <w:t>hence</w:t>
      </w:r>
      <w:r>
        <w:t xml:space="preserve"> excess</w:t>
      </w:r>
      <w:r w:rsidR="00C9073F">
        <w:t>,</w:t>
      </w:r>
      <w:r>
        <w:t xml:space="preserve"> deaths</w:t>
      </w:r>
      <w:r w:rsidRPr="002E0100">
        <w:t>.</w:t>
      </w:r>
      <w:r w:rsidR="0051159B">
        <w:t xml:space="preserve"> </w:t>
      </w:r>
      <w:r w:rsidR="00504E9C">
        <w:t>For example, t</w:t>
      </w:r>
      <w:r w:rsidR="0051159B">
        <w:t>he ABS</w:t>
      </w:r>
      <w:r w:rsidR="00504E9C">
        <w:t>’s metho</w:t>
      </w:r>
      <w:r w:rsidR="000702AD">
        <w:t>dology</w:t>
      </w:r>
      <w:r w:rsidR="00EC5AA6">
        <w:t xml:space="preserve"> </w:t>
      </w:r>
      <w:r w:rsidR="00B34530">
        <w:t xml:space="preserve">accounts for changes in the size and age profile of population, as well as seasonal factors like </w:t>
      </w:r>
      <w:r w:rsidR="00401B3B">
        <w:t>influenza season.</w:t>
      </w:r>
      <w:r w:rsidR="000702AD">
        <w:rPr>
          <w:rStyle w:val="FootnoteReference"/>
        </w:rPr>
        <w:footnoteReference w:id="6"/>
      </w:r>
    </w:p>
    <w:p w14:paraId="70D98742" w14:textId="75822335" w:rsidR="00F71D98" w:rsidRDefault="00F71D98" w:rsidP="00F71D98">
      <w:r w:rsidRPr="002E0100">
        <w:lastRenderedPageBreak/>
        <w:t xml:space="preserve">In the </w:t>
      </w:r>
      <w:r w:rsidR="003D4208">
        <w:t>7</w:t>
      </w:r>
      <w:r w:rsidRPr="002E0100">
        <w:t xml:space="preserve"> years prior to the pandemic, Australia’s excess mortality </w:t>
      </w:r>
      <w:r>
        <w:t>ranged</w:t>
      </w:r>
      <w:r w:rsidRPr="002E0100">
        <w:t xml:space="preserve"> from </w:t>
      </w:r>
      <w:r>
        <w:t xml:space="preserve">deaths being </w:t>
      </w:r>
      <w:r w:rsidRPr="002E0100">
        <w:t>2.7</w:t>
      </w:r>
      <w:r>
        <w:t> </w:t>
      </w:r>
      <w:r w:rsidRPr="002E0100">
        <w:t>per cent</w:t>
      </w:r>
      <w:r>
        <w:t xml:space="preserve"> above expected</w:t>
      </w:r>
      <w:r w:rsidRPr="002E0100">
        <w:t xml:space="preserve"> in 2017 to mortality</w:t>
      </w:r>
      <w:r w:rsidR="007D3E0D">
        <w:t xml:space="preserve"> </w:t>
      </w:r>
      <w:r w:rsidR="00EF564F">
        <w:t>being</w:t>
      </w:r>
      <w:r w:rsidRPr="002E0100">
        <w:t xml:space="preserve"> 1.6 per cent </w:t>
      </w:r>
      <w:r w:rsidR="00EF564F">
        <w:t xml:space="preserve">lower than expected </w:t>
      </w:r>
      <w:r w:rsidRPr="002E0100">
        <w:t>in 2018.</w:t>
      </w:r>
      <w:r w:rsidRPr="002E0100">
        <w:rPr>
          <w:rStyle w:val="FootnoteReference"/>
        </w:rPr>
        <w:footnoteReference w:id="7"/>
      </w:r>
      <w:r w:rsidRPr="002E0100">
        <w:t xml:space="preserve"> Over this period, excess mortality was typically concentrated in winter during virulent influenza seasons.</w:t>
      </w:r>
    </w:p>
    <w:p w14:paraId="6426D208" w14:textId="2DE42F4F" w:rsidR="00F71D98" w:rsidRDefault="00F71D98" w:rsidP="00F71D98">
      <w:r>
        <w:t xml:space="preserve">During the first </w:t>
      </w:r>
      <w:r w:rsidR="00196DFF">
        <w:t>two</w:t>
      </w:r>
      <w:r>
        <w:t xml:space="preserve"> years of the pandemic, deaths were 3.1 per cent (5,</w:t>
      </w:r>
      <w:r w:rsidR="00796D88">
        <w:t>3</w:t>
      </w:r>
      <w:r>
        <w:t xml:space="preserve">00) lower than expected in </w:t>
      </w:r>
      <w:proofErr w:type="gramStart"/>
      <w:r>
        <w:t>2020, and</w:t>
      </w:r>
      <w:proofErr w:type="gramEnd"/>
      <w:r>
        <w:t xml:space="preserve"> were 1.6 per cent (2,800) higher than expected in 2021</w:t>
      </w:r>
      <w:r w:rsidR="0062457A">
        <w:t xml:space="preserve"> (Table 2). </w:t>
      </w:r>
      <w:r w:rsidR="0068455B">
        <w:t>T</w:t>
      </w:r>
      <w:r w:rsidR="0062457A">
        <w:t>his period</w:t>
      </w:r>
      <w:r w:rsidR="0068455B">
        <w:t xml:space="preserve"> was marked by</w:t>
      </w:r>
      <w:r w:rsidR="0068455B" w:rsidRPr="0068455B">
        <w:t xml:space="preserve"> </w:t>
      </w:r>
      <w:r w:rsidR="0068455B">
        <w:t>lockdowns and border restrictions</w:t>
      </w:r>
      <w:r w:rsidR="0062457A">
        <w:t xml:space="preserve">, </w:t>
      </w:r>
      <w:r>
        <w:t xml:space="preserve">with limited spread of COVID-19 and other diseases. </w:t>
      </w:r>
    </w:p>
    <w:p w14:paraId="40545BD7" w14:textId="25F7C4D0" w:rsidR="00F71D98" w:rsidRDefault="00F71D98" w:rsidP="00F71D98">
      <w:r>
        <w:t xml:space="preserve">Excess mortality peaked in 2022 (11.7 per cent or 19,900 deaths above expected), </w:t>
      </w:r>
      <w:r w:rsidR="0086786E">
        <w:t>the</w:t>
      </w:r>
      <w:r>
        <w:t xml:space="preserve"> highe</w:t>
      </w:r>
      <w:r w:rsidR="0086786E">
        <w:t>st</w:t>
      </w:r>
      <w:r>
        <w:t xml:space="preserve"> rate </w:t>
      </w:r>
      <w:r w:rsidR="0005205C">
        <w:t>in</w:t>
      </w:r>
      <w:r w:rsidR="00C72FA5">
        <w:t xml:space="preserve"> </w:t>
      </w:r>
      <w:r>
        <w:t>the series (</w:t>
      </w:r>
      <w:r w:rsidR="00C72FA5">
        <w:t xml:space="preserve">which </w:t>
      </w:r>
      <w:r w:rsidR="006769C1">
        <w:t>begins in</w:t>
      </w:r>
      <w:r w:rsidR="0005205C">
        <w:t xml:space="preserve"> </w:t>
      </w:r>
      <w:r>
        <w:t>2013).</w:t>
      </w:r>
      <w:r w:rsidRPr="00EF6015">
        <w:rPr>
          <w:rStyle w:val="FootnoteReference"/>
        </w:rPr>
        <w:footnoteReference w:id="8"/>
      </w:r>
      <w:r>
        <w:t xml:space="preserve"> This </w:t>
      </w:r>
      <w:r w:rsidR="006179CA">
        <w:t xml:space="preserve">coincided with the peak in COVID-19 deaths, as </w:t>
      </w:r>
      <w:r w:rsidR="00F41EE7">
        <w:t xml:space="preserve">the </w:t>
      </w:r>
      <w:r w:rsidR="001D75EB">
        <w:t>virus</w:t>
      </w:r>
      <w:r w:rsidR="00F41EE7">
        <w:t xml:space="preserve"> became </w:t>
      </w:r>
      <w:r>
        <w:t>widespread in the community</w:t>
      </w:r>
      <w:r w:rsidRPr="001602D9">
        <w:t>.</w:t>
      </w:r>
    </w:p>
    <w:p w14:paraId="7F542643" w14:textId="57E9D8BD" w:rsidR="00F71D98" w:rsidRDefault="00F71D98" w:rsidP="00F71D98">
      <w:r>
        <w:t xml:space="preserve">Excess mortality </w:t>
      </w:r>
      <w:r w:rsidRPr="008A2EA0">
        <w:t>continued</w:t>
      </w:r>
      <w:r w:rsidR="009262F7">
        <w:t xml:space="preserve"> to be elevated</w:t>
      </w:r>
      <w:r w:rsidRPr="008A2EA0">
        <w:t xml:space="preserve"> in the first </w:t>
      </w:r>
      <w:r w:rsidR="003D4208">
        <w:t>8</w:t>
      </w:r>
      <w:r w:rsidR="003D4208" w:rsidRPr="008A2EA0">
        <w:t xml:space="preserve"> </w:t>
      </w:r>
      <w:r w:rsidRPr="008A2EA0">
        <w:t>months of 2023 (with deaths 6.1 per cent above expected)</w:t>
      </w:r>
      <w:r w:rsidR="007E5210">
        <w:t>,</w:t>
      </w:r>
      <w:r w:rsidRPr="008A2EA0">
        <w:t xml:space="preserve"> although</w:t>
      </w:r>
      <w:r w:rsidR="007E5210">
        <w:t xml:space="preserve"> this was</w:t>
      </w:r>
      <w:r w:rsidRPr="008A2EA0">
        <w:t xml:space="preserve"> lower than excess mortality recorded in the same period of 2022 (14.1 per cent)</w:t>
      </w:r>
      <w:r>
        <w:t>.</w:t>
      </w:r>
      <w:r w:rsidRPr="00C65CA2">
        <w:rPr>
          <w:rStyle w:val="FootnoteReference"/>
        </w:rPr>
        <w:footnoteReference w:id="9"/>
      </w:r>
      <w:r w:rsidRPr="008A2EA0">
        <w:t xml:space="preserve"> </w:t>
      </w:r>
      <w:r>
        <w:t xml:space="preserve">The Actuaries Institute’s Mortality Working Group estimates that excess mortality was 5 per cent over the </w:t>
      </w:r>
      <w:r w:rsidR="00D97CD3">
        <w:t>whole</w:t>
      </w:r>
      <w:r>
        <w:t xml:space="preserve"> 2023 calendar year (8,400 deaths above expected).</w:t>
      </w:r>
      <w:r w:rsidRPr="00017FC0">
        <w:rPr>
          <w:rStyle w:val="FootnoteReference"/>
        </w:rPr>
        <w:footnoteReference w:id="10"/>
      </w:r>
      <w:r>
        <w:t xml:space="preserve"> This moderating excess mortality occurred alongside the easing of COVID-19 mortality in 2023.</w:t>
      </w:r>
      <w:r w:rsidR="00B33FC8">
        <w:rPr>
          <w:rStyle w:val="FootnoteReference"/>
        </w:rPr>
        <w:footnoteReference w:id="11"/>
      </w:r>
    </w:p>
    <w:p w14:paraId="26483A93" w14:textId="712693A2" w:rsidR="00A81705" w:rsidRPr="00A03B10" w:rsidRDefault="00F71D98" w:rsidP="00797455">
      <w:pPr>
        <w:pStyle w:val="Heading8"/>
        <w:tabs>
          <w:tab w:val="left" w:pos="567"/>
        </w:tabs>
        <w:ind w:left="0" w:firstLine="0"/>
      </w:pPr>
      <w:r w:rsidRPr="00C7519E">
        <w:t>Excess mortality</w:t>
      </w:r>
      <w:r>
        <w:t xml:space="preserve"> estimates</w:t>
      </w:r>
      <w:r w:rsidRPr="00C7519E">
        <w:t>, by year</w:t>
      </w:r>
    </w:p>
    <w:tbl>
      <w:tblPr>
        <w:tblStyle w:val="CPOPTable"/>
        <w:tblW w:w="9120" w:type="dxa"/>
        <w:tblLayout w:type="fixed"/>
        <w:tblLook w:val="04A0" w:firstRow="1" w:lastRow="0" w:firstColumn="1" w:lastColumn="0" w:noHBand="0" w:noVBand="1"/>
      </w:tblPr>
      <w:tblGrid>
        <w:gridCol w:w="1843"/>
        <w:gridCol w:w="3638"/>
        <w:gridCol w:w="3639"/>
      </w:tblGrid>
      <w:tr w:rsidR="00A03B10" w:rsidRPr="00C821DC" w14:paraId="0BAC7ECE" w14:textId="77777777" w:rsidTr="00A03B10">
        <w:trPr>
          <w:cnfStyle w:val="100000000000" w:firstRow="1" w:lastRow="0" w:firstColumn="0" w:lastColumn="0" w:oddVBand="0" w:evenVBand="0" w:oddHBand="0" w:evenHBand="0" w:firstRowFirstColumn="0" w:firstRowLastColumn="0" w:lastRowFirstColumn="0" w:lastRowLastColumn="0"/>
          <w:trHeight w:val="316"/>
        </w:trPr>
        <w:tc>
          <w:tcPr>
            <w:tcW w:w="1843" w:type="dxa"/>
          </w:tcPr>
          <w:p w14:paraId="1DD57DFA" w14:textId="35ED7E6D" w:rsidR="00A03B10" w:rsidRPr="00C821DC" w:rsidRDefault="00A03B10">
            <w:pPr>
              <w:pStyle w:val="TableSecondHeading"/>
            </w:pPr>
            <w:r w:rsidRPr="00C821DC">
              <w:t>Y</w:t>
            </w:r>
            <w:r w:rsidR="006E5080">
              <w:t>ear</w:t>
            </w:r>
          </w:p>
        </w:tc>
        <w:tc>
          <w:tcPr>
            <w:tcW w:w="3638" w:type="dxa"/>
          </w:tcPr>
          <w:p w14:paraId="3DF69F71" w14:textId="26445B70" w:rsidR="00A03B10" w:rsidRPr="00C821DC" w:rsidRDefault="00A03B10">
            <w:pPr>
              <w:pStyle w:val="TableSecondHeading"/>
            </w:pPr>
            <w:r>
              <w:t>ABS</w:t>
            </w:r>
          </w:p>
        </w:tc>
        <w:tc>
          <w:tcPr>
            <w:tcW w:w="3639" w:type="dxa"/>
          </w:tcPr>
          <w:p w14:paraId="394F8D2A" w14:textId="4D62F730" w:rsidR="00A03B10" w:rsidRPr="00C821DC" w:rsidRDefault="00A03B10">
            <w:pPr>
              <w:pStyle w:val="TableSecondHeading"/>
            </w:pPr>
            <w:r>
              <w:t>Actuaries Institute</w:t>
            </w:r>
          </w:p>
        </w:tc>
      </w:tr>
      <w:tr w:rsidR="00A03B10" w:rsidRPr="00CA3A0A" w14:paraId="714CE6EB" w14:textId="77777777">
        <w:trPr>
          <w:trHeight w:val="316"/>
        </w:trPr>
        <w:tc>
          <w:tcPr>
            <w:tcW w:w="1843" w:type="dxa"/>
          </w:tcPr>
          <w:p w14:paraId="73896173" w14:textId="77777777" w:rsidR="00A03B10" w:rsidRPr="00C821DC" w:rsidRDefault="00A03B10" w:rsidP="00A03B10">
            <w:pPr>
              <w:pStyle w:val="TableSecondHeading"/>
            </w:pPr>
            <w:r w:rsidRPr="00C821DC">
              <w:t>2020</w:t>
            </w:r>
          </w:p>
        </w:tc>
        <w:tc>
          <w:tcPr>
            <w:tcW w:w="3638" w:type="dxa"/>
          </w:tcPr>
          <w:p w14:paraId="741C6A58" w14:textId="6138EEA3" w:rsidR="00A03B10" w:rsidRPr="000E0ACC" w:rsidRDefault="00A03B10" w:rsidP="00A03B10">
            <w:pPr>
              <w:pStyle w:val="TableTextRight"/>
            </w:pPr>
            <w:r>
              <w:rPr>
                <w:szCs w:val="18"/>
              </w:rPr>
              <w:t>-5,250 (-3.1%)</w:t>
            </w:r>
          </w:p>
        </w:tc>
        <w:tc>
          <w:tcPr>
            <w:tcW w:w="3639" w:type="dxa"/>
          </w:tcPr>
          <w:p w14:paraId="0128ADFB" w14:textId="287EB9A6" w:rsidR="00A03B10" w:rsidRPr="000E0ACC" w:rsidRDefault="00A03B10" w:rsidP="00A03B10">
            <w:pPr>
              <w:pStyle w:val="TableTextRight"/>
            </w:pPr>
            <w:r>
              <w:rPr>
                <w:szCs w:val="18"/>
              </w:rPr>
              <w:t>-4,</w:t>
            </w:r>
            <w:r w:rsidR="009A3E5D">
              <w:rPr>
                <w:szCs w:val="18"/>
              </w:rPr>
              <w:t>3</w:t>
            </w:r>
            <w:r>
              <w:rPr>
                <w:szCs w:val="18"/>
              </w:rPr>
              <w:t>00 (-3%)</w:t>
            </w:r>
          </w:p>
        </w:tc>
      </w:tr>
      <w:tr w:rsidR="00A03B10" w:rsidRPr="00CA3A0A" w14:paraId="34DDEA27" w14:textId="77777777">
        <w:trPr>
          <w:trHeight w:val="316"/>
        </w:trPr>
        <w:tc>
          <w:tcPr>
            <w:tcW w:w="1843" w:type="dxa"/>
          </w:tcPr>
          <w:p w14:paraId="2E43BB89" w14:textId="77777777" w:rsidR="00A03B10" w:rsidRPr="00C821DC" w:rsidRDefault="00A03B10" w:rsidP="00A03B10">
            <w:pPr>
              <w:pStyle w:val="TableSecondHeading"/>
            </w:pPr>
            <w:r w:rsidRPr="00C821DC">
              <w:t>2021</w:t>
            </w:r>
          </w:p>
        </w:tc>
        <w:tc>
          <w:tcPr>
            <w:tcW w:w="3638" w:type="dxa"/>
          </w:tcPr>
          <w:p w14:paraId="40BCA6D0" w14:textId="4051F46A" w:rsidR="00A03B10" w:rsidRPr="000E0ACC" w:rsidRDefault="00A03B10" w:rsidP="00A03B10">
            <w:pPr>
              <w:pStyle w:val="TableTextRight"/>
            </w:pPr>
            <w:r>
              <w:rPr>
                <w:szCs w:val="18"/>
              </w:rPr>
              <w:t>2,751 (1.6%)</w:t>
            </w:r>
          </w:p>
        </w:tc>
        <w:tc>
          <w:tcPr>
            <w:tcW w:w="3639" w:type="dxa"/>
          </w:tcPr>
          <w:p w14:paraId="20585E32" w14:textId="3D2AE2DB" w:rsidR="00A03B10" w:rsidRPr="000E0ACC" w:rsidRDefault="009A3E5D" w:rsidP="00A03B10">
            <w:pPr>
              <w:pStyle w:val="TableTextRight"/>
            </w:pPr>
            <w:r>
              <w:rPr>
                <w:szCs w:val="18"/>
              </w:rPr>
              <w:t>3</w:t>
            </w:r>
            <w:r w:rsidR="00A03B10">
              <w:rPr>
                <w:szCs w:val="18"/>
              </w:rPr>
              <w:t>,</w:t>
            </w:r>
            <w:r>
              <w:rPr>
                <w:szCs w:val="18"/>
              </w:rPr>
              <w:t>8</w:t>
            </w:r>
            <w:r w:rsidR="00A03B10">
              <w:rPr>
                <w:szCs w:val="18"/>
              </w:rPr>
              <w:t>00 (2%)</w:t>
            </w:r>
          </w:p>
        </w:tc>
      </w:tr>
      <w:tr w:rsidR="00A03B10" w:rsidRPr="00CA3A0A" w14:paraId="7C669571" w14:textId="77777777">
        <w:trPr>
          <w:trHeight w:val="316"/>
        </w:trPr>
        <w:tc>
          <w:tcPr>
            <w:tcW w:w="1843" w:type="dxa"/>
          </w:tcPr>
          <w:p w14:paraId="406CA5FF" w14:textId="77777777" w:rsidR="00A03B10" w:rsidRPr="00C821DC" w:rsidRDefault="00A03B10" w:rsidP="00A03B10">
            <w:pPr>
              <w:pStyle w:val="TableSecondHeading"/>
            </w:pPr>
            <w:r w:rsidRPr="00C821DC">
              <w:t>2022</w:t>
            </w:r>
          </w:p>
        </w:tc>
        <w:tc>
          <w:tcPr>
            <w:tcW w:w="3638" w:type="dxa"/>
          </w:tcPr>
          <w:p w14:paraId="762202E3" w14:textId="75C709C2" w:rsidR="00A03B10" w:rsidRPr="000E0ACC" w:rsidRDefault="00A03B10" w:rsidP="00A03B10">
            <w:pPr>
              <w:pStyle w:val="TableTextRight"/>
            </w:pPr>
            <w:r>
              <w:rPr>
                <w:szCs w:val="18"/>
              </w:rPr>
              <w:t>19,945 (11.7%)</w:t>
            </w:r>
          </w:p>
        </w:tc>
        <w:tc>
          <w:tcPr>
            <w:tcW w:w="3639" w:type="dxa"/>
          </w:tcPr>
          <w:p w14:paraId="11D5B9BA" w14:textId="13412B12" w:rsidR="00A03B10" w:rsidRPr="000E0ACC" w:rsidRDefault="00A03B10" w:rsidP="00A03B10">
            <w:pPr>
              <w:pStyle w:val="TableTextRight"/>
            </w:pPr>
            <w:r>
              <w:rPr>
                <w:szCs w:val="18"/>
              </w:rPr>
              <w:t>19,</w:t>
            </w:r>
            <w:r w:rsidR="0073515B">
              <w:rPr>
                <w:szCs w:val="18"/>
              </w:rPr>
              <w:t>3</w:t>
            </w:r>
            <w:r>
              <w:rPr>
                <w:szCs w:val="18"/>
              </w:rPr>
              <w:t>00 (11%)</w:t>
            </w:r>
          </w:p>
        </w:tc>
      </w:tr>
      <w:tr w:rsidR="00A03B10" w:rsidRPr="00CA3A0A" w14:paraId="4327EA07" w14:textId="77777777">
        <w:trPr>
          <w:trHeight w:val="316"/>
        </w:trPr>
        <w:tc>
          <w:tcPr>
            <w:tcW w:w="1843" w:type="dxa"/>
          </w:tcPr>
          <w:p w14:paraId="068004B8" w14:textId="77777777" w:rsidR="00A03B10" w:rsidRPr="00C821DC" w:rsidRDefault="00A03B10" w:rsidP="00A03B10">
            <w:pPr>
              <w:pStyle w:val="TableSecondHeading"/>
            </w:pPr>
            <w:r w:rsidRPr="00C821DC">
              <w:t>2023</w:t>
            </w:r>
          </w:p>
        </w:tc>
        <w:tc>
          <w:tcPr>
            <w:tcW w:w="3638" w:type="dxa"/>
          </w:tcPr>
          <w:p w14:paraId="0B87799F" w14:textId="5A4AF7ED" w:rsidR="00A03B10" w:rsidRPr="000E0ACC" w:rsidRDefault="00A03B10" w:rsidP="00A03B10">
            <w:pPr>
              <w:pStyle w:val="TableTextRight"/>
            </w:pPr>
            <w:r>
              <w:rPr>
                <w:szCs w:val="18"/>
              </w:rPr>
              <w:t>6,905 (6.1</w:t>
            </w:r>
            <w:proofErr w:type="gramStart"/>
            <w:r>
              <w:rPr>
                <w:szCs w:val="18"/>
              </w:rPr>
              <w:t>%)</w:t>
            </w:r>
            <w:r w:rsidRPr="00C7519E">
              <w:rPr>
                <w:szCs w:val="18"/>
              </w:rPr>
              <w:t>*</w:t>
            </w:r>
            <w:proofErr w:type="gramEnd"/>
          </w:p>
        </w:tc>
        <w:tc>
          <w:tcPr>
            <w:tcW w:w="3639" w:type="dxa"/>
          </w:tcPr>
          <w:p w14:paraId="67517F88" w14:textId="2FEFBF0D" w:rsidR="00A03B10" w:rsidRPr="000E0ACC" w:rsidRDefault="00A03B10" w:rsidP="00A03B10">
            <w:pPr>
              <w:pStyle w:val="TableTextRight"/>
            </w:pPr>
            <w:r>
              <w:rPr>
                <w:szCs w:val="18"/>
              </w:rPr>
              <w:t>8,400 (5%)</w:t>
            </w:r>
          </w:p>
        </w:tc>
      </w:tr>
    </w:tbl>
    <w:p w14:paraId="21508375" w14:textId="622974A0" w:rsidR="00F71D98" w:rsidRDefault="00F71D98" w:rsidP="00F71D98">
      <w:pPr>
        <w:keepNext/>
        <w:spacing w:before="0" w:after="0"/>
        <w:rPr>
          <w:sz w:val="18"/>
          <w:szCs w:val="16"/>
        </w:rPr>
      </w:pPr>
      <w:r w:rsidRPr="00C7519E">
        <w:rPr>
          <w:sz w:val="18"/>
          <w:szCs w:val="16"/>
        </w:rPr>
        <w:t xml:space="preserve">*First </w:t>
      </w:r>
      <w:r w:rsidR="003D4208">
        <w:rPr>
          <w:sz w:val="18"/>
          <w:szCs w:val="16"/>
        </w:rPr>
        <w:t>8</w:t>
      </w:r>
      <w:r w:rsidR="003D4208" w:rsidRPr="00C7519E">
        <w:rPr>
          <w:sz w:val="18"/>
          <w:szCs w:val="16"/>
        </w:rPr>
        <w:t xml:space="preserve"> </w:t>
      </w:r>
      <w:r w:rsidRPr="00C7519E">
        <w:rPr>
          <w:sz w:val="18"/>
          <w:szCs w:val="16"/>
        </w:rPr>
        <w:t>months (January to August)</w:t>
      </w:r>
    </w:p>
    <w:p w14:paraId="28CFE69D" w14:textId="2D8736F1" w:rsidR="00F71D98" w:rsidRPr="00C7519E" w:rsidRDefault="00F71D98" w:rsidP="00F71D98">
      <w:pPr>
        <w:spacing w:before="0"/>
        <w:rPr>
          <w:sz w:val="18"/>
          <w:szCs w:val="16"/>
        </w:rPr>
      </w:pPr>
      <w:r>
        <w:rPr>
          <w:sz w:val="18"/>
          <w:szCs w:val="16"/>
        </w:rPr>
        <w:t>Source: ABS,</w:t>
      </w:r>
      <w:r w:rsidRPr="006E6599" w:rsidDel="00F133DD">
        <w:rPr>
          <w:sz w:val="18"/>
          <w:szCs w:val="18"/>
        </w:rPr>
        <w:t xml:space="preserve"> </w:t>
      </w:r>
      <w:r w:rsidRPr="005A5BF1" w:rsidDel="00F133DD">
        <w:rPr>
          <w:i/>
          <w:sz w:val="18"/>
          <w:szCs w:val="18"/>
        </w:rPr>
        <w:t>Measuring Australia’s excess mortality during the COVID-19 pandemic until August 2023</w:t>
      </w:r>
      <w:r>
        <w:rPr>
          <w:sz w:val="18"/>
          <w:szCs w:val="18"/>
        </w:rPr>
        <w:t xml:space="preserve">; Actuaries Institute’s Mortality Working Group, </w:t>
      </w:r>
      <w:r w:rsidR="00F1400A">
        <w:rPr>
          <w:i/>
          <w:sz w:val="18"/>
          <w:szCs w:val="18"/>
        </w:rPr>
        <w:t>Excess mortality: Considerations in moving away from a pre-pandemic baseline.</w:t>
      </w:r>
    </w:p>
    <w:p w14:paraId="4ACED6F9" w14:textId="46DDABA2" w:rsidR="00F71D98" w:rsidRDefault="00121F01" w:rsidP="00002852">
      <w:pPr>
        <w:pStyle w:val="Bullet"/>
      </w:pPr>
      <w:r>
        <w:t>E</w:t>
      </w:r>
      <w:r w:rsidR="00F71D98">
        <w:t>xcess mortality since the onset of the pandemic increases with age</w:t>
      </w:r>
      <w:r w:rsidR="00F71D98" w:rsidRPr="005A5BF1">
        <w:t xml:space="preserve"> </w:t>
      </w:r>
      <w:r w:rsidR="00F71D98">
        <w:t xml:space="preserve">(Chart </w:t>
      </w:r>
      <w:r w:rsidR="00F9617F">
        <w:t>2</w:t>
      </w:r>
      <w:r w:rsidR="00F71D98">
        <w:t xml:space="preserve">). Since the start of 2022, 99 per cent of excess deaths were experienced by those aged 55 and over, 95 per cent by those aged 65 and over, and 49 per cent by those aged 85 and over. In 2022, all age groups recorded excess mortality, although this was higher for those aged over 55; while in 2023, those aged 55 years and above have experienced excess mortality, with no excess mortality recorded for those aged under 55 years. </w:t>
      </w:r>
      <w:r w:rsidR="00F71D98" w:rsidRPr="00D6251D">
        <w:t xml:space="preserve">In 2021, prior to COVID-19 becoming widespread, </w:t>
      </w:r>
      <w:r w:rsidR="00F71D98" w:rsidRPr="005A5BF1">
        <w:t>the</w:t>
      </w:r>
      <w:r w:rsidR="00820AA9">
        <w:t xml:space="preserve"> overall</w:t>
      </w:r>
      <w:r w:rsidR="00F71D98" w:rsidRPr="005A5BF1">
        <w:t xml:space="preserve"> level of excess deaths was lower, but they were similarly concentrated in older age groups.</w:t>
      </w:r>
    </w:p>
    <w:p w14:paraId="7C19E24C" w14:textId="108B332D" w:rsidR="00F71D98" w:rsidRPr="00C7519E" w:rsidRDefault="00F71D98" w:rsidP="00F71D98">
      <w:pPr>
        <w:pStyle w:val="Heading9"/>
      </w:pPr>
      <w:r w:rsidRPr="00C7519E">
        <w:lastRenderedPageBreak/>
        <w:t>Excess mortality as a percentage above/below expected, by age</w:t>
      </w:r>
    </w:p>
    <w:p w14:paraId="080B87A2" w14:textId="08E33C15" w:rsidR="00F71D98" w:rsidRDefault="00007591" w:rsidP="00F1430F">
      <w:pPr>
        <w:spacing w:after="0"/>
        <w:rPr>
          <w:sz w:val="18"/>
          <w:szCs w:val="18"/>
        </w:rPr>
      </w:pPr>
      <w:r w:rsidRPr="00007591">
        <w:rPr>
          <w:noProof/>
          <w:sz w:val="18"/>
          <w:szCs w:val="18"/>
        </w:rPr>
        <w:drawing>
          <wp:inline distT="0" distB="0" distL="0" distR="0" wp14:anchorId="5A2CBD0E" wp14:editId="274C9279">
            <wp:extent cx="5629275" cy="24288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9275" cy="2428875"/>
                    </a:xfrm>
                    <a:prstGeom prst="rect">
                      <a:avLst/>
                    </a:prstGeom>
                    <a:noFill/>
                    <a:ln>
                      <a:noFill/>
                    </a:ln>
                  </pic:spPr>
                </pic:pic>
              </a:graphicData>
            </a:graphic>
          </wp:inline>
        </w:drawing>
      </w:r>
    </w:p>
    <w:p w14:paraId="3D5EF571" w14:textId="77777777" w:rsidR="00F71D98" w:rsidRPr="00FF6DF5" w:rsidRDefault="00F71D98" w:rsidP="00F1430F">
      <w:pPr>
        <w:spacing w:before="0"/>
        <w:rPr>
          <w:sz w:val="18"/>
          <w:szCs w:val="18"/>
        </w:rPr>
      </w:pPr>
      <w:r>
        <w:rPr>
          <w:sz w:val="18"/>
          <w:szCs w:val="18"/>
        </w:rPr>
        <w:t>Source:</w:t>
      </w:r>
      <w:r w:rsidRPr="00F902B3">
        <w:rPr>
          <w:sz w:val="18"/>
          <w:szCs w:val="18"/>
        </w:rPr>
        <w:t xml:space="preserve"> </w:t>
      </w:r>
      <w:r w:rsidRPr="00FF6DF5">
        <w:rPr>
          <w:sz w:val="18"/>
          <w:szCs w:val="18"/>
        </w:rPr>
        <w:t xml:space="preserve">ABS, </w:t>
      </w:r>
      <w:r w:rsidRPr="005A5BF1">
        <w:rPr>
          <w:i/>
          <w:sz w:val="18"/>
          <w:szCs w:val="18"/>
        </w:rPr>
        <w:t>Measuring Australia’s excess mortality during the COVID-19 pandemic until August 2023</w:t>
      </w:r>
      <w:r w:rsidRPr="00FF6DF5">
        <w:rPr>
          <w:sz w:val="18"/>
          <w:szCs w:val="18"/>
        </w:rPr>
        <w:t>.</w:t>
      </w:r>
    </w:p>
    <w:p w14:paraId="51A0C5BD" w14:textId="7F9730BD" w:rsidR="00A03847" w:rsidRDefault="00F71D98" w:rsidP="00002852">
      <w:pPr>
        <w:pStyle w:val="Bullet"/>
      </w:pPr>
      <w:r w:rsidRPr="006F7D65" w:rsidDel="00F133DD">
        <w:t>COVID-19</w:t>
      </w:r>
      <w:r w:rsidDel="00F133DD">
        <w:t xml:space="preserve"> </w:t>
      </w:r>
      <w:r w:rsidR="009262F7">
        <w:t>was</w:t>
      </w:r>
      <w:r>
        <w:t xml:space="preserve"> the main</w:t>
      </w:r>
      <w:r w:rsidDel="00F133DD">
        <w:t xml:space="preserve"> factor</w:t>
      </w:r>
      <w:r w:rsidR="009262F7">
        <w:t xml:space="preserve"> explaining the</w:t>
      </w:r>
      <w:r w:rsidDel="00F133DD">
        <w:t xml:space="preserve"> excess mortality</w:t>
      </w:r>
      <w:r w:rsidR="006F1E8E">
        <w:t xml:space="preserve"> over 2022 and 2023</w:t>
      </w:r>
      <w:r w:rsidDel="00F133DD">
        <w:t xml:space="preserve">. COVID-19 </w:t>
      </w:r>
      <w:r w:rsidR="006E4337">
        <w:t>deaths</w:t>
      </w:r>
      <w:r w:rsidDel="00F133DD">
        <w:t xml:space="preserve"> </w:t>
      </w:r>
      <w:r w:rsidR="00481058" w:rsidDel="00F133DD">
        <w:t>accoun</w:t>
      </w:r>
      <w:r w:rsidR="00481058">
        <w:t>ted</w:t>
      </w:r>
      <w:r w:rsidR="00481058" w:rsidDel="00F133DD">
        <w:t xml:space="preserve"> </w:t>
      </w:r>
      <w:r w:rsidDel="00F133DD">
        <w:t>for 66.6 per cent of excess deaths</w:t>
      </w:r>
      <w:r w:rsidR="00481058">
        <w:t xml:space="preserve"> in 2022</w:t>
      </w:r>
      <w:r>
        <w:t xml:space="preserve"> and</w:t>
      </w:r>
      <w:r w:rsidDel="00F133DD">
        <w:t xml:space="preserve"> 64.4</w:t>
      </w:r>
      <w:r w:rsidR="00481058">
        <w:t> </w:t>
      </w:r>
      <w:r w:rsidDel="00F133DD">
        <w:t>per</w:t>
      </w:r>
      <w:r w:rsidR="00481058">
        <w:t> </w:t>
      </w:r>
      <w:r w:rsidDel="00F133DD">
        <w:t>cent of excess deaths</w:t>
      </w:r>
      <w:r>
        <w:t xml:space="preserve"> in 2023</w:t>
      </w:r>
      <w:r w:rsidDel="00F133DD">
        <w:t>.</w:t>
      </w:r>
      <w:r>
        <w:t xml:space="preserve"> </w:t>
      </w:r>
      <w:r w:rsidR="00E542FB">
        <w:t>Further, p</w:t>
      </w:r>
      <w:r>
        <w:t>eriods of excess mortality have coincided with COVID-19 waves (</w:t>
      </w:r>
      <w:r w:rsidR="00481058">
        <w:t>Chart </w:t>
      </w:r>
      <w:r w:rsidR="002A6897">
        <w:t>3</w:t>
      </w:r>
      <w:r>
        <w:t xml:space="preserve">). Over 2022 and 2023, 62.4 per cent of excess mortality occurred in weeks </w:t>
      </w:r>
      <w:r w:rsidR="001E22F7">
        <w:t>where there were</w:t>
      </w:r>
      <w:r>
        <w:t xml:space="preserve"> over 200 COVID-19 deaths and 91.6 per cent occurred in weeks </w:t>
      </w:r>
      <w:r w:rsidR="001E22F7">
        <w:t xml:space="preserve">where there were </w:t>
      </w:r>
      <w:r>
        <w:t xml:space="preserve">over </w:t>
      </w:r>
      <w:r w:rsidR="008758A0">
        <w:t>100 </w:t>
      </w:r>
      <w:r>
        <w:t>COVID-19 deaths.</w:t>
      </w:r>
      <w:r w:rsidRPr="00C7519E">
        <w:rPr>
          <w:rStyle w:val="FootnoteReference"/>
        </w:rPr>
        <w:footnoteReference w:id="12"/>
      </w:r>
    </w:p>
    <w:p w14:paraId="584BDF49" w14:textId="77777777" w:rsidR="00A7548E" w:rsidRPr="00C7519E" w:rsidDel="00F133DD" w:rsidRDefault="00A7548E" w:rsidP="00A7548E">
      <w:pPr>
        <w:pStyle w:val="Heading9"/>
      </w:pPr>
      <w:r w:rsidRPr="00C7519E" w:rsidDel="00F133DD">
        <w:t>Weekly</w:t>
      </w:r>
      <w:r w:rsidR="00EE6144">
        <w:t xml:space="preserve"> deaths</w:t>
      </w:r>
      <w:r w:rsidRPr="00C7519E" w:rsidDel="00F133DD">
        <w:t>,</w:t>
      </w:r>
      <w:r w:rsidR="00EE6144">
        <w:t xml:space="preserve"> </w:t>
      </w:r>
      <w:r w:rsidR="00F71D98">
        <w:t xml:space="preserve">with </w:t>
      </w:r>
      <w:r w:rsidR="007C18E1">
        <w:t>and without COVID-19</w:t>
      </w:r>
    </w:p>
    <w:p w14:paraId="71C1D513" w14:textId="5F5A12AE" w:rsidR="00A7548E" w:rsidDel="00F133DD" w:rsidRDefault="003C5E27" w:rsidP="00002852">
      <w:pPr>
        <w:pStyle w:val="Bullet"/>
      </w:pPr>
      <w:r w:rsidRPr="003C5E27">
        <w:t xml:space="preserve"> </w:t>
      </w:r>
      <w:r w:rsidR="00095A1B" w:rsidRPr="00095A1B">
        <w:rPr>
          <w:noProof/>
        </w:rPr>
        <w:drawing>
          <wp:inline distT="0" distB="0" distL="0" distR="0" wp14:anchorId="457D559B" wp14:editId="1CB17820">
            <wp:extent cx="5634990" cy="25838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4990" cy="2583815"/>
                    </a:xfrm>
                    <a:prstGeom prst="rect">
                      <a:avLst/>
                    </a:prstGeom>
                    <a:noFill/>
                    <a:ln>
                      <a:noFill/>
                    </a:ln>
                  </pic:spPr>
                </pic:pic>
              </a:graphicData>
            </a:graphic>
          </wp:inline>
        </w:drawing>
      </w:r>
    </w:p>
    <w:p w14:paraId="341826C6" w14:textId="77777777" w:rsidR="00A7548E" w:rsidRDefault="00A7548E" w:rsidP="00A7548E">
      <w:pPr>
        <w:spacing w:before="0"/>
      </w:pPr>
      <w:r w:rsidRPr="00C7519E" w:rsidDel="00F133DD">
        <w:rPr>
          <w:sz w:val="18"/>
          <w:szCs w:val="18"/>
        </w:rPr>
        <w:t xml:space="preserve">Source: ABS, </w:t>
      </w:r>
      <w:r w:rsidRPr="005A5BF1" w:rsidDel="00F133DD">
        <w:rPr>
          <w:i/>
          <w:sz w:val="18"/>
          <w:szCs w:val="18"/>
        </w:rPr>
        <w:t>Measuring Australia’s excess mortality during the COVID-19 pandemic until August 2023</w:t>
      </w:r>
      <w:r w:rsidRPr="00C7519E" w:rsidDel="00F133DD">
        <w:rPr>
          <w:sz w:val="18"/>
          <w:szCs w:val="18"/>
        </w:rPr>
        <w:t>.</w:t>
      </w:r>
    </w:p>
    <w:p w14:paraId="7EFAD49A" w14:textId="28590763" w:rsidR="00F71D98" w:rsidRDefault="00A03847" w:rsidP="00002852">
      <w:pPr>
        <w:pStyle w:val="Bullet"/>
      </w:pPr>
      <w:r>
        <w:t>Although</w:t>
      </w:r>
      <w:r w:rsidR="00917DA5">
        <w:t xml:space="preserve"> COVID-19 </w:t>
      </w:r>
      <w:r w:rsidR="00EE6144">
        <w:t>deaths</w:t>
      </w:r>
      <w:r w:rsidR="00F71D98">
        <w:t xml:space="preserve"> increased during these </w:t>
      </w:r>
      <w:r w:rsidR="00DE34AB">
        <w:t>waves</w:t>
      </w:r>
      <w:r w:rsidR="00D25AB9">
        <w:t xml:space="preserve">, </w:t>
      </w:r>
      <w:r w:rsidR="00594AB3">
        <w:t xml:space="preserve">deaths without </w:t>
      </w:r>
      <w:r w:rsidR="00D25AB9">
        <w:t>COVID-19</w:t>
      </w:r>
      <w:r w:rsidR="007C209B">
        <w:t xml:space="preserve"> on the</w:t>
      </w:r>
      <w:r w:rsidR="00F00BAD">
        <w:t xml:space="preserve"> death</w:t>
      </w:r>
      <w:r w:rsidR="007C209B">
        <w:t xml:space="preserve"> certificate also increase</w:t>
      </w:r>
      <w:r w:rsidR="00F00BAD">
        <w:t>d</w:t>
      </w:r>
      <w:r w:rsidR="00F71D98">
        <w:t>.</w:t>
      </w:r>
      <w:r w:rsidR="007C209B">
        <w:t xml:space="preserve"> Potential reasons for </w:t>
      </w:r>
      <w:r w:rsidR="00693221">
        <w:t>this include</w:t>
      </w:r>
      <w:r w:rsidR="007C209B">
        <w:t xml:space="preserve">: </w:t>
      </w:r>
      <w:r w:rsidR="00B84C21">
        <w:t xml:space="preserve">the waves leading to </w:t>
      </w:r>
      <w:r w:rsidR="00ED67CA">
        <w:t>delays in emergency and routine care</w:t>
      </w:r>
      <w:r w:rsidR="00B84C21">
        <w:t>,</w:t>
      </w:r>
      <w:r w:rsidR="00ED67CA">
        <w:t xml:space="preserve"> </w:t>
      </w:r>
      <w:r w:rsidR="000D0BB1" w:rsidRPr="0051506E">
        <w:t>deaths where COVID-19 was a contributing factor but not recorded on the death certificate</w:t>
      </w:r>
      <w:r w:rsidR="000D0BB1">
        <w:t xml:space="preserve">, </w:t>
      </w:r>
      <w:r w:rsidR="004650B5">
        <w:t xml:space="preserve">and </w:t>
      </w:r>
      <w:r w:rsidR="007C209B">
        <w:t xml:space="preserve">COVID-19 </w:t>
      </w:r>
      <w:r w:rsidR="001A6F81">
        <w:t>increasing</w:t>
      </w:r>
      <w:r w:rsidR="007C209B">
        <w:t xml:space="preserve"> subsequent mortality risks</w:t>
      </w:r>
      <w:r w:rsidR="00F71D98">
        <w:t>.</w:t>
      </w:r>
      <w:r w:rsidR="00070B39">
        <w:rPr>
          <w:rStyle w:val="FootnoteReference"/>
        </w:rPr>
        <w:footnoteReference w:id="13"/>
      </w:r>
      <w:r w:rsidR="002D00BC">
        <w:t xml:space="preserve"> </w:t>
      </w:r>
    </w:p>
    <w:p w14:paraId="62EF755D" w14:textId="77777777" w:rsidR="00F71D98" w:rsidRDefault="00F71D98" w:rsidP="00F71D98">
      <w:pPr>
        <w:pStyle w:val="Heading1"/>
      </w:pPr>
      <w:bookmarkStart w:id="2" w:name="_Toc164062008"/>
      <w:r>
        <w:lastRenderedPageBreak/>
        <w:t>Mortality forecasts</w:t>
      </w:r>
      <w:bookmarkEnd w:id="2"/>
    </w:p>
    <w:p w14:paraId="177666CD" w14:textId="29726B91" w:rsidR="00F71D98" w:rsidRDefault="00F71D98" w:rsidP="00F71D98">
      <w:r>
        <w:t xml:space="preserve">As </w:t>
      </w:r>
      <w:r w:rsidR="00121845">
        <w:t>discussed in the previous section</w:t>
      </w:r>
      <w:r>
        <w:t xml:space="preserve">, COVID-19 waves have resulted in excess mortality, </w:t>
      </w:r>
      <w:r w:rsidR="0070538A">
        <w:t>particularly for older age groups</w:t>
      </w:r>
      <w:r>
        <w:t xml:space="preserve">, although this </w:t>
      </w:r>
      <w:r w:rsidR="00A136E4">
        <w:t>is</w:t>
      </w:r>
      <w:r>
        <w:t xml:space="preserve"> moderating with subsequent waves. </w:t>
      </w:r>
    </w:p>
    <w:p w14:paraId="34527D2C" w14:textId="0D3FD489" w:rsidR="00F71D98" w:rsidRDefault="00F71D98" w:rsidP="00F71D98">
      <w:r>
        <w:t xml:space="preserve">Given this trend, the Centre is forecasting excess mortality to continue </w:t>
      </w:r>
      <w:r w:rsidR="006F1E8E">
        <w:t xml:space="preserve">to be elevated </w:t>
      </w:r>
      <w:r>
        <w:t>over 2023–24 to 2025–</w:t>
      </w:r>
      <w:r w:rsidR="004F5935">
        <w:t>‍</w:t>
      </w:r>
      <w:r>
        <w:t>26. During this period, excess mortality is forecast to decline from 5 per cent in 2023</w:t>
      </w:r>
      <w:r w:rsidR="00D67FB3">
        <w:t>–</w:t>
      </w:r>
      <w:r>
        <w:t>24 to 3 per cent in 2024–</w:t>
      </w:r>
      <w:r w:rsidR="006D0E59">
        <w:t>‍</w:t>
      </w:r>
      <w:r>
        <w:t>25 and 1</w:t>
      </w:r>
      <w:r w:rsidR="005D629B">
        <w:t> </w:t>
      </w:r>
      <w:r>
        <w:t>per</w:t>
      </w:r>
      <w:r w:rsidR="005D629B">
        <w:t> </w:t>
      </w:r>
      <w:r>
        <w:t>cent in 2025–26</w:t>
      </w:r>
      <w:r w:rsidR="00D06AC1">
        <w:t xml:space="preserve">. Mortality </w:t>
      </w:r>
      <w:r w:rsidR="008951F4">
        <w:t>is expected to</w:t>
      </w:r>
      <w:r>
        <w:t xml:space="preserve"> return to the pre-pandemic trend from 2026–27. The forecast excess mortality is assumed to occur among those aged 50 and over</w:t>
      </w:r>
      <w:r w:rsidR="00414BD3">
        <w:t xml:space="preserve">, </w:t>
      </w:r>
      <w:r w:rsidR="001D15BE">
        <w:t xml:space="preserve">particularly those aged </w:t>
      </w:r>
      <w:r w:rsidR="00650C80">
        <w:t>65 and over</w:t>
      </w:r>
      <w:r>
        <w:t>.</w:t>
      </w:r>
    </w:p>
    <w:p w14:paraId="5B98CB63" w14:textId="1A4FD4E5" w:rsidR="00F71D98" w:rsidRDefault="00F71D98" w:rsidP="00F71D98">
      <w:r>
        <w:t>As of the 2024</w:t>
      </w:r>
      <w:r w:rsidR="00D67FB3">
        <w:t>–</w:t>
      </w:r>
      <w:r>
        <w:t>25 Budget, deaths are forecast to fall from the high of 190,000 in 2022–23 to 181,000 in 2024</w:t>
      </w:r>
      <w:r w:rsidR="006B3E85">
        <w:t>–‍</w:t>
      </w:r>
      <w:r>
        <w:t xml:space="preserve">25, reflecting this moderating excess mortality. Deaths are then projected to gradually rise to 218,000 by 2033–34 </w:t>
      </w:r>
      <w:r w:rsidR="00B40540">
        <w:t xml:space="preserve">due to </w:t>
      </w:r>
      <w:r>
        <w:t>the growing and ageing population</w:t>
      </w:r>
      <w:r w:rsidR="00A67DFD">
        <w:t>. They are</w:t>
      </w:r>
      <w:r w:rsidR="00CD25FE">
        <w:t xml:space="preserve"> not </w:t>
      </w:r>
      <w:r w:rsidR="00A67DFD">
        <w:t>expected to</w:t>
      </w:r>
      <w:r w:rsidR="00CD25FE">
        <w:t xml:space="preserve"> </w:t>
      </w:r>
      <w:r w:rsidR="00B95A4B">
        <w:t>r</w:t>
      </w:r>
      <w:r w:rsidR="00DB5351">
        <w:t xml:space="preserve">eturn to </w:t>
      </w:r>
      <w:r>
        <w:t>2022</w:t>
      </w:r>
      <w:r w:rsidR="00293B10">
        <w:t>–</w:t>
      </w:r>
      <w:r>
        <w:t>23 levels until 202</w:t>
      </w:r>
      <w:r w:rsidR="005A7D3B">
        <w:t>8</w:t>
      </w:r>
      <w:r w:rsidR="006B3E85">
        <w:t>–</w:t>
      </w:r>
      <w:r>
        <w:t>2</w:t>
      </w:r>
      <w:r w:rsidR="005A7D3B">
        <w:t>9</w:t>
      </w:r>
      <w:r>
        <w:t>. However, considerable uncertainty remains over the longer-term impacts of COVID-19 on mortality</w:t>
      </w:r>
      <w:r w:rsidR="00B46849">
        <w:t>.</w:t>
      </w:r>
      <w:r>
        <w:t xml:space="preserve"> </w:t>
      </w:r>
    </w:p>
    <w:p w14:paraId="0FBF7CF8" w14:textId="5B2EFFAA" w:rsidR="00F71D98" w:rsidRDefault="00F71D98" w:rsidP="00F71D98">
      <w:pPr>
        <w:pStyle w:val="Heading1"/>
      </w:pPr>
      <w:bookmarkStart w:id="3" w:name="_Toc164062009"/>
      <w:r>
        <w:t>Life expectancy</w:t>
      </w:r>
      <w:bookmarkEnd w:id="3"/>
    </w:p>
    <w:p w14:paraId="4029EE11" w14:textId="2FD512BC" w:rsidR="00F71D98" w:rsidRDefault="00F71D98" w:rsidP="00F71D98">
      <w:r>
        <w:t>Although Australia has the third highest life expectancy in the world, continued excess mortality has temporarily lowered life expectancy. In 2020</w:t>
      </w:r>
      <w:r w:rsidR="00A30BE7">
        <w:t>–</w:t>
      </w:r>
      <w:r>
        <w:t>2022, Australia recorded a decline in life expectancy for the first time since the early 1990s.</w:t>
      </w:r>
      <w:r w:rsidRPr="00C7519E">
        <w:rPr>
          <w:rStyle w:val="FootnoteReference"/>
        </w:rPr>
        <w:footnoteReference w:id="14"/>
      </w:r>
      <w:r>
        <w:t xml:space="preserve"> </w:t>
      </w:r>
    </w:p>
    <w:p w14:paraId="1E9C8BF3" w14:textId="3581ED66" w:rsidR="00F71D98" w:rsidRPr="00C7519E" w:rsidRDefault="00F71D98" w:rsidP="00F71D98">
      <w:pPr>
        <w:pStyle w:val="Heading9"/>
      </w:pPr>
      <w:r w:rsidRPr="00C7519E">
        <w:t>Historical and projected life expectancies</w:t>
      </w:r>
    </w:p>
    <w:p w14:paraId="76B1A79D" w14:textId="24D2D43C" w:rsidR="00F71D98" w:rsidRDefault="009C3802" w:rsidP="00432D9F">
      <w:pPr>
        <w:keepNext/>
        <w:spacing w:after="0"/>
        <w:rPr>
          <w:sz w:val="18"/>
          <w:szCs w:val="18"/>
        </w:rPr>
      </w:pPr>
      <w:r w:rsidRPr="009C3802">
        <w:rPr>
          <w:noProof/>
          <w:sz w:val="18"/>
          <w:szCs w:val="18"/>
        </w:rPr>
        <w:drawing>
          <wp:inline distT="0" distB="0" distL="0" distR="0" wp14:anchorId="2D1A2DDE" wp14:editId="1C8643B5">
            <wp:extent cx="5591175" cy="3009900"/>
            <wp:effectExtent l="0" t="0" r="0" b="0"/>
            <wp:docPr id="20" name="Picture 20" descr="This is a chart of male and female life expectancy at birth, with female life expectancy roughly four years higher than male life expectancy. There is a noticeable decline in life expectancy between 2019-20 and 2022-23 due to the impact of COVID-19. Life expectancy recovers to the historical trend of gradual improvement from 2026-27 o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s a chart of male and female life expectancy at birth, with female life expectancy roughly four years higher than male life expectancy. There is a noticeable decline in life expectancy between 2019-20 and 2022-23 due to the impact of COVID-19. Life expectancy recovers to the historical trend of gradual improvement from 2026-27 onwar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3009900"/>
                    </a:xfrm>
                    <a:prstGeom prst="rect">
                      <a:avLst/>
                    </a:prstGeom>
                    <a:noFill/>
                    <a:ln>
                      <a:noFill/>
                    </a:ln>
                  </pic:spPr>
                </pic:pic>
              </a:graphicData>
            </a:graphic>
          </wp:inline>
        </w:drawing>
      </w:r>
    </w:p>
    <w:p w14:paraId="56E417A1" w14:textId="79A03CAA" w:rsidR="00F71D98" w:rsidRPr="00E22F56" w:rsidRDefault="00F71D98" w:rsidP="00F71D98">
      <w:pPr>
        <w:spacing w:before="0"/>
        <w:rPr>
          <w:sz w:val="18"/>
          <w:szCs w:val="18"/>
        </w:rPr>
      </w:pPr>
      <w:r w:rsidRPr="00E22F56">
        <w:rPr>
          <w:sz w:val="18"/>
          <w:szCs w:val="18"/>
        </w:rPr>
        <w:t xml:space="preserve">Source: ABS, </w:t>
      </w:r>
      <w:r w:rsidRPr="005A5BF1">
        <w:rPr>
          <w:i/>
          <w:sz w:val="18"/>
          <w:szCs w:val="18"/>
        </w:rPr>
        <w:t xml:space="preserve">Life </w:t>
      </w:r>
      <w:r w:rsidR="00447E5E">
        <w:rPr>
          <w:i/>
          <w:sz w:val="18"/>
          <w:szCs w:val="18"/>
        </w:rPr>
        <w:t>expectancy</w:t>
      </w:r>
      <w:r w:rsidRPr="005A5BF1">
        <w:rPr>
          <w:i/>
          <w:sz w:val="18"/>
          <w:szCs w:val="18"/>
        </w:rPr>
        <w:t xml:space="preserve"> 20</w:t>
      </w:r>
      <w:r w:rsidR="00447E5E">
        <w:rPr>
          <w:i/>
          <w:sz w:val="18"/>
          <w:szCs w:val="18"/>
        </w:rPr>
        <w:t>20</w:t>
      </w:r>
      <w:r w:rsidRPr="005A5BF1">
        <w:rPr>
          <w:i/>
          <w:sz w:val="18"/>
          <w:szCs w:val="18"/>
        </w:rPr>
        <w:t>–2</w:t>
      </w:r>
      <w:r w:rsidR="00447E5E">
        <w:rPr>
          <w:i/>
          <w:sz w:val="18"/>
          <w:szCs w:val="18"/>
        </w:rPr>
        <w:t>2</w:t>
      </w:r>
      <w:r w:rsidRPr="00E22F56">
        <w:rPr>
          <w:sz w:val="18"/>
          <w:szCs w:val="18"/>
        </w:rPr>
        <w:t>; Australian Government Actuary and Centre for Population projections.</w:t>
      </w:r>
    </w:p>
    <w:p w14:paraId="22C9D3D7" w14:textId="77777777" w:rsidR="006B705F" w:rsidRDefault="006B705F" w:rsidP="006B705F">
      <w:r>
        <w:t>Life expectancy at birth is forecast to be at its lowest in the Centre’s forward projections in 2022–23, down 0.2 years for males and 0.4 years for females from 2019–20 levels</w:t>
      </w:r>
      <w:r>
        <w:rPr>
          <w:rStyle w:val="CommentReference"/>
        </w:rPr>
        <w:t xml:space="preserve"> </w:t>
      </w:r>
      <w:r>
        <w:t>(Chart 4).</w:t>
      </w:r>
      <w:r>
        <w:rPr>
          <w:rStyle w:val="FootnoteReference"/>
        </w:rPr>
        <w:footnoteReference w:id="15"/>
      </w:r>
      <w:r>
        <w:t xml:space="preserve"> By 2023–24, life expectancy at </w:t>
      </w:r>
      <w:r>
        <w:lastRenderedPageBreak/>
        <w:t xml:space="preserve">birth for both males and females is projected to be above 2019–20 levels and return to pre-pandemic trends by 2026–27. </w:t>
      </w:r>
    </w:p>
    <w:p w14:paraId="18DCB706" w14:textId="77777777" w:rsidR="005E13D9" w:rsidRDefault="00D50782" w:rsidP="00F71D98">
      <w:r>
        <w:t xml:space="preserve">Australia’s </w:t>
      </w:r>
      <w:r w:rsidR="00F71D98">
        <w:t xml:space="preserve">decline in life expectancy </w:t>
      </w:r>
      <w:r w:rsidR="003767F8">
        <w:t>has been</w:t>
      </w:r>
      <w:r w:rsidR="00BF3418">
        <w:t xml:space="preserve"> </w:t>
      </w:r>
      <w:r w:rsidR="0059003D">
        <w:t>lower</w:t>
      </w:r>
      <w:r w:rsidR="00BF3418">
        <w:t xml:space="preserve"> than </w:t>
      </w:r>
      <w:r w:rsidR="00F71D98">
        <w:t>experienced by most other OECD countries.</w:t>
      </w:r>
      <w:r w:rsidR="00F71D98" w:rsidRPr="00C7519E">
        <w:rPr>
          <w:rStyle w:val="FootnoteReference"/>
        </w:rPr>
        <w:footnoteReference w:id="16"/>
      </w:r>
      <w:r w:rsidR="00F71D98">
        <w:t xml:space="preserve"> This reflects Australia </w:t>
      </w:r>
      <w:r w:rsidR="009D4FD9">
        <w:t xml:space="preserve">having </w:t>
      </w:r>
      <w:r w:rsidR="00F71D98">
        <w:t xml:space="preserve">lower excess mortality than many other advanced economies. </w:t>
      </w:r>
      <w:r w:rsidR="00E54596">
        <w:t xml:space="preserve">The </w:t>
      </w:r>
      <w:r w:rsidR="00F71D98">
        <w:t xml:space="preserve">Economist estimates that since the start of the COVID-19 pandemic (to </w:t>
      </w:r>
      <w:r w:rsidR="00A2694A">
        <w:t>2</w:t>
      </w:r>
      <w:r w:rsidR="004078E3">
        <w:t>9</w:t>
      </w:r>
      <w:r w:rsidR="00A2694A">
        <w:t> </w:t>
      </w:r>
      <w:r w:rsidR="00F71D98">
        <w:t>January 2024) Australia has experienced 1</w:t>
      </w:r>
      <w:r w:rsidR="00D256F7">
        <w:t>4</w:t>
      </w:r>
      <w:r w:rsidR="00E82A07">
        <w:t>7</w:t>
      </w:r>
      <w:r w:rsidR="00F71D98">
        <w:t xml:space="preserve"> excess deaths per 100,000 people</w:t>
      </w:r>
      <w:r w:rsidR="002B7650">
        <w:t>, whereas</w:t>
      </w:r>
      <w:r w:rsidR="00F71D98">
        <w:t xml:space="preserve"> the United Kingdom, the United States and Canada have experienced 39</w:t>
      </w:r>
      <w:r w:rsidR="0036584F">
        <w:t>1</w:t>
      </w:r>
      <w:r w:rsidR="00F71D98">
        <w:t>, 4</w:t>
      </w:r>
      <w:r w:rsidR="0036584F">
        <w:t>20</w:t>
      </w:r>
      <w:r w:rsidR="00F71D98">
        <w:t xml:space="preserve"> and </w:t>
      </w:r>
      <w:r w:rsidR="0036584F">
        <w:t>214</w:t>
      </w:r>
      <w:r w:rsidR="00F71D98">
        <w:t xml:space="preserve"> excess deaths per 100,000 people </w:t>
      </w:r>
      <w:r w:rsidR="00494408">
        <w:t>respectively</w:t>
      </w:r>
      <w:r w:rsidR="00494408">
        <w:rPr>
          <w:rStyle w:val="CommentReference"/>
        </w:rPr>
        <w:t> </w:t>
      </w:r>
      <w:r w:rsidR="00F71D98">
        <w:t xml:space="preserve">(Chart </w:t>
      </w:r>
      <w:r w:rsidR="00067400">
        <w:t>5</w:t>
      </w:r>
      <w:r w:rsidR="00F71D98">
        <w:t>).</w:t>
      </w:r>
      <w:r w:rsidR="00F71D98" w:rsidRPr="00A03A19">
        <w:rPr>
          <w:rStyle w:val="FootnoteReference"/>
        </w:rPr>
        <w:footnoteReference w:id="17"/>
      </w:r>
      <w:r w:rsidR="00F71D98">
        <w:t xml:space="preserve"> New Zealand experienced fewer excess deaths than Australia, with 1</w:t>
      </w:r>
      <w:r w:rsidR="00C23D80">
        <w:t>9</w:t>
      </w:r>
      <w:r w:rsidR="00F71D98">
        <w:t xml:space="preserve"> excess deaths per 100,000 people.</w:t>
      </w:r>
      <w:r w:rsidR="00AF2F5C" w:rsidRPr="00AF2F5C">
        <w:t xml:space="preserve"> </w:t>
      </w:r>
      <w:r w:rsidR="00AF2F5C">
        <w:t xml:space="preserve">While </w:t>
      </w:r>
      <w:r w:rsidR="00E30C65">
        <w:t>measures</w:t>
      </w:r>
      <w:r w:rsidR="00AF2F5C">
        <w:t xml:space="preserve"> of excess mortality can vary,</w:t>
      </w:r>
      <w:r w:rsidR="00AF2F5C" w:rsidRPr="00AF2F5C">
        <w:t xml:space="preserve"> </w:t>
      </w:r>
      <w:r w:rsidR="00AF2F5C">
        <w:t xml:space="preserve">other estimates </w:t>
      </w:r>
      <w:r w:rsidR="00E30C65">
        <w:t>tend to</w:t>
      </w:r>
      <w:r w:rsidR="00AF2F5C">
        <w:t xml:space="preserve"> show Australia </w:t>
      </w:r>
      <w:r w:rsidR="006F5D9B">
        <w:t>ha</w:t>
      </w:r>
      <w:r w:rsidR="00E30C65">
        <w:t>s</w:t>
      </w:r>
      <w:r w:rsidR="006F5D9B">
        <w:t xml:space="preserve"> experienced lower excess mortality than comparable countries</w:t>
      </w:r>
      <w:r w:rsidR="00AF2F5C">
        <w:t>.</w:t>
      </w:r>
      <w:r w:rsidR="00854C6B">
        <w:rPr>
          <w:rStyle w:val="FootnoteReference"/>
        </w:rPr>
        <w:footnoteReference w:id="18"/>
      </w:r>
      <w:r w:rsidR="00594C55">
        <w:t xml:space="preserve"> </w:t>
      </w:r>
    </w:p>
    <w:p w14:paraId="076B60A5" w14:textId="2E73504F" w:rsidR="00F71D98" w:rsidRPr="00475978" w:rsidRDefault="00594C55" w:rsidP="00F71D98">
      <w:r>
        <w:t>The submission from the Department of Health provides important information around the effectiveness of the COVID-19 response, including vaccinations, in protecting against COVID-19 death and ensuring that Australia had one of the lowest excess death rates globally.</w:t>
      </w:r>
    </w:p>
    <w:p w14:paraId="3D6755A9" w14:textId="6FD5E7C6" w:rsidR="00F71D98" w:rsidRPr="00C7519E" w:rsidRDefault="00F71D98" w:rsidP="00F71D98">
      <w:pPr>
        <w:pStyle w:val="Heading9"/>
      </w:pPr>
      <w:r>
        <w:t xml:space="preserve">Cumulative excess deaths per 100,000 persons, January 2020 </w:t>
      </w:r>
      <w:r w:rsidR="0080734C">
        <w:t>to</w:t>
      </w:r>
      <w:r>
        <w:t xml:space="preserve"> January 2024</w:t>
      </w:r>
    </w:p>
    <w:p w14:paraId="404E0551" w14:textId="120FAEF1" w:rsidR="00F71D98" w:rsidRDefault="00404E42" w:rsidP="00F1430F">
      <w:pPr>
        <w:spacing w:after="0"/>
      </w:pPr>
      <w:r w:rsidRPr="00404E42">
        <w:t xml:space="preserve"> </w:t>
      </w:r>
      <w:r w:rsidR="004B01DC" w:rsidRPr="004B01DC">
        <w:rPr>
          <w:noProof/>
        </w:rPr>
        <w:drawing>
          <wp:inline distT="0" distB="0" distL="0" distR="0" wp14:anchorId="35CC7E7A" wp14:editId="50E73898">
            <wp:extent cx="5593080" cy="2861945"/>
            <wp:effectExtent l="0" t="0" r="7620" b="0"/>
            <wp:docPr id="2" name="Picture 2" descr="This column chart shows cumulative excess deaths per 100,000 peoples between January 2020 and January 2024 for Australia, New Zealand, Canada, United Kingdom, and the United States. Canada, United Kingdom, and the United States experienced significantly more deaths than Australia and New Zealand. New Zealand’s excess deaths for the period remains significantly lower than the other selected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column chart shows cumulative excess deaths per 100,000 peoples between January 2020 and January 2024 for Australia, New Zealand, Canada, United Kingdom, and the United States. Canada, United Kingdom, and the United States experienced significantly more deaths than Australia and New Zealand. New Zealand’s excess deaths for the period remains significantly lower than the other selected countrie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3080" cy="2861945"/>
                    </a:xfrm>
                    <a:prstGeom prst="rect">
                      <a:avLst/>
                    </a:prstGeom>
                    <a:noFill/>
                    <a:ln>
                      <a:noFill/>
                    </a:ln>
                  </pic:spPr>
                </pic:pic>
              </a:graphicData>
            </a:graphic>
          </wp:inline>
        </w:drawing>
      </w:r>
    </w:p>
    <w:p w14:paraId="0E92DEB6" w14:textId="53D8E01F" w:rsidR="004626A0" w:rsidRPr="002F46D6" w:rsidRDefault="00F71D98" w:rsidP="000722CB">
      <w:pPr>
        <w:spacing w:before="0"/>
      </w:pPr>
      <w:r w:rsidRPr="005A5BF1">
        <w:rPr>
          <w:sz w:val="18"/>
          <w:szCs w:val="16"/>
        </w:rPr>
        <w:t xml:space="preserve">Source: The Economist – processed by Our World in Data, </w:t>
      </w:r>
      <w:r w:rsidRPr="005A5BF1">
        <w:rPr>
          <w:i/>
          <w:sz w:val="18"/>
          <w:szCs w:val="16"/>
        </w:rPr>
        <w:t>Estimated cumulative excess deaths per 100,000 people during COVID</w:t>
      </w:r>
      <w:r w:rsidRPr="005A5BF1">
        <w:rPr>
          <w:sz w:val="18"/>
          <w:szCs w:val="16"/>
        </w:rPr>
        <w:t xml:space="preserve">.  </w:t>
      </w:r>
    </w:p>
    <w:sectPr w:rsidR="004626A0" w:rsidRPr="002F46D6" w:rsidSect="00EC236D">
      <w:headerReference w:type="even" r:id="rId21"/>
      <w:headerReference w:type="default" r:id="rId22"/>
      <w:footerReference w:type="even" r:id="rId23"/>
      <w:footerReference w:type="default" r:id="rId24"/>
      <w:headerReference w:type="first" r:id="rId25"/>
      <w:footerReference w:type="first" r:id="rId2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66A4" w14:textId="77777777" w:rsidR="00395B89" w:rsidRDefault="00395B89">
      <w:pPr>
        <w:spacing w:before="0" w:after="0"/>
      </w:pPr>
      <w:r>
        <w:separator/>
      </w:r>
    </w:p>
  </w:endnote>
  <w:endnote w:type="continuationSeparator" w:id="0">
    <w:p w14:paraId="3E6EDEAF" w14:textId="77777777" w:rsidR="00395B89" w:rsidRDefault="00395B89">
      <w:pPr>
        <w:spacing w:before="0" w:after="0"/>
      </w:pPr>
      <w:r>
        <w:continuationSeparator/>
      </w:r>
    </w:p>
  </w:endnote>
  <w:endnote w:type="continuationNotice" w:id="1">
    <w:p w14:paraId="433E89C5" w14:textId="77777777" w:rsidR="00395B89" w:rsidRDefault="00395B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9EE5" w14:textId="4B1EF3F0" w:rsidR="00EF145E" w:rsidRPr="00F60198" w:rsidRDefault="008729F0" w:rsidP="008729F0">
    <w:pPr>
      <w:pStyle w:val="FooterOdd"/>
      <w:tabs>
        <w:tab w:val="left" w:pos="5160"/>
      </w:tabs>
      <w:jc w:val="left"/>
    </w:pPr>
    <w:r>
      <w:rPr>
        <w:b/>
        <w:bCs/>
      </w:rPr>
      <w:t>population.gov.au</w:t>
    </w:r>
    <w:r>
      <w:rPr>
        <w:b/>
        <w:bCs/>
      </w:rPr>
      <w:tab/>
    </w:r>
    <w:r w:rsidR="007F1B17" w:rsidRPr="00A039BC">
      <w:rPr>
        <w:b/>
        <w:bCs/>
      </w:rPr>
      <w:t xml:space="preserve">Submission to </w:t>
    </w:r>
    <w:r w:rsidR="00346559">
      <w:rPr>
        <w:b/>
        <w:bCs/>
      </w:rPr>
      <w:t>the</w:t>
    </w:r>
    <w:r w:rsidR="007F1B17" w:rsidRPr="00A039BC">
      <w:rPr>
        <w:b/>
        <w:bCs/>
      </w:rPr>
      <w:t xml:space="preserve"> </w:t>
    </w:r>
    <w:r w:rsidR="0091549D" w:rsidRPr="00A039BC">
      <w:rPr>
        <w:b/>
        <w:bCs/>
      </w:rPr>
      <w:t>i</w:t>
    </w:r>
    <w:r w:rsidR="007F1B17" w:rsidRPr="00A039BC">
      <w:rPr>
        <w:b/>
        <w:bCs/>
      </w:rPr>
      <w:t>nquiry</w:t>
    </w:r>
    <w:r w:rsidR="0091549D" w:rsidRPr="00A039BC">
      <w:rPr>
        <w:b/>
        <w:bCs/>
      </w:rPr>
      <w:t xml:space="preserve"> into excess mortality</w:t>
    </w:r>
    <w:r w:rsidR="00EC0492">
      <w:t xml:space="preserve"> | </w:t>
    </w:r>
    <w:r w:rsidR="00EF145E" w:rsidRPr="00F60198">
      <w:fldChar w:fldCharType="begin"/>
    </w:r>
    <w:r w:rsidR="00EF145E" w:rsidRPr="00F60198">
      <w:instrText xml:space="preserve"> PAGE   \* MERGEFORMAT </w:instrText>
    </w:r>
    <w:r w:rsidR="00EF145E" w:rsidRPr="00F60198">
      <w:fldChar w:fldCharType="separate"/>
    </w:r>
    <w:r w:rsidR="00C86E09">
      <w:rPr>
        <w:noProof/>
      </w:rPr>
      <w:t>1</w:t>
    </w:r>
    <w:r w:rsidR="00EF145E" w:rsidRPr="00F601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4144" w14:textId="77777777" w:rsidR="00EF145E" w:rsidRPr="00E77C89" w:rsidRDefault="00EF145E" w:rsidP="00EE1447">
    <w:pPr>
      <w:pStyle w:val="FooterEven"/>
    </w:pPr>
    <w:r>
      <w:fldChar w:fldCharType="begin"/>
    </w:r>
    <w:r>
      <w:instrText xml:space="preserve"> PAGE  \* Arabic  \* MERGEFORMAT </w:instrText>
    </w:r>
    <w:r>
      <w:fldChar w:fldCharType="separate"/>
    </w:r>
    <w:r w:rsidR="00EE43CD">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C25F" w14:textId="370E5F49" w:rsidR="00EF145E" w:rsidRPr="00EC0492" w:rsidRDefault="00474E8C" w:rsidP="00474E8C">
    <w:pPr>
      <w:pStyle w:val="FooterOdd"/>
      <w:tabs>
        <w:tab w:val="left" w:pos="4678"/>
      </w:tabs>
      <w:jc w:val="left"/>
    </w:pPr>
    <w:r>
      <w:rPr>
        <w:b/>
        <w:bCs/>
      </w:rPr>
      <w:t>population.gov.au</w:t>
    </w:r>
    <w:r>
      <w:rPr>
        <w:b/>
        <w:bCs/>
      </w:rPr>
      <w:tab/>
    </w:r>
    <w:r w:rsidR="00A95AF4" w:rsidRPr="00474E8C">
      <w:rPr>
        <w:b/>
        <w:bCs/>
      </w:rPr>
      <w:t xml:space="preserve">Submission to the </w:t>
    </w:r>
    <w:r w:rsidR="002A2432">
      <w:rPr>
        <w:b/>
        <w:bCs/>
      </w:rPr>
      <w:t>I</w:t>
    </w:r>
    <w:r w:rsidR="00A95AF4" w:rsidRPr="00474E8C">
      <w:rPr>
        <w:b/>
        <w:bCs/>
      </w:rPr>
      <w:t xml:space="preserve">nquiry into </w:t>
    </w:r>
    <w:r w:rsidR="002A2432">
      <w:rPr>
        <w:b/>
        <w:bCs/>
      </w:rPr>
      <w:t>E</w:t>
    </w:r>
    <w:r w:rsidR="00A95AF4" w:rsidRPr="00474E8C">
      <w:rPr>
        <w:b/>
        <w:bCs/>
      </w:rPr>
      <w:t xml:space="preserve">xcess </w:t>
    </w:r>
    <w:r w:rsidR="002A2432">
      <w:rPr>
        <w:b/>
        <w:bCs/>
      </w:rPr>
      <w:t>M</w:t>
    </w:r>
    <w:r w:rsidR="00A95AF4" w:rsidRPr="00474E8C">
      <w:rPr>
        <w:b/>
        <w:bCs/>
      </w:rPr>
      <w:t>ortality</w:t>
    </w:r>
    <w:r w:rsidR="00EC0492">
      <w:t xml:space="preserve"> | </w:t>
    </w:r>
    <w:r w:rsidR="00EC0492" w:rsidRPr="00F60198">
      <w:fldChar w:fldCharType="begin"/>
    </w:r>
    <w:r w:rsidR="00EC0492" w:rsidRPr="00F60198">
      <w:instrText xml:space="preserve"> PAGE   \* MERGEFORMAT </w:instrText>
    </w:r>
    <w:r w:rsidR="00EC0492" w:rsidRPr="00F60198">
      <w:fldChar w:fldCharType="separate"/>
    </w:r>
    <w:r w:rsidR="00C86E09">
      <w:rPr>
        <w:noProof/>
      </w:rPr>
      <w:t>3</w:t>
    </w:r>
    <w:r w:rsidR="00EC0492" w:rsidRPr="00F6019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9257" w14:textId="77777777" w:rsidR="00EF145E" w:rsidRDefault="00EF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4CF0A" w14:textId="77777777" w:rsidR="00395B89" w:rsidRDefault="00395B89">
      <w:pPr>
        <w:spacing w:before="0" w:after="0"/>
      </w:pPr>
      <w:r>
        <w:separator/>
      </w:r>
    </w:p>
  </w:footnote>
  <w:footnote w:type="continuationSeparator" w:id="0">
    <w:p w14:paraId="0324892B" w14:textId="77777777" w:rsidR="00395B89" w:rsidRDefault="00395B89">
      <w:pPr>
        <w:spacing w:before="0" w:after="0"/>
      </w:pPr>
      <w:r>
        <w:continuationSeparator/>
      </w:r>
    </w:p>
  </w:footnote>
  <w:footnote w:type="continuationNotice" w:id="1">
    <w:p w14:paraId="6E242C1A" w14:textId="77777777" w:rsidR="00395B89" w:rsidRDefault="00395B89">
      <w:pPr>
        <w:spacing w:before="0" w:after="0" w:line="240" w:lineRule="auto"/>
      </w:pPr>
    </w:p>
  </w:footnote>
  <w:footnote w:id="2">
    <w:p w14:paraId="6E74BDA2" w14:textId="519D3709" w:rsidR="005B52C5" w:rsidRDefault="005B52C5" w:rsidP="00DA33C2">
      <w:pPr>
        <w:pStyle w:val="FootnoteText"/>
        <w:spacing w:after="0"/>
      </w:pPr>
      <w:r>
        <w:rPr>
          <w:rStyle w:val="FootnoteReference"/>
        </w:rPr>
        <w:footnoteRef/>
      </w:r>
      <w:r w:rsidR="008E7F58">
        <w:tab/>
      </w:r>
      <w:r>
        <w:t xml:space="preserve">ABS, </w:t>
      </w:r>
      <w:r w:rsidRPr="005A5BF1">
        <w:rPr>
          <w:i/>
        </w:rPr>
        <w:t xml:space="preserve">Causes of death, </w:t>
      </w:r>
      <w:r w:rsidR="00AA09D2">
        <w:rPr>
          <w:i/>
        </w:rPr>
        <w:t>Australia</w:t>
      </w:r>
      <w:r w:rsidRPr="005A5BF1">
        <w:rPr>
          <w:i/>
        </w:rPr>
        <w:t>, 2022</w:t>
      </w:r>
      <w:r>
        <w:t>.</w:t>
      </w:r>
    </w:p>
  </w:footnote>
  <w:footnote w:id="3">
    <w:p w14:paraId="79D24D94" w14:textId="2E58792A" w:rsidR="008C0E6B" w:rsidRPr="006F7D65" w:rsidRDefault="008C0E6B" w:rsidP="006F7D65">
      <w:pPr>
        <w:pStyle w:val="FootnoteText"/>
        <w:spacing w:after="0"/>
        <w:rPr>
          <w:i/>
          <w:iCs/>
        </w:rPr>
      </w:pPr>
      <w:r>
        <w:rPr>
          <w:rStyle w:val="FootnoteReference"/>
        </w:rPr>
        <w:footnoteRef/>
      </w:r>
      <w:r w:rsidR="008E7F58">
        <w:tab/>
      </w:r>
      <w:r>
        <w:t xml:space="preserve">ABS, </w:t>
      </w:r>
      <w:r w:rsidR="004215EA">
        <w:rPr>
          <w:i/>
          <w:iCs/>
        </w:rPr>
        <w:t>COVID-19 Mortality in Australia: Deaths registered until 31 January 2024.</w:t>
      </w:r>
    </w:p>
  </w:footnote>
  <w:footnote w:id="4">
    <w:p w14:paraId="327B692C" w14:textId="04CAF350" w:rsidR="00F71D98" w:rsidRDefault="00F71D98" w:rsidP="00DA33C2">
      <w:pPr>
        <w:pStyle w:val="FootnoteText"/>
        <w:spacing w:after="0"/>
      </w:pPr>
      <w:r>
        <w:rPr>
          <w:rStyle w:val="FootnoteReference"/>
        </w:rPr>
        <w:footnoteRef/>
      </w:r>
      <w:r w:rsidR="008E7F58">
        <w:tab/>
      </w:r>
      <w:r w:rsidR="00B22C79">
        <w:t xml:space="preserve">ABS, </w:t>
      </w:r>
      <w:r w:rsidR="00B22C79">
        <w:rPr>
          <w:i/>
          <w:iCs/>
        </w:rPr>
        <w:t>COVID-19 Mortality in Australia: Deaths registered until 31 January 2024.</w:t>
      </w:r>
    </w:p>
  </w:footnote>
  <w:footnote w:id="5">
    <w:p w14:paraId="437E8CB5" w14:textId="6A5531FC" w:rsidR="00F71D98" w:rsidRDefault="00F71D98" w:rsidP="00DA33C2">
      <w:pPr>
        <w:pStyle w:val="FootnoteText"/>
        <w:spacing w:after="0"/>
      </w:pPr>
      <w:r>
        <w:rPr>
          <w:rStyle w:val="FootnoteReference"/>
        </w:rPr>
        <w:footnoteRef/>
      </w:r>
      <w:r w:rsidR="008E7F58">
        <w:tab/>
      </w:r>
      <w:r w:rsidR="00DD1D4D">
        <w:t xml:space="preserve">ABS, </w:t>
      </w:r>
      <w:r w:rsidR="003F6743">
        <w:rPr>
          <w:i/>
          <w:iCs/>
        </w:rPr>
        <w:t xml:space="preserve">COVID-19 Mortality in Australia: Deaths registered until 31 January </w:t>
      </w:r>
      <w:r w:rsidR="003F6743" w:rsidRPr="00255978">
        <w:t>2024</w:t>
      </w:r>
      <w:r w:rsidR="006C266F">
        <w:t xml:space="preserve">. </w:t>
      </w:r>
      <w:r w:rsidRPr="006C266F">
        <w:rPr>
          <w:szCs w:val="18"/>
        </w:rPr>
        <w:t>Chronic</w:t>
      </w:r>
      <w:r w:rsidRPr="00DE43C0">
        <w:rPr>
          <w:szCs w:val="18"/>
        </w:rPr>
        <w:t xml:space="preserve"> cardiac conditions, dementia including Alzheimer’s, chronic respiratory conditions, cancer and diabetes are among the </w:t>
      </w:r>
      <w:proofErr w:type="gramStart"/>
      <w:r w:rsidRPr="00DE43C0">
        <w:rPr>
          <w:szCs w:val="18"/>
        </w:rPr>
        <w:t>most commonly reported</w:t>
      </w:r>
      <w:proofErr w:type="gramEnd"/>
      <w:r w:rsidRPr="00DE43C0">
        <w:rPr>
          <w:szCs w:val="18"/>
        </w:rPr>
        <w:t xml:space="preserve"> pre-existing chronic conditions that increase the risk of dying from COVID-19.</w:t>
      </w:r>
    </w:p>
  </w:footnote>
  <w:footnote w:id="6">
    <w:p w14:paraId="4995096A" w14:textId="7839FFD6" w:rsidR="000702AD" w:rsidRDefault="000702AD" w:rsidP="003E6A62">
      <w:pPr>
        <w:pStyle w:val="FootnoteText"/>
        <w:spacing w:after="0"/>
      </w:pPr>
      <w:r>
        <w:rPr>
          <w:rStyle w:val="FootnoteReference"/>
        </w:rPr>
        <w:footnoteRef/>
      </w:r>
      <w:r w:rsidR="008E7F58">
        <w:tab/>
      </w:r>
      <w:r w:rsidR="00A853CB">
        <w:t xml:space="preserve">ABS, </w:t>
      </w:r>
      <w:r w:rsidR="00A853CB" w:rsidRPr="005A5BF1">
        <w:rPr>
          <w:i/>
        </w:rPr>
        <w:t>Measuring Australia’s excess mortality during the COVID-19 pandemic until August 2023</w:t>
      </w:r>
      <w:r w:rsidR="00A853CB">
        <w:t>.</w:t>
      </w:r>
    </w:p>
  </w:footnote>
  <w:footnote w:id="7">
    <w:p w14:paraId="68E8DFC8" w14:textId="6418A2E3" w:rsidR="00F71D98" w:rsidRDefault="00F71D98" w:rsidP="006F7D65">
      <w:pPr>
        <w:pStyle w:val="FootnoteText"/>
        <w:spacing w:after="0"/>
      </w:pPr>
      <w:r>
        <w:rPr>
          <w:rStyle w:val="FootnoteReference"/>
        </w:rPr>
        <w:footnoteRef/>
      </w:r>
      <w:r w:rsidR="008E7F58">
        <w:tab/>
      </w:r>
      <w:r>
        <w:t xml:space="preserve">ABS, </w:t>
      </w:r>
      <w:r w:rsidRPr="005A5BF1">
        <w:rPr>
          <w:i/>
        </w:rPr>
        <w:t>Measuring Australia’s excess mortality during the COVID-19 pandemic until August 2023</w:t>
      </w:r>
      <w:r>
        <w:t>.</w:t>
      </w:r>
    </w:p>
  </w:footnote>
  <w:footnote w:id="8">
    <w:p w14:paraId="48DDE84D" w14:textId="202DB8E8" w:rsidR="00F71D98" w:rsidRDefault="00F71D98" w:rsidP="006F7D65">
      <w:pPr>
        <w:pStyle w:val="FootnoteText"/>
        <w:spacing w:after="0"/>
      </w:pPr>
      <w:r>
        <w:rPr>
          <w:rStyle w:val="FootnoteReference"/>
        </w:rPr>
        <w:footnoteRef/>
      </w:r>
      <w:r w:rsidR="008E7F58">
        <w:tab/>
      </w:r>
      <w:r>
        <w:t xml:space="preserve">ABS, </w:t>
      </w:r>
      <w:r w:rsidRPr="005A5BF1">
        <w:rPr>
          <w:i/>
        </w:rPr>
        <w:t>Measuring Australia’s excess mortality during the COVID-19 pandemic until August 2023</w:t>
      </w:r>
      <w:r>
        <w:t>.</w:t>
      </w:r>
    </w:p>
  </w:footnote>
  <w:footnote w:id="9">
    <w:p w14:paraId="0425BA5A" w14:textId="151B58FA" w:rsidR="00F71D98" w:rsidRDefault="00F71D98" w:rsidP="006F7D65">
      <w:pPr>
        <w:pStyle w:val="FootnoteText"/>
        <w:spacing w:after="0"/>
      </w:pPr>
      <w:r>
        <w:rPr>
          <w:rStyle w:val="FootnoteReference"/>
        </w:rPr>
        <w:footnoteRef/>
      </w:r>
      <w:r w:rsidR="008E7F58">
        <w:tab/>
      </w:r>
      <w:r>
        <w:t xml:space="preserve">ABS, </w:t>
      </w:r>
      <w:r w:rsidRPr="005A5BF1">
        <w:rPr>
          <w:i/>
        </w:rPr>
        <w:t>Measuring Australia’s excess mortality during the COVID-19 pandemic until August 2023</w:t>
      </w:r>
      <w:r>
        <w:t>.</w:t>
      </w:r>
    </w:p>
  </w:footnote>
  <w:footnote w:id="10">
    <w:p w14:paraId="366AC325" w14:textId="5531273E" w:rsidR="00F71D98" w:rsidRDefault="00F71D98" w:rsidP="006F7D65">
      <w:pPr>
        <w:pStyle w:val="FootnoteText"/>
        <w:spacing w:after="0"/>
      </w:pPr>
      <w:r>
        <w:rPr>
          <w:rStyle w:val="FootnoteReference"/>
        </w:rPr>
        <w:footnoteRef/>
      </w:r>
      <w:r w:rsidR="008E7F58">
        <w:tab/>
      </w:r>
      <w:r>
        <w:t xml:space="preserve">Actuaries Institute’s Mortality Working Group, </w:t>
      </w:r>
      <w:r w:rsidRPr="005A5BF1">
        <w:rPr>
          <w:i/>
        </w:rPr>
        <w:t>Excess mortality 5% higher than pre-pandemic expectations for 2023</w:t>
      </w:r>
      <w:r>
        <w:t>.</w:t>
      </w:r>
    </w:p>
  </w:footnote>
  <w:footnote w:id="11">
    <w:p w14:paraId="4E4C04C8" w14:textId="4359FD69" w:rsidR="00B33FC8" w:rsidRDefault="00B33FC8" w:rsidP="00DA33C2">
      <w:pPr>
        <w:pStyle w:val="FootnoteText"/>
        <w:spacing w:after="0"/>
      </w:pPr>
      <w:r>
        <w:rPr>
          <w:rStyle w:val="FootnoteReference"/>
        </w:rPr>
        <w:footnoteRef/>
      </w:r>
      <w:r w:rsidR="007E5210">
        <w:tab/>
      </w:r>
      <w:r>
        <w:t>Henceforward references to excess mortality in 2023</w:t>
      </w:r>
      <w:r w:rsidR="0048783F">
        <w:t xml:space="preserve"> relate to</w:t>
      </w:r>
      <w:r w:rsidR="00A81EE0">
        <w:t xml:space="preserve"> ABS estimate for</w:t>
      </w:r>
      <w:r w:rsidR="0048783F">
        <w:t xml:space="preserve"> the first 8 months of 2023</w:t>
      </w:r>
      <w:r w:rsidR="00A81EE0">
        <w:t>.</w:t>
      </w:r>
    </w:p>
  </w:footnote>
  <w:footnote w:id="12">
    <w:p w14:paraId="3568DE00" w14:textId="2A584E30" w:rsidR="00F71D98" w:rsidRDefault="00F71D98" w:rsidP="006F7D65">
      <w:pPr>
        <w:pStyle w:val="FootnoteText"/>
        <w:spacing w:after="0"/>
      </w:pPr>
      <w:r>
        <w:rPr>
          <w:rStyle w:val="FootnoteReference"/>
        </w:rPr>
        <w:footnoteRef/>
      </w:r>
      <w:r w:rsidR="008E7F58">
        <w:tab/>
      </w:r>
      <w:r>
        <w:t xml:space="preserve">ABS, </w:t>
      </w:r>
      <w:r w:rsidRPr="005A5BF1">
        <w:rPr>
          <w:i/>
        </w:rPr>
        <w:t>Measuring Australia’s excess mortality during the COVID-19 pandemic until August 2023</w:t>
      </w:r>
      <w:r>
        <w:t>.</w:t>
      </w:r>
    </w:p>
  </w:footnote>
  <w:footnote w:id="13">
    <w:p w14:paraId="36B687BC" w14:textId="0ECE9B8C" w:rsidR="00070B39" w:rsidRDefault="00070B39" w:rsidP="00DA33C2">
      <w:pPr>
        <w:pStyle w:val="FootnoteText"/>
        <w:spacing w:after="0"/>
      </w:pPr>
      <w:r>
        <w:rPr>
          <w:rStyle w:val="FootnoteReference"/>
        </w:rPr>
        <w:footnoteRef/>
      </w:r>
      <w:r w:rsidR="008E7F58">
        <w:tab/>
      </w:r>
      <w:r w:rsidR="008F3630">
        <w:t xml:space="preserve">For further </w:t>
      </w:r>
      <w:r w:rsidR="00110B46">
        <w:t>discussion</w:t>
      </w:r>
      <w:r w:rsidR="008F3630">
        <w:t xml:space="preserve">, see ABS, </w:t>
      </w:r>
      <w:r w:rsidR="008F3630" w:rsidRPr="005A5BF1">
        <w:rPr>
          <w:i/>
        </w:rPr>
        <w:t>Measuring Australia’s excess mortality during the COVID-19 pandemic until August 2023</w:t>
      </w:r>
      <w:r w:rsidR="008F3630">
        <w:t xml:space="preserve"> and Actuaries Institute’s Mortality Working Group, </w:t>
      </w:r>
      <w:proofErr w:type="gramStart"/>
      <w:r w:rsidR="00A7548E">
        <w:rPr>
          <w:i/>
        </w:rPr>
        <w:t>Almost</w:t>
      </w:r>
      <w:proofErr w:type="gramEnd"/>
      <w:r w:rsidR="00A7548E">
        <w:rPr>
          <w:i/>
        </w:rPr>
        <w:t xml:space="preserve"> 20,000 excess deaths for 2022 in Australia</w:t>
      </w:r>
      <w:r w:rsidR="008F3630">
        <w:t>.</w:t>
      </w:r>
    </w:p>
  </w:footnote>
  <w:footnote w:id="14">
    <w:p w14:paraId="13197919" w14:textId="5B518A2B" w:rsidR="00F71D98" w:rsidRDefault="00F71D98" w:rsidP="006F7D65">
      <w:pPr>
        <w:pStyle w:val="FootnoteText"/>
        <w:spacing w:after="0"/>
      </w:pPr>
      <w:r>
        <w:rPr>
          <w:rStyle w:val="FootnoteReference"/>
        </w:rPr>
        <w:footnoteRef/>
      </w:r>
      <w:r w:rsidR="008E7F58">
        <w:tab/>
      </w:r>
      <w:r>
        <w:t xml:space="preserve">ABS, </w:t>
      </w:r>
      <w:r w:rsidRPr="005A5BF1">
        <w:rPr>
          <w:i/>
        </w:rPr>
        <w:t>Life expectancy, 2020–22</w:t>
      </w:r>
      <w:r>
        <w:t>.</w:t>
      </w:r>
    </w:p>
  </w:footnote>
  <w:footnote w:id="15">
    <w:p w14:paraId="65D315EF" w14:textId="77777777" w:rsidR="006B705F" w:rsidRDefault="006B705F" w:rsidP="006B705F">
      <w:pPr>
        <w:pStyle w:val="FootnoteText"/>
        <w:spacing w:after="0"/>
      </w:pPr>
      <w:r>
        <w:rPr>
          <w:rStyle w:val="FootnoteReference"/>
        </w:rPr>
        <w:footnoteRef/>
      </w:r>
      <w:r>
        <w:tab/>
        <w:t>Life expectancy for males reaches its lowest level in 2021–22 and remains at this level in 2022–23. The decline in life expectancy may seem modest relative to the level of excess deaths. This reflects the concentration of excess deaths amongst older age groups, with nearly half (49 per cent) of excess deaths since the start of 2022 amongst those aged over 85.</w:t>
      </w:r>
    </w:p>
  </w:footnote>
  <w:footnote w:id="16">
    <w:p w14:paraId="5347786A" w14:textId="54CA26F3" w:rsidR="00F71D98" w:rsidRDefault="00F71D98" w:rsidP="006F7D65">
      <w:pPr>
        <w:pStyle w:val="FootnoteText"/>
        <w:spacing w:after="0"/>
      </w:pPr>
      <w:r>
        <w:rPr>
          <w:rStyle w:val="FootnoteReference"/>
        </w:rPr>
        <w:footnoteRef/>
      </w:r>
      <w:r w:rsidR="008E7F58">
        <w:tab/>
      </w:r>
      <w:r w:rsidR="009000B0">
        <w:t xml:space="preserve">United Nations Population Division, </w:t>
      </w:r>
      <w:r w:rsidR="00880FEC">
        <w:rPr>
          <w:i/>
          <w:iCs/>
        </w:rPr>
        <w:t>World Population Prospects 2022</w:t>
      </w:r>
      <w:r>
        <w:t>.</w:t>
      </w:r>
    </w:p>
  </w:footnote>
  <w:footnote w:id="17">
    <w:p w14:paraId="77E36D85" w14:textId="1D37740F" w:rsidR="00F71D98" w:rsidRDefault="00F71D98" w:rsidP="00AF79B2">
      <w:pPr>
        <w:pStyle w:val="FootnoteText"/>
        <w:tabs>
          <w:tab w:val="clear" w:pos="284"/>
          <w:tab w:val="left" w:pos="142"/>
        </w:tabs>
        <w:spacing w:after="0"/>
      </w:pPr>
      <w:r>
        <w:rPr>
          <w:rStyle w:val="FootnoteReference"/>
        </w:rPr>
        <w:footnoteRef/>
      </w:r>
      <w:r w:rsidR="008E7F58">
        <w:tab/>
      </w:r>
      <w:r w:rsidR="008E7F58">
        <w:tab/>
      </w:r>
      <w:r>
        <w:t xml:space="preserve">The Economist – processed by Our World in Data, </w:t>
      </w:r>
      <w:r w:rsidRPr="005A5BF1">
        <w:rPr>
          <w:i/>
        </w:rPr>
        <w:t>Estimated cumulative excess deaths per 100,000 people during COVID</w:t>
      </w:r>
      <w:r>
        <w:t xml:space="preserve">. </w:t>
      </w:r>
      <w:r w:rsidR="002C413A">
        <w:t>The Economist</w:t>
      </w:r>
      <w:r w:rsidR="004F76CA">
        <w:t>’s publication is the</w:t>
      </w:r>
      <w:r w:rsidR="00D65102">
        <w:t xml:space="preserve"> most</w:t>
      </w:r>
      <w:r w:rsidR="004F76CA">
        <w:t xml:space="preserve"> </w:t>
      </w:r>
      <w:r w:rsidR="00522608">
        <w:t>up-to-date estimate of excess mortality. The World Health Organi</w:t>
      </w:r>
      <w:r w:rsidR="00297FA5">
        <w:t>z</w:t>
      </w:r>
      <w:r w:rsidR="00522608">
        <w:t xml:space="preserve">ation </w:t>
      </w:r>
      <w:r w:rsidR="006308FC">
        <w:t xml:space="preserve">published excess mortality </w:t>
      </w:r>
      <w:r w:rsidR="002305EF">
        <w:t>estimates</w:t>
      </w:r>
      <w:r w:rsidR="00D9516A">
        <w:t xml:space="preserve"> </w:t>
      </w:r>
      <w:r w:rsidR="00A60B87">
        <w:t>over the period from 1 January 2020 to</w:t>
      </w:r>
      <w:r w:rsidR="00EB48E1">
        <w:t xml:space="preserve"> </w:t>
      </w:r>
      <w:r w:rsidR="006C68F6">
        <w:t>31 </w:t>
      </w:r>
      <w:r w:rsidR="00EB48E1">
        <w:t>December 2021</w:t>
      </w:r>
      <w:r w:rsidR="006C68F6">
        <w:t>, which excludes Australia’s increased mortality over 2022 and 2023</w:t>
      </w:r>
      <w:r w:rsidR="00EB48E1">
        <w:t>.</w:t>
      </w:r>
    </w:p>
  </w:footnote>
  <w:footnote w:id="18">
    <w:p w14:paraId="65B3CE79" w14:textId="60A477FB" w:rsidR="00854C6B" w:rsidRDefault="00854C6B">
      <w:pPr>
        <w:pStyle w:val="FootnoteText"/>
      </w:pPr>
      <w:r>
        <w:rPr>
          <w:rStyle w:val="FootnoteReference"/>
        </w:rPr>
        <w:footnoteRef/>
      </w:r>
      <w:r w:rsidR="004855BB">
        <w:tab/>
      </w:r>
      <w:r w:rsidR="00006340">
        <w:t>For example, see Our World in Data and The Spectator</w:t>
      </w:r>
      <w:r w:rsidR="00006340" w:rsidRPr="00007EFB">
        <w:rPr>
          <w:i/>
          <w:iCs/>
        </w:rPr>
        <w:t xml:space="preserve">, </w:t>
      </w:r>
      <w:r w:rsidR="00006340" w:rsidRPr="001F7AA1">
        <w:rPr>
          <w:i/>
          <w:iCs/>
        </w:rPr>
        <w:t>Sweden, Covid and ‘excess deaths’</w:t>
      </w:r>
      <w:r w:rsidR="000063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DBA8" w14:textId="5C6F71F3" w:rsidR="00EF145E" w:rsidRPr="001F3912" w:rsidRDefault="00000000" w:rsidP="00A12F62">
    <w:pPr>
      <w:pStyle w:val="HeaderEven"/>
    </w:pPr>
    <w:fldSimple w:instr=" STYLEREF  Title  \* MERGEFORMAT ">
      <w:r w:rsidR="0030502E">
        <w:rPr>
          <w:noProof/>
        </w:rPr>
        <w:t>To the Senate community affairs References committee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B082" w14:textId="2072304B" w:rsidR="00EF145E" w:rsidRPr="001F3912" w:rsidRDefault="00EF145E" w:rsidP="00A12F62">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A6B3" w14:textId="77777777" w:rsidR="00EF145E" w:rsidRDefault="00E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FC7"/>
    <w:multiLevelType w:val="multilevel"/>
    <w:tmpl w:val="88BE711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AC00F17"/>
    <w:multiLevelType w:val="hybridMultilevel"/>
    <w:tmpl w:val="BC8E4A8C"/>
    <w:lvl w:ilvl="0" w:tplc="5E322EEE">
      <w:start w:val="1"/>
      <w:numFmt w:val="decimal"/>
      <w:pStyle w:val="Heading8"/>
      <w:lvlText w:val="Table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4A0461"/>
    <w:multiLevelType w:val="hybridMultilevel"/>
    <w:tmpl w:val="91260442"/>
    <w:lvl w:ilvl="0" w:tplc="B49A184C">
      <w:start w:val="1"/>
      <w:numFmt w:val="decimal"/>
      <w:lvlText w:val="Chart %1."/>
      <w:lvlJc w:val="left"/>
      <w:pPr>
        <w:ind w:left="5038"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5" w15:restartNumberingAfterBreak="0">
    <w:nsid w:val="216F5594"/>
    <w:multiLevelType w:val="multilevel"/>
    <w:tmpl w:val="A53EE676"/>
    <w:lvl w:ilvl="0">
      <w:start w:val="1"/>
      <w:numFmt w:val="bullet"/>
      <w:lvlText w:val="•"/>
      <w:lvlJc w:val="left"/>
      <w:pPr>
        <w:tabs>
          <w:tab w:val="num" w:pos="472"/>
        </w:tabs>
        <w:ind w:left="472" w:hanging="472"/>
      </w:pPr>
      <w:rPr>
        <w:rFonts w:ascii="Times New Roman" w:hAnsi="Times New Roman" w:cs="Times New Roman" w:hint="default"/>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tabs>
          <w:tab w:val="num" w:pos="1796"/>
        </w:tabs>
        <w:ind w:left="1646" w:hanging="510"/>
      </w:pPr>
    </w:lvl>
    <w:lvl w:ilvl="4">
      <w:start w:val="1"/>
      <w:numFmt w:val="lowerLetter"/>
      <w:lvlText w:val="(%5)"/>
      <w:lvlJc w:val="left"/>
      <w:pPr>
        <w:tabs>
          <w:tab w:val="num" w:pos="2080"/>
        </w:tabs>
        <w:ind w:left="1930" w:hanging="510"/>
      </w:pPr>
    </w:lvl>
    <w:lvl w:ilvl="5">
      <w:start w:val="1"/>
      <w:numFmt w:val="lowerRoman"/>
      <w:lvlText w:val="(%6)"/>
      <w:lvlJc w:val="left"/>
      <w:pPr>
        <w:tabs>
          <w:tab w:val="num" w:pos="2364"/>
        </w:tabs>
        <w:ind w:left="2214" w:hanging="510"/>
      </w:pPr>
    </w:lvl>
    <w:lvl w:ilvl="6">
      <w:start w:val="1"/>
      <w:numFmt w:val="decimal"/>
      <w:lvlText w:val="%7."/>
      <w:lvlJc w:val="left"/>
      <w:pPr>
        <w:tabs>
          <w:tab w:val="num" w:pos="2648"/>
        </w:tabs>
        <w:ind w:left="2498" w:hanging="510"/>
      </w:pPr>
    </w:lvl>
    <w:lvl w:ilvl="7">
      <w:start w:val="1"/>
      <w:numFmt w:val="lowerLetter"/>
      <w:lvlText w:val="%8."/>
      <w:lvlJc w:val="left"/>
      <w:pPr>
        <w:tabs>
          <w:tab w:val="num" w:pos="2932"/>
        </w:tabs>
        <w:ind w:left="2782" w:hanging="510"/>
      </w:pPr>
    </w:lvl>
    <w:lvl w:ilvl="8">
      <w:start w:val="1"/>
      <w:numFmt w:val="lowerRoman"/>
      <w:lvlText w:val="%9."/>
      <w:lvlJc w:val="left"/>
      <w:pPr>
        <w:tabs>
          <w:tab w:val="num" w:pos="3216"/>
        </w:tabs>
        <w:ind w:left="3066" w:hanging="510"/>
      </w:pPr>
    </w:lvl>
  </w:abstractNum>
  <w:abstractNum w:abstractNumId="6"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0C37C0"/>
    <w:multiLevelType w:val="hybridMultilevel"/>
    <w:tmpl w:val="7E4EFDA8"/>
    <w:lvl w:ilvl="0" w:tplc="BD6EB0BC">
      <w:start w:val="1"/>
      <w:numFmt w:val="decimal"/>
      <w:lvlText w:val="Chart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7F6AB3"/>
    <w:multiLevelType w:val="hybridMultilevel"/>
    <w:tmpl w:val="E8D02006"/>
    <w:lvl w:ilvl="0" w:tplc="56DE09CA">
      <w:start w:val="1"/>
      <w:numFmt w:val="decimal"/>
      <w:pStyle w:val="TableHeadingContinued"/>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B20637"/>
    <w:multiLevelType w:val="hybridMultilevel"/>
    <w:tmpl w:val="E57A028C"/>
    <w:lvl w:ilvl="0" w:tplc="345E5FF0">
      <w:start w:val="1"/>
      <w:numFmt w:val="decimal"/>
      <w:lvlText w:val="Table %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0F57A5"/>
    <w:multiLevelType w:val="hybridMultilevel"/>
    <w:tmpl w:val="03BC89F0"/>
    <w:lvl w:ilvl="0" w:tplc="29E21A3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pacing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5A02C0"/>
    <w:multiLevelType w:val="hybridMultilevel"/>
    <w:tmpl w:val="F146CEBC"/>
    <w:lvl w:ilvl="0" w:tplc="8E0CD19A">
      <w:start w:val="1"/>
      <w:numFmt w:val="decimal"/>
      <w:pStyle w:val="ChartMainHeading"/>
      <w:lvlText w:val="Chart %1."/>
      <w:lvlJc w:val="left"/>
      <w:pPr>
        <w:ind w:left="720" w:hanging="360"/>
      </w:pPr>
      <w:rPr>
        <w:rFonts w:hint="default"/>
        <w:spacing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2668850">
    <w:abstractNumId w:val="0"/>
  </w:num>
  <w:num w:numId="2" w16cid:durableId="1990591168">
    <w:abstractNumId w:val="0"/>
  </w:num>
  <w:num w:numId="3" w16cid:durableId="398870424">
    <w:abstractNumId w:val="0"/>
  </w:num>
  <w:num w:numId="4" w16cid:durableId="1872035842">
    <w:abstractNumId w:val="7"/>
  </w:num>
  <w:num w:numId="5" w16cid:durableId="338971827">
    <w:abstractNumId w:val="14"/>
  </w:num>
  <w:num w:numId="6" w16cid:durableId="1004942432">
    <w:abstractNumId w:val="8"/>
  </w:num>
  <w:num w:numId="7" w16cid:durableId="760222523">
    <w:abstractNumId w:val="7"/>
  </w:num>
  <w:num w:numId="8" w16cid:durableId="1931424642">
    <w:abstractNumId w:val="3"/>
  </w:num>
  <w:num w:numId="9" w16cid:durableId="2119059593">
    <w:abstractNumId w:val="11"/>
  </w:num>
  <w:num w:numId="10" w16cid:durableId="1848207983">
    <w:abstractNumId w:val="4"/>
  </w:num>
  <w:num w:numId="11" w16cid:durableId="292445393">
    <w:abstractNumId w:val="9"/>
  </w:num>
  <w:num w:numId="12" w16cid:durableId="1668824426">
    <w:abstractNumId w:val="2"/>
  </w:num>
  <w:num w:numId="13" w16cid:durableId="624895609">
    <w:abstractNumId w:val="6"/>
  </w:num>
  <w:num w:numId="14" w16cid:durableId="264461676">
    <w:abstractNumId w:val="6"/>
  </w:num>
  <w:num w:numId="15" w16cid:durableId="1388063680">
    <w:abstractNumId w:val="0"/>
  </w:num>
  <w:num w:numId="16" w16cid:durableId="1511094162">
    <w:abstractNumId w:val="0"/>
  </w:num>
  <w:num w:numId="17" w16cid:durableId="291330327">
    <w:abstractNumId w:val="7"/>
  </w:num>
  <w:num w:numId="18" w16cid:durableId="398408875">
    <w:abstractNumId w:val="7"/>
  </w:num>
  <w:num w:numId="19" w16cid:durableId="192622067">
    <w:abstractNumId w:val="8"/>
  </w:num>
  <w:num w:numId="20" w16cid:durableId="1975520973">
    <w:abstractNumId w:val="14"/>
  </w:num>
  <w:num w:numId="21" w16cid:durableId="2045135184">
    <w:abstractNumId w:val="4"/>
  </w:num>
  <w:num w:numId="22" w16cid:durableId="2005814795">
    <w:abstractNumId w:val="8"/>
  </w:num>
  <w:num w:numId="23" w16cid:durableId="1169298228">
    <w:abstractNumId w:val="7"/>
  </w:num>
  <w:num w:numId="24" w16cid:durableId="384378288">
    <w:abstractNumId w:val="7"/>
  </w:num>
  <w:num w:numId="25" w16cid:durableId="1061826942">
    <w:abstractNumId w:val="3"/>
  </w:num>
  <w:num w:numId="26" w16cid:durableId="1206718648">
    <w:abstractNumId w:val="3"/>
  </w:num>
  <w:num w:numId="27" w16cid:durableId="1601914791">
    <w:abstractNumId w:val="3"/>
  </w:num>
  <w:num w:numId="28" w16cid:durableId="1737241553">
    <w:abstractNumId w:val="4"/>
  </w:num>
  <w:num w:numId="29" w16cid:durableId="1905530743">
    <w:abstractNumId w:val="12"/>
  </w:num>
  <w:num w:numId="30" w16cid:durableId="1025519161">
    <w:abstractNumId w:val="9"/>
  </w:num>
  <w:num w:numId="31" w16cid:durableId="910385499">
    <w:abstractNumId w:val="9"/>
  </w:num>
  <w:num w:numId="32" w16cid:durableId="1376471390">
    <w:abstractNumId w:val="2"/>
  </w:num>
  <w:num w:numId="33" w16cid:durableId="1189679792">
    <w:abstractNumId w:val="2"/>
  </w:num>
  <w:num w:numId="34" w16cid:durableId="227887330">
    <w:abstractNumId w:val="2"/>
  </w:num>
  <w:num w:numId="35" w16cid:durableId="676427906">
    <w:abstractNumId w:val="2"/>
  </w:num>
  <w:num w:numId="36" w16cid:durableId="135684260">
    <w:abstractNumId w:val="6"/>
  </w:num>
  <w:num w:numId="37" w16cid:durableId="1493833892">
    <w:abstractNumId w:val="0"/>
  </w:num>
  <w:num w:numId="38" w16cid:durableId="507520645">
    <w:abstractNumId w:val="11"/>
  </w:num>
  <w:num w:numId="39" w16cid:durableId="609312859">
    <w:abstractNumId w:val="0"/>
  </w:num>
  <w:num w:numId="40" w16cid:durableId="462889911">
    <w:abstractNumId w:val="0"/>
  </w:num>
  <w:num w:numId="41" w16cid:durableId="194318468">
    <w:abstractNumId w:val="10"/>
  </w:num>
  <w:num w:numId="42" w16cid:durableId="1048380231">
    <w:abstractNumId w:val="13"/>
  </w:num>
  <w:num w:numId="43" w16cid:durableId="1562594193">
    <w:abstractNumId w:val="16"/>
  </w:num>
  <w:num w:numId="44" w16cid:durableId="377780139">
    <w:abstractNumId w:val="15"/>
  </w:num>
  <w:num w:numId="45" w16cid:durableId="722873055">
    <w:abstractNumId w:val="1"/>
  </w:num>
  <w:num w:numId="46" w16cid:durableId="169187875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D4"/>
    <w:rsid w:val="000005A8"/>
    <w:rsid w:val="00002852"/>
    <w:rsid w:val="000034E9"/>
    <w:rsid w:val="00003728"/>
    <w:rsid w:val="00003C6E"/>
    <w:rsid w:val="00003EEA"/>
    <w:rsid w:val="00005257"/>
    <w:rsid w:val="000057E6"/>
    <w:rsid w:val="00006340"/>
    <w:rsid w:val="00006CEF"/>
    <w:rsid w:val="00007591"/>
    <w:rsid w:val="00011725"/>
    <w:rsid w:val="00012B74"/>
    <w:rsid w:val="00012C62"/>
    <w:rsid w:val="0001396A"/>
    <w:rsid w:val="00014866"/>
    <w:rsid w:val="00016C59"/>
    <w:rsid w:val="000178AD"/>
    <w:rsid w:val="00017BC2"/>
    <w:rsid w:val="00017F0C"/>
    <w:rsid w:val="00020C05"/>
    <w:rsid w:val="00020E0B"/>
    <w:rsid w:val="000217B1"/>
    <w:rsid w:val="00021810"/>
    <w:rsid w:val="00021C5C"/>
    <w:rsid w:val="00023262"/>
    <w:rsid w:val="0002544D"/>
    <w:rsid w:val="00025B80"/>
    <w:rsid w:val="00026E53"/>
    <w:rsid w:val="000270B8"/>
    <w:rsid w:val="0002775F"/>
    <w:rsid w:val="00030FBD"/>
    <w:rsid w:val="00030FF9"/>
    <w:rsid w:val="0003183E"/>
    <w:rsid w:val="00031A68"/>
    <w:rsid w:val="000338ED"/>
    <w:rsid w:val="00034283"/>
    <w:rsid w:val="000346E7"/>
    <w:rsid w:val="00034CF6"/>
    <w:rsid w:val="00034F8D"/>
    <w:rsid w:val="000352FB"/>
    <w:rsid w:val="000360AE"/>
    <w:rsid w:val="00036173"/>
    <w:rsid w:val="0003636B"/>
    <w:rsid w:val="000363C4"/>
    <w:rsid w:val="000367E5"/>
    <w:rsid w:val="00036847"/>
    <w:rsid w:val="00036909"/>
    <w:rsid w:val="00036F08"/>
    <w:rsid w:val="000376F0"/>
    <w:rsid w:val="00037DC6"/>
    <w:rsid w:val="00040892"/>
    <w:rsid w:val="00041EDF"/>
    <w:rsid w:val="0004220E"/>
    <w:rsid w:val="0004274D"/>
    <w:rsid w:val="00042B13"/>
    <w:rsid w:val="00043348"/>
    <w:rsid w:val="00043892"/>
    <w:rsid w:val="00043EBF"/>
    <w:rsid w:val="000441D6"/>
    <w:rsid w:val="00044201"/>
    <w:rsid w:val="0004483F"/>
    <w:rsid w:val="00045403"/>
    <w:rsid w:val="00047FFB"/>
    <w:rsid w:val="0005138B"/>
    <w:rsid w:val="000517FA"/>
    <w:rsid w:val="0005205C"/>
    <w:rsid w:val="00052197"/>
    <w:rsid w:val="000522B7"/>
    <w:rsid w:val="00052629"/>
    <w:rsid w:val="00053FB3"/>
    <w:rsid w:val="00054135"/>
    <w:rsid w:val="000548B2"/>
    <w:rsid w:val="0005495F"/>
    <w:rsid w:val="00054C0C"/>
    <w:rsid w:val="00054DC2"/>
    <w:rsid w:val="000554F9"/>
    <w:rsid w:val="00055E83"/>
    <w:rsid w:val="00056794"/>
    <w:rsid w:val="00056880"/>
    <w:rsid w:val="00056AD6"/>
    <w:rsid w:val="00056E5C"/>
    <w:rsid w:val="0006031B"/>
    <w:rsid w:val="00060737"/>
    <w:rsid w:val="00060BAF"/>
    <w:rsid w:val="00061E99"/>
    <w:rsid w:val="00062184"/>
    <w:rsid w:val="000660CF"/>
    <w:rsid w:val="000665E3"/>
    <w:rsid w:val="00066726"/>
    <w:rsid w:val="00066DA0"/>
    <w:rsid w:val="00067400"/>
    <w:rsid w:val="000675D1"/>
    <w:rsid w:val="00067AD7"/>
    <w:rsid w:val="00067E16"/>
    <w:rsid w:val="000702AD"/>
    <w:rsid w:val="0007093D"/>
    <w:rsid w:val="00070A49"/>
    <w:rsid w:val="00070B39"/>
    <w:rsid w:val="000715B9"/>
    <w:rsid w:val="000718B2"/>
    <w:rsid w:val="00071964"/>
    <w:rsid w:val="00071FFF"/>
    <w:rsid w:val="000722CB"/>
    <w:rsid w:val="000729B4"/>
    <w:rsid w:val="00073521"/>
    <w:rsid w:val="00074F04"/>
    <w:rsid w:val="00074F77"/>
    <w:rsid w:val="00075D5F"/>
    <w:rsid w:val="00076B08"/>
    <w:rsid w:val="0007712F"/>
    <w:rsid w:val="000775DE"/>
    <w:rsid w:val="00077621"/>
    <w:rsid w:val="00077824"/>
    <w:rsid w:val="00080897"/>
    <w:rsid w:val="00080E3A"/>
    <w:rsid w:val="0008431E"/>
    <w:rsid w:val="000843D0"/>
    <w:rsid w:val="000872AF"/>
    <w:rsid w:val="00087541"/>
    <w:rsid w:val="00087FAF"/>
    <w:rsid w:val="00090781"/>
    <w:rsid w:val="00090E49"/>
    <w:rsid w:val="00091CBC"/>
    <w:rsid w:val="000921C4"/>
    <w:rsid w:val="00094DA3"/>
    <w:rsid w:val="000957DD"/>
    <w:rsid w:val="00095861"/>
    <w:rsid w:val="00095A1B"/>
    <w:rsid w:val="00097F38"/>
    <w:rsid w:val="000A0710"/>
    <w:rsid w:val="000A1DF7"/>
    <w:rsid w:val="000A32F2"/>
    <w:rsid w:val="000A3A09"/>
    <w:rsid w:val="000A3DD5"/>
    <w:rsid w:val="000A7113"/>
    <w:rsid w:val="000A73EF"/>
    <w:rsid w:val="000B0006"/>
    <w:rsid w:val="000B0AB7"/>
    <w:rsid w:val="000B1E3F"/>
    <w:rsid w:val="000B1ED3"/>
    <w:rsid w:val="000B2BA2"/>
    <w:rsid w:val="000B426E"/>
    <w:rsid w:val="000B4650"/>
    <w:rsid w:val="000B4E2A"/>
    <w:rsid w:val="000B54F4"/>
    <w:rsid w:val="000C0CCF"/>
    <w:rsid w:val="000C1109"/>
    <w:rsid w:val="000C201A"/>
    <w:rsid w:val="000C2278"/>
    <w:rsid w:val="000C295A"/>
    <w:rsid w:val="000C303E"/>
    <w:rsid w:val="000C3DDD"/>
    <w:rsid w:val="000C5133"/>
    <w:rsid w:val="000C571D"/>
    <w:rsid w:val="000C5DEE"/>
    <w:rsid w:val="000C5F40"/>
    <w:rsid w:val="000C678F"/>
    <w:rsid w:val="000D0BB1"/>
    <w:rsid w:val="000D0BF6"/>
    <w:rsid w:val="000D1007"/>
    <w:rsid w:val="000D1495"/>
    <w:rsid w:val="000D2609"/>
    <w:rsid w:val="000D2775"/>
    <w:rsid w:val="000D3EAC"/>
    <w:rsid w:val="000D3F19"/>
    <w:rsid w:val="000D5BE9"/>
    <w:rsid w:val="000D75A6"/>
    <w:rsid w:val="000D7A3B"/>
    <w:rsid w:val="000D7FAE"/>
    <w:rsid w:val="000E0537"/>
    <w:rsid w:val="000E0ACC"/>
    <w:rsid w:val="000E0B74"/>
    <w:rsid w:val="000E3F6A"/>
    <w:rsid w:val="000E412E"/>
    <w:rsid w:val="000E4896"/>
    <w:rsid w:val="000E4D8C"/>
    <w:rsid w:val="000E4DE3"/>
    <w:rsid w:val="000E4E3B"/>
    <w:rsid w:val="000E6FDA"/>
    <w:rsid w:val="000E738A"/>
    <w:rsid w:val="000E7901"/>
    <w:rsid w:val="000F067A"/>
    <w:rsid w:val="000F0E18"/>
    <w:rsid w:val="000F0F78"/>
    <w:rsid w:val="000F145E"/>
    <w:rsid w:val="000F29D3"/>
    <w:rsid w:val="000F31FD"/>
    <w:rsid w:val="000F6266"/>
    <w:rsid w:val="000F6305"/>
    <w:rsid w:val="000F6AB0"/>
    <w:rsid w:val="000F6CBD"/>
    <w:rsid w:val="000F775F"/>
    <w:rsid w:val="000F7F27"/>
    <w:rsid w:val="0010014B"/>
    <w:rsid w:val="00100F15"/>
    <w:rsid w:val="0010133B"/>
    <w:rsid w:val="00101915"/>
    <w:rsid w:val="00102C92"/>
    <w:rsid w:val="00104503"/>
    <w:rsid w:val="00104991"/>
    <w:rsid w:val="00107476"/>
    <w:rsid w:val="00110418"/>
    <w:rsid w:val="00110B46"/>
    <w:rsid w:val="00111C5C"/>
    <w:rsid w:val="00111CBD"/>
    <w:rsid w:val="0011272A"/>
    <w:rsid w:val="0011461A"/>
    <w:rsid w:val="0011569B"/>
    <w:rsid w:val="001159C1"/>
    <w:rsid w:val="00117B3E"/>
    <w:rsid w:val="00121341"/>
    <w:rsid w:val="00121525"/>
    <w:rsid w:val="00121845"/>
    <w:rsid w:val="00121A05"/>
    <w:rsid w:val="00121F01"/>
    <w:rsid w:val="00121FF4"/>
    <w:rsid w:val="00123823"/>
    <w:rsid w:val="001239F6"/>
    <w:rsid w:val="00124BA9"/>
    <w:rsid w:val="00124C42"/>
    <w:rsid w:val="0012503B"/>
    <w:rsid w:val="00125337"/>
    <w:rsid w:val="00125D54"/>
    <w:rsid w:val="00125F0C"/>
    <w:rsid w:val="00126552"/>
    <w:rsid w:val="00130720"/>
    <w:rsid w:val="00130FD4"/>
    <w:rsid w:val="0013147D"/>
    <w:rsid w:val="00131DC3"/>
    <w:rsid w:val="0013209D"/>
    <w:rsid w:val="00132FFE"/>
    <w:rsid w:val="001331BB"/>
    <w:rsid w:val="001335AF"/>
    <w:rsid w:val="00135E4C"/>
    <w:rsid w:val="00136074"/>
    <w:rsid w:val="00136C9A"/>
    <w:rsid w:val="001373F5"/>
    <w:rsid w:val="00143C1A"/>
    <w:rsid w:val="00144661"/>
    <w:rsid w:val="001448D8"/>
    <w:rsid w:val="00144979"/>
    <w:rsid w:val="0014573C"/>
    <w:rsid w:val="00145777"/>
    <w:rsid w:val="00146E0E"/>
    <w:rsid w:val="00150604"/>
    <w:rsid w:val="0015076B"/>
    <w:rsid w:val="00150C78"/>
    <w:rsid w:val="001512C7"/>
    <w:rsid w:val="00152F9F"/>
    <w:rsid w:val="0015380F"/>
    <w:rsid w:val="001542A8"/>
    <w:rsid w:val="00154534"/>
    <w:rsid w:val="00155885"/>
    <w:rsid w:val="00155C91"/>
    <w:rsid w:val="001567D6"/>
    <w:rsid w:val="00156F5F"/>
    <w:rsid w:val="001574C0"/>
    <w:rsid w:val="00160675"/>
    <w:rsid w:val="001606CF"/>
    <w:rsid w:val="0016128D"/>
    <w:rsid w:val="00161565"/>
    <w:rsid w:val="00162627"/>
    <w:rsid w:val="00162E2F"/>
    <w:rsid w:val="001633BF"/>
    <w:rsid w:val="00163E78"/>
    <w:rsid w:val="001653AE"/>
    <w:rsid w:val="001655FE"/>
    <w:rsid w:val="00165A93"/>
    <w:rsid w:val="00166EA8"/>
    <w:rsid w:val="00170215"/>
    <w:rsid w:val="0017089D"/>
    <w:rsid w:val="00170AD4"/>
    <w:rsid w:val="00173FE2"/>
    <w:rsid w:val="00174E0C"/>
    <w:rsid w:val="001754FD"/>
    <w:rsid w:val="001759AB"/>
    <w:rsid w:val="0017624A"/>
    <w:rsid w:val="00177686"/>
    <w:rsid w:val="0018056F"/>
    <w:rsid w:val="00180660"/>
    <w:rsid w:val="001806C1"/>
    <w:rsid w:val="001823C8"/>
    <w:rsid w:val="0018362B"/>
    <w:rsid w:val="00183819"/>
    <w:rsid w:val="00184377"/>
    <w:rsid w:val="00184444"/>
    <w:rsid w:val="0018664F"/>
    <w:rsid w:val="00186D7B"/>
    <w:rsid w:val="0018783D"/>
    <w:rsid w:val="00187B14"/>
    <w:rsid w:val="0019101A"/>
    <w:rsid w:val="0019111E"/>
    <w:rsid w:val="001922E6"/>
    <w:rsid w:val="00192776"/>
    <w:rsid w:val="00192849"/>
    <w:rsid w:val="00193EA3"/>
    <w:rsid w:val="00195061"/>
    <w:rsid w:val="00195155"/>
    <w:rsid w:val="00195816"/>
    <w:rsid w:val="001963E1"/>
    <w:rsid w:val="00196DFF"/>
    <w:rsid w:val="001972D2"/>
    <w:rsid w:val="001973ED"/>
    <w:rsid w:val="001A00E2"/>
    <w:rsid w:val="001A019C"/>
    <w:rsid w:val="001A053A"/>
    <w:rsid w:val="001A12D7"/>
    <w:rsid w:val="001A1FD6"/>
    <w:rsid w:val="001A21E3"/>
    <w:rsid w:val="001A407F"/>
    <w:rsid w:val="001A41AA"/>
    <w:rsid w:val="001A475A"/>
    <w:rsid w:val="001A520B"/>
    <w:rsid w:val="001A5FED"/>
    <w:rsid w:val="001A6032"/>
    <w:rsid w:val="001A6600"/>
    <w:rsid w:val="001A6F81"/>
    <w:rsid w:val="001A7270"/>
    <w:rsid w:val="001B0A13"/>
    <w:rsid w:val="001B0BBD"/>
    <w:rsid w:val="001B12E9"/>
    <w:rsid w:val="001B16C2"/>
    <w:rsid w:val="001B19CA"/>
    <w:rsid w:val="001B236B"/>
    <w:rsid w:val="001B351D"/>
    <w:rsid w:val="001B4FE0"/>
    <w:rsid w:val="001B50D3"/>
    <w:rsid w:val="001B5FB1"/>
    <w:rsid w:val="001B6509"/>
    <w:rsid w:val="001B7968"/>
    <w:rsid w:val="001C0DEE"/>
    <w:rsid w:val="001C2012"/>
    <w:rsid w:val="001C28F5"/>
    <w:rsid w:val="001C28FA"/>
    <w:rsid w:val="001C358D"/>
    <w:rsid w:val="001C3A2E"/>
    <w:rsid w:val="001C4DBF"/>
    <w:rsid w:val="001C4F28"/>
    <w:rsid w:val="001C567B"/>
    <w:rsid w:val="001C5F7F"/>
    <w:rsid w:val="001C618A"/>
    <w:rsid w:val="001C766D"/>
    <w:rsid w:val="001D0D00"/>
    <w:rsid w:val="001D1378"/>
    <w:rsid w:val="001D15BE"/>
    <w:rsid w:val="001D1654"/>
    <w:rsid w:val="001D3FB8"/>
    <w:rsid w:val="001D413D"/>
    <w:rsid w:val="001D4155"/>
    <w:rsid w:val="001D571A"/>
    <w:rsid w:val="001D58BC"/>
    <w:rsid w:val="001D5A60"/>
    <w:rsid w:val="001D71D1"/>
    <w:rsid w:val="001D75EB"/>
    <w:rsid w:val="001D7B97"/>
    <w:rsid w:val="001E22F7"/>
    <w:rsid w:val="001E33BC"/>
    <w:rsid w:val="001E3BA4"/>
    <w:rsid w:val="001E417E"/>
    <w:rsid w:val="001E4D0E"/>
    <w:rsid w:val="001E5B8C"/>
    <w:rsid w:val="001E660E"/>
    <w:rsid w:val="001E78F3"/>
    <w:rsid w:val="001F0C59"/>
    <w:rsid w:val="001F144F"/>
    <w:rsid w:val="001F1B27"/>
    <w:rsid w:val="001F2B40"/>
    <w:rsid w:val="001F2FF7"/>
    <w:rsid w:val="001F481F"/>
    <w:rsid w:val="001F6DB4"/>
    <w:rsid w:val="001F7AA1"/>
    <w:rsid w:val="0020076B"/>
    <w:rsid w:val="00200E47"/>
    <w:rsid w:val="00201313"/>
    <w:rsid w:val="002018EF"/>
    <w:rsid w:val="00201FCF"/>
    <w:rsid w:val="0020221A"/>
    <w:rsid w:val="002026E9"/>
    <w:rsid w:val="00202A3F"/>
    <w:rsid w:val="00202EE3"/>
    <w:rsid w:val="00204375"/>
    <w:rsid w:val="00204FCC"/>
    <w:rsid w:val="00205172"/>
    <w:rsid w:val="00205C5A"/>
    <w:rsid w:val="002065DA"/>
    <w:rsid w:val="002102AE"/>
    <w:rsid w:val="00210CDC"/>
    <w:rsid w:val="00210FA7"/>
    <w:rsid w:val="002135F4"/>
    <w:rsid w:val="00214548"/>
    <w:rsid w:val="0021716A"/>
    <w:rsid w:val="002171B9"/>
    <w:rsid w:val="00217559"/>
    <w:rsid w:val="002205B2"/>
    <w:rsid w:val="002206D8"/>
    <w:rsid w:val="0022133B"/>
    <w:rsid w:val="002217AD"/>
    <w:rsid w:val="00221EC0"/>
    <w:rsid w:val="00222B55"/>
    <w:rsid w:val="00222ED7"/>
    <w:rsid w:val="00223E2B"/>
    <w:rsid w:val="00224778"/>
    <w:rsid w:val="0022525B"/>
    <w:rsid w:val="0022655F"/>
    <w:rsid w:val="00226FE4"/>
    <w:rsid w:val="00227DD8"/>
    <w:rsid w:val="002305EF"/>
    <w:rsid w:val="00231049"/>
    <w:rsid w:val="002314D2"/>
    <w:rsid w:val="00233050"/>
    <w:rsid w:val="0023305C"/>
    <w:rsid w:val="002335D8"/>
    <w:rsid w:val="002346E2"/>
    <w:rsid w:val="00236001"/>
    <w:rsid w:val="00237BFA"/>
    <w:rsid w:val="00237F2A"/>
    <w:rsid w:val="00237F32"/>
    <w:rsid w:val="00240836"/>
    <w:rsid w:val="00241881"/>
    <w:rsid w:val="00241B88"/>
    <w:rsid w:val="00241F2E"/>
    <w:rsid w:val="002423BE"/>
    <w:rsid w:val="0024294C"/>
    <w:rsid w:val="00242B7F"/>
    <w:rsid w:val="002430FD"/>
    <w:rsid w:val="0024364C"/>
    <w:rsid w:val="00243E3E"/>
    <w:rsid w:val="002455F5"/>
    <w:rsid w:val="00245B07"/>
    <w:rsid w:val="00245F84"/>
    <w:rsid w:val="00247363"/>
    <w:rsid w:val="00247A88"/>
    <w:rsid w:val="002503E1"/>
    <w:rsid w:val="00250CC9"/>
    <w:rsid w:val="0025169A"/>
    <w:rsid w:val="00251BE4"/>
    <w:rsid w:val="002524BF"/>
    <w:rsid w:val="0025254C"/>
    <w:rsid w:val="0025372E"/>
    <w:rsid w:val="00253E5E"/>
    <w:rsid w:val="00254784"/>
    <w:rsid w:val="00254D59"/>
    <w:rsid w:val="0025563B"/>
    <w:rsid w:val="00255978"/>
    <w:rsid w:val="0025652F"/>
    <w:rsid w:val="002609A8"/>
    <w:rsid w:val="002609D6"/>
    <w:rsid w:val="00260BC1"/>
    <w:rsid w:val="00261157"/>
    <w:rsid w:val="00262A12"/>
    <w:rsid w:val="00262AF5"/>
    <w:rsid w:val="002633A5"/>
    <w:rsid w:val="00263B6C"/>
    <w:rsid w:val="00263FF4"/>
    <w:rsid w:val="002640C0"/>
    <w:rsid w:val="00266901"/>
    <w:rsid w:val="002674AC"/>
    <w:rsid w:val="0026777F"/>
    <w:rsid w:val="002678D9"/>
    <w:rsid w:val="002715E9"/>
    <w:rsid w:val="00272043"/>
    <w:rsid w:val="0027292C"/>
    <w:rsid w:val="00272939"/>
    <w:rsid w:val="00272E6C"/>
    <w:rsid w:val="00273486"/>
    <w:rsid w:val="0027590B"/>
    <w:rsid w:val="00276A52"/>
    <w:rsid w:val="00276BBA"/>
    <w:rsid w:val="002774BA"/>
    <w:rsid w:val="00277DEE"/>
    <w:rsid w:val="00282452"/>
    <w:rsid w:val="00282627"/>
    <w:rsid w:val="00282FE5"/>
    <w:rsid w:val="00283449"/>
    <w:rsid w:val="00283734"/>
    <w:rsid w:val="002839BD"/>
    <w:rsid w:val="00284D96"/>
    <w:rsid w:val="002851D8"/>
    <w:rsid w:val="00285596"/>
    <w:rsid w:val="00285969"/>
    <w:rsid w:val="00287D42"/>
    <w:rsid w:val="00291121"/>
    <w:rsid w:val="00293B10"/>
    <w:rsid w:val="00294E53"/>
    <w:rsid w:val="00295537"/>
    <w:rsid w:val="0029569D"/>
    <w:rsid w:val="002957F7"/>
    <w:rsid w:val="002971C2"/>
    <w:rsid w:val="00297997"/>
    <w:rsid w:val="00297C90"/>
    <w:rsid w:val="00297CA1"/>
    <w:rsid w:val="00297FA5"/>
    <w:rsid w:val="002A07FB"/>
    <w:rsid w:val="002A21CD"/>
    <w:rsid w:val="002A2432"/>
    <w:rsid w:val="002A25E1"/>
    <w:rsid w:val="002A36C0"/>
    <w:rsid w:val="002A3D7C"/>
    <w:rsid w:val="002A3D8B"/>
    <w:rsid w:val="002A3FF6"/>
    <w:rsid w:val="002A44C6"/>
    <w:rsid w:val="002A4568"/>
    <w:rsid w:val="002A45EF"/>
    <w:rsid w:val="002A4B48"/>
    <w:rsid w:val="002A5339"/>
    <w:rsid w:val="002A5BAF"/>
    <w:rsid w:val="002A6897"/>
    <w:rsid w:val="002A74EF"/>
    <w:rsid w:val="002B0D14"/>
    <w:rsid w:val="002B2771"/>
    <w:rsid w:val="002B34C9"/>
    <w:rsid w:val="002B3829"/>
    <w:rsid w:val="002B3C73"/>
    <w:rsid w:val="002B3D82"/>
    <w:rsid w:val="002B7650"/>
    <w:rsid w:val="002C0213"/>
    <w:rsid w:val="002C0D57"/>
    <w:rsid w:val="002C0F9A"/>
    <w:rsid w:val="002C18E8"/>
    <w:rsid w:val="002C1FAD"/>
    <w:rsid w:val="002C22EF"/>
    <w:rsid w:val="002C2C94"/>
    <w:rsid w:val="002C2D6D"/>
    <w:rsid w:val="002C34A4"/>
    <w:rsid w:val="002C3D2E"/>
    <w:rsid w:val="002C413A"/>
    <w:rsid w:val="002C494D"/>
    <w:rsid w:val="002C4DC7"/>
    <w:rsid w:val="002C57D7"/>
    <w:rsid w:val="002C64CE"/>
    <w:rsid w:val="002D00BC"/>
    <w:rsid w:val="002D3F70"/>
    <w:rsid w:val="002D589C"/>
    <w:rsid w:val="002D6712"/>
    <w:rsid w:val="002D69E3"/>
    <w:rsid w:val="002E1E42"/>
    <w:rsid w:val="002E454C"/>
    <w:rsid w:val="002E5126"/>
    <w:rsid w:val="002E577D"/>
    <w:rsid w:val="002E5A04"/>
    <w:rsid w:val="002E6D7D"/>
    <w:rsid w:val="002F01FD"/>
    <w:rsid w:val="002F0B46"/>
    <w:rsid w:val="002F28C7"/>
    <w:rsid w:val="002F2B57"/>
    <w:rsid w:val="002F370F"/>
    <w:rsid w:val="002F46D6"/>
    <w:rsid w:val="002F617F"/>
    <w:rsid w:val="002F6192"/>
    <w:rsid w:val="002F7358"/>
    <w:rsid w:val="00300109"/>
    <w:rsid w:val="00300EDE"/>
    <w:rsid w:val="00301422"/>
    <w:rsid w:val="0030172E"/>
    <w:rsid w:val="00301730"/>
    <w:rsid w:val="00301755"/>
    <w:rsid w:val="00302302"/>
    <w:rsid w:val="003024C6"/>
    <w:rsid w:val="003026E1"/>
    <w:rsid w:val="00302E90"/>
    <w:rsid w:val="00303560"/>
    <w:rsid w:val="00303918"/>
    <w:rsid w:val="00303B6C"/>
    <w:rsid w:val="003049A1"/>
    <w:rsid w:val="0030502E"/>
    <w:rsid w:val="00306138"/>
    <w:rsid w:val="0030665E"/>
    <w:rsid w:val="00306894"/>
    <w:rsid w:val="00306971"/>
    <w:rsid w:val="00307FFE"/>
    <w:rsid w:val="00310527"/>
    <w:rsid w:val="003122F4"/>
    <w:rsid w:val="00312C31"/>
    <w:rsid w:val="0031325A"/>
    <w:rsid w:val="003136F8"/>
    <w:rsid w:val="00313972"/>
    <w:rsid w:val="0031444D"/>
    <w:rsid w:val="00314969"/>
    <w:rsid w:val="00315643"/>
    <w:rsid w:val="003205F1"/>
    <w:rsid w:val="00321F2F"/>
    <w:rsid w:val="00321F79"/>
    <w:rsid w:val="00322062"/>
    <w:rsid w:val="00322412"/>
    <w:rsid w:val="003229B4"/>
    <w:rsid w:val="00322AA1"/>
    <w:rsid w:val="003231FC"/>
    <w:rsid w:val="00323AA5"/>
    <w:rsid w:val="00323E55"/>
    <w:rsid w:val="00324868"/>
    <w:rsid w:val="003255D6"/>
    <w:rsid w:val="00325962"/>
    <w:rsid w:val="003268D5"/>
    <w:rsid w:val="00327C63"/>
    <w:rsid w:val="003303CD"/>
    <w:rsid w:val="00331A5B"/>
    <w:rsid w:val="00332093"/>
    <w:rsid w:val="00332242"/>
    <w:rsid w:val="00332470"/>
    <w:rsid w:val="003334C1"/>
    <w:rsid w:val="00333E94"/>
    <w:rsid w:val="00334C83"/>
    <w:rsid w:val="0033527F"/>
    <w:rsid w:val="00335281"/>
    <w:rsid w:val="00335646"/>
    <w:rsid w:val="00335A1F"/>
    <w:rsid w:val="0033650A"/>
    <w:rsid w:val="00337874"/>
    <w:rsid w:val="003401BA"/>
    <w:rsid w:val="00340ACC"/>
    <w:rsid w:val="00340F5A"/>
    <w:rsid w:val="00340F69"/>
    <w:rsid w:val="0034184A"/>
    <w:rsid w:val="003421BF"/>
    <w:rsid w:val="00342AD0"/>
    <w:rsid w:val="003448F6"/>
    <w:rsid w:val="00344F3B"/>
    <w:rsid w:val="00346559"/>
    <w:rsid w:val="00346668"/>
    <w:rsid w:val="00346F86"/>
    <w:rsid w:val="00350759"/>
    <w:rsid w:val="00351DC6"/>
    <w:rsid w:val="00352D0A"/>
    <w:rsid w:val="0035343E"/>
    <w:rsid w:val="003539DA"/>
    <w:rsid w:val="003541CA"/>
    <w:rsid w:val="0035420D"/>
    <w:rsid w:val="00354D27"/>
    <w:rsid w:val="00354D86"/>
    <w:rsid w:val="00355AE0"/>
    <w:rsid w:val="00355E04"/>
    <w:rsid w:val="0035689E"/>
    <w:rsid w:val="00356F06"/>
    <w:rsid w:val="00357009"/>
    <w:rsid w:val="003571D5"/>
    <w:rsid w:val="0035738A"/>
    <w:rsid w:val="003577D8"/>
    <w:rsid w:val="0035791B"/>
    <w:rsid w:val="0036018C"/>
    <w:rsid w:val="00360A15"/>
    <w:rsid w:val="00360F9C"/>
    <w:rsid w:val="00361010"/>
    <w:rsid w:val="00361578"/>
    <w:rsid w:val="00361CA4"/>
    <w:rsid w:val="00363D45"/>
    <w:rsid w:val="00364DB2"/>
    <w:rsid w:val="00364DD0"/>
    <w:rsid w:val="00365465"/>
    <w:rsid w:val="0036584F"/>
    <w:rsid w:val="00366630"/>
    <w:rsid w:val="003702EE"/>
    <w:rsid w:val="003713A1"/>
    <w:rsid w:val="003717A0"/>
    <w:rsid w:val="00372426"/>
    <w:rsid w:val="00375078"/>
    <w:rsid w:val="00375373"/>
    <w:rsid w:val="003767F8"/>
    <w:rsid w:val="00377A4B"/>
    <w:rsid w:val="0038052E"/>
    <w:rsid w:val="0038221F"/>
    <w:rsid w:val="00383FDA"/>
    <w:rsid w:val="0038555A"/>
    <w:rsid w:val="003858A6"/>
    <w:rsid w:val="00385A3A"/>
    <w:rsid w:val="00387B19"/>
    <w:rsid w:val="00387EC3"/>
    <w:rsid w:val="0039016A"/>
    <w:rsid w:val="003919C8"/>
    <w:rsid w:val="00392B03"/>
    <w:rsid w:val="00392DCC"/>
    <w:rsid w:val="003948E8"/>
    <w:rsid w:val="00394EF1"/>
    <w:rsid w:val="00394F08"/>
    <w:rsid w:val="00395103"/>
    <w:rsid w:val="00395B89"/>
    <w:rsid w:val="00395E39"/>
    <w:rsid w:val="003960FE"/>
    <w:rsid w:val="00397F7A"/>
    <w:rsid w:val="003A03CB"/>
    <w:rsid w:val="003A071E"/>
    <w:rsid w:val="003A318D"/>
    <w:rsid w:val="003A471B"/>
    <w:rsid w:val="003A4EB6"/>
    <w:rsid w:val="003A51E1"/>
    <w:rsid w:val="003A5B36"/>
    <w:rsid w:val="003A690E"/>
    <w:rsid w:val="003A76B1"/>
    <w:rsid w:val="003B0B08"/>
    <w:rsid w:val="003B27B8"/>
    <w:rsid w:val="003B3432"/>
    <w:rsid w:val="003B3D3D"/>
    <w:rsid w:val="003B5C88"/>
    <w:rsid w:val="003B7932"/>
    <w:rsid w:val="003B7F0A"/>
    <w:rsid w:val="003C0B72"/>
    <w:rsid w:val="003C0D8A"/>
    <w:rsid w:val="003C0F95"/>
    <w:rsid w:val="003C1243"/>
    <w:rsid w:val="003C1559"/>
    <w:rsid w:val="003C168B"/>
    <w:rsid w:val="003C21CC"/>
    <w:rsid w:val="003C24B4"/>
    <w:rsid w:val="003C306E"/>
    <w:rsid w:val="003C3769"/>
    <w:rsid w:val="003C41B0"/>
    <w:rsid w:val="003C4601"/>
    <w:rsid w:val="003C4CFD"/>
    <w:rsid w:val="003C5926"/>
    <w:rsid w:val="003C5E27"/>
    <w:rsid w:val="003C6479"/>
    <w:rsid w:val="003C7FE0"/>
    <w:rsid w:val="003D02B6"/>
    <w:rsid w:val="003D10B6"/>
    <w:rsid w:val="003D3708"/>
    <w:rsid w:val="003D3BD3"/>
    <w:rsid w:val="003D4208"/>
    <w:rsid w:val="003D43E4"/>
    <w:rsid w:val="003D510A"/>
    <w:rsid w:val="003D5FC8"/>
    <w:rsid w:val="003D5FE4"/>
    <w:rsid w:val="003D6093"/>
    <w:rsid w:val="003D7015"/>
    <w:rsid w:val="003D719B"/>
    <w:rsid w:val="003D7D1E"/>
    <w:rsid w:val="003E0A44"/>
    <w:rsid w:val="003E13E4"/>
    <w:rsid w:val="003E20D6"/>
    <w:rsid w:val="003E2F0B"/>
    <w:rsid w:val="003E47FA"/>
    <w:rsid w:val="003E49E9"/>
    <w:rsid w:val="003E4D87"/>
    <w:rsid w:val="003E5505"/>
    <w:rsid w:val="003E63CE"/>
    <w:rsid w:val="003E6A62"/>
    <w:rsid w:val="003E79C1"/>
    <w:rsid w:val="003F3CDF"/>
    <w:rsid w:val="003F4764"/>
    <w:rsid w:val="003F59E8"/>
    <w:rsid w:val="003F5C5F"/>
    <w:rsid w:val="003F6091"/>
    <w:rsid w:val="003F66F6"/>
    <w:rsid w:val="003F6743"/>
    <w:rsid w:val="003F6934"/>
    <w:rsid w:val="0040007B"/>
    <w:rsid w:val="00400B77"/>
    <w:rsid w:val="00400EF8"/>
    <w:rsid w:val="00401082"/>
    <w:rsid w:val="00401A81"/>
    <w:rsid w:val="00401B3B"/>
    <w:rsid w:val="004020FD"/>
    <w:rsid w:val="00402336"/>
    <w:rsid w:val="00402648"/>
    <w:rsid w:val="00402DF6"/>
    <w:rsid w:val="004038C4"/>
    <w:rsid w:val="0040469E"/>
    <w:rsid w:val="00404E42"/>
    <w:rsid w:val="0040613E"/>
    <w:rsid w:val="00406D0F"/>
    <w:rsid w:val="004078E3"/>
    <w:rsid w:val="0041305C"/>
    <w:rsid w:val="00413762"/>
    <w:rsid w:val="00414BD3"/>
    <w:rsid w:val="00414E54"/>
    <w:rsid w:val="0041508D"/>
    <w:rsid w:val="00415135"/>
    <w:rsid w:val="00415AC8"/>
    <w:rsid w:val="00416762"/>
    <w:rsid w:val="00416E55"/>
    <w:rsid w:val="0041736D"/>
    <w:rsid w:val="004206D3"/>
    <w:rsid w:val="004215EA"/>
    <w:rsid w:val="00421F8D"/>
    <w:rsid w:val="004225FF"/>
    <w:rsid w:val="00422867"/>
    <w:rsid w:val="004249D2"/>
    <w:rsid w:val="00424E2D"/>
    <w:rsid w:val="0042518A"/>
    <w:rsid w:val="00425543"/>
    <w:rsid w:val="004270C1"/>
    <w:rsid w:val="004276A0"/>
    <w:rsid w:val="00430CBE"/>
    <w:rsid w:val="0043129D"/>
    <w:rsid w:val="0043267F"/>
    <w:rsid w:val="00432B44"/>
    <w:rsid w:val="00432D9F"/>
    <w:rsid w:val="00433677"/>
    <w:rsid w:val="0043643B"/>
    <w:rsid w:val="00440B57"/>
    <w:rsid w:val="004419B2"/>
    <w:rsid w:val="0044248F"/>
    <w:rsid w:val="004440A3"/>
    <w:rsid w:val="00444764"/>
    <w:rsid w:val="004450A3"/>
    <w:rsid w:val="00445265"/>
    <w:rsid w:val="00446F37"/>
    <w:rsid w:val="00447E5E"/>
    <w:rsid w:val="00451657"/>
    <w:rsid w:val="00452A60"/>
    <w:rsid w:val="00452F96"/>
    <w:rsid w:val="004559CE"/>
    <w:rsid w:val="00457044"/>
    <w:rsid w:val="00457D6B"/>
    <w:rsid w:val="00460D1A"/>
    <w:rsid w:val="00460E1A"/>
    <w:rsid w:val="00461E6B"/>
    <w:rsid w:val="004626A0"/>
    <w:rsid w:val="00462B93"/>
    <w:rsid w:val="00463AE9"/>
    <w:rsid w:val="00463DF8"/>
    <w:rsid w:val="00464507"/>
    <w:rsid w:val="00464C34"/>
    <w:rsid w:val="004650B5"/>
    <w:rsid w:val="004653CF"/>
    <w:rsid w:val="0046684D"/>
    <w:rsid w:val="00466F90"/>
    <w:rsid w:val="00467D04"/>
    <w:rsid w:val="00467DF9"/>
    <w:rsid w:val="00470D38"/>
    <w:rsid w:val="00471ADE"/>
    <w:rsid w:val="00474464"/>
    <w:rsid w:val="00474D55"/>
    <w:rsid w:val="00474E8C"/>
    <w:rsid w:val="00474EC1"/>
    <w:rsid w:val="00475085"/>
    <w:rsid w:val="004757E6"/>
    <w:rsid w:val="004765DA"/>
    <w:rsid w:val="00476CF6"/>
    <w:rsid w:val="00477371"/>
    <w:rsid w:val="00477AA8"/>
    <w:rsid w:val="004805D5"/>
    <w:rsid w:val="00481058"/>
    <w:rsid w:val="00482E18"/>
    <w:rsid w:val="004837F5"/>
    <w:rsid w:val="0048488A"/>
    <w:rsid w:val="004855BB"/>
    <w:rsid w:val="0048560C"/>
    <w:rsid w:val="00486D8E"/>
    <w:rsid w:val="00486EAB"/>
    <w:rsid w:val="00487559"/>
    <w:rsid w:val="0048783F"/>
    <w:rsid w:val="00490C2B"/>
    <w:rsid w:val="00492F93"/>
    <w:rsid w:val="00492FCB"/>
    <w:rsid w:val="00493271"/>
    <w:rsid w:val="00493535"/>
    <w:rsid w:val="00494408"/>
    <w:rsid w:val="0049496A"/>
    <w:rsid w:val="00495DEE"/>
    <w:rsid w:val="004965C9"/>
    <w:rsid w:val="00496740"/>
    <w:rsid w:val="00497D2D"/>
    <w:rsid w:val="00497F12"/>
    <w:rsid w:val="004A0638"/>
    <w:rsid w:val="004A0F11"/>
    <w:rsid w:val="004A16DA"/>
    <w:rsid w:val="004A22ED"/>
    <w:rsid w:val="004A3210"/>
    <w:rsid w:val="004A3EAA"/>
    <w:rsid w:val="004A3EFE"/>
    <w:rsid w:val="004A562C"/>
    <w:rsid w:val="004A57E7"/>
    <w:rsid w:val="004A5D80"/>
    <w:rsid w:val="004A7D97"/>
    <w:rsid w:val="004B01DC"/>
    <w:rsid w:val="004B0849"/>
    <w:rsid w:val="004B3064"/>
    <w:rsid w:val="004B5011"/>
    <w:rsid w:val="004B5133"/>
    <w:rsid w:val="004B6D68"/>
    <w:rsid w:val="004B72A3"/>
    <w:rsid w:val="004B7C25"/>
    <w:rsid w:val="004C01DC"/>
    <w:rsid w:val="004C1421"/>
    <w:rsid w:val="004C1D16"/>
    <w:rsid w:val="004C32B3"/>
    <w:rsid w:val="004C41B6"/>
    <w:rsid w:val="004C5327"/>
    <w:rsid w:val="004C5414"/>
    <w:rsid w:val="004C57F3"/>
    <w:rsid w:val="004C5FD7"/>
    <w:rsid w:val="004C6947"/>
    <w:rsid w:val="004C6DEE"/>
    <w:rsid w:val="004D02A3"/>
    <w:rsid w:val="004D0D65"/>
    <w:rsid w:val="004D1ECD"/>
    <w:rsid w:val="004D280E"/>
    <w:rsid w:val="004D3801"/>
    <w:rsid w:val="004D45E9"/>
    <w:rsid w:val="004D49B0"/>
    <w:rsid w:val="004D6163"/>
    <w:rsid w:val="004D6C2C"/>
    <w:rsid w:val="004D6E37"/>
    <w:rsid w:val="004D6EEF"/>
    <w:rsid w:val="004D7D5F"/>
    <w:rsid w:val="004D7EBD"/>
    <w:rsid w:val="004E00EA"/>
    <w:rsid w:val="004E0329"/>
    <w:rsid w:val="004E085D"/>
    <w:rsid w:val="004E1131"/>
    <w:rsid w:val="004E1AC5"/>
    <w:rsid w:val="004E22D7"/>
    <w:rsid w:val="004E22F6"/>
    <w:rsid w:val="004E3731"/>
    <w:rsid w:val="004E4281"/>
    <w:rsid w:val="004E520C"/>
    <w:rsid w:val="004E5A84"/>
    <w:rsid w:val="004E6707"/>
    <w:rsid w:val="004E67EE"/>
    <w:rsid w:val="004E76CD"/>
    <w:rsid w:val="004E7878"/>
    <w:rsid w:val="004F008B"/>
    <w:rsid w:val="004F0300"/>
    <w:rsid w:val="004F0414"/>
    <w:rsid w:val="004F0A4E"/>
    <w:rsid w:val="004F15CB"/>
    <w:rsid w:val="004F19BA"/>
    <w:rsid w:val="004F254B"/>
    <w:rsid w:val="004F4770"/>
    <w:rsid w:val="004F486A"/>
    <w:rsid w:val="004F4893"/>
    <w:rsid w:val="004F4B85"/>
    <w:rsid w:val="004F4B92"/>
    <w:rsid w:val="004F4BD5"/>
    <w:rsid w:val="004F5721"/>
    <w:rsid w:val="004F5935"/>
    <w:rsid w:val="004F6557"/>
    <w:rsid w:val="004F66EA"/>
    <w:rsid w:val="004F728F"/>
    <w:rsid w:val="004F76CA"/>
    <w:rsid w:val="004F7B61"/>
    <w:rsid w:val="00500620"/>
    <w:rsid w:val="00501572"/>
    <w:rsid w:val="005021C8"/>
    <w:rsid w:val="005021D5"/>
    <w:rsid w:val="005023D9"/>
    <w:rsid w:val="00502FEB"/>
    <w:rsid w:val="0050305A"/>
    <w:rsid w:val="005030DA"/>
    <w:rsid w:val="00503B24"/>
    <w:rsid w:val="00504E9C"/>
    <w:rsid w:val="00505124"/>
    <w:rsid w:val="00505A06"/>
    <w:rsid w:val="00505CB0"/>
    <w:rsid w:val="00507A64"/>
    <w:rsid w:val="00507C74"/>
    <w:rsid w:val="0051159B"/>
    <w:rsid w:val="00512C49"/>
    <w:rsid w:val="0051313E"/>
    <w:rsid w:val="00515909"/>
    <w:rsid w:val="00516785"/>
    <w:rsid w:val="005169A8"/>
    <w:rsid w:val="00516C6C"/>
    <w:rsid w:val="00520F3F"/>
    <w:rsid w:val="0052132E"/>
    <w:rsid w:val="00521EE1"/>
    <w:rsid w:val="00522194"/>
    <w:rsid w:val="00522608"/>
    <w:rsid w:val="0052419D"/>
    <w:rsid w:val="00524912"/>
    <w:rsid w:val="005251CA"/>
    <w:rsid w:val="0052553A"/>
    <w:rsid w:val="005255AE"/>
    <w:rsid w:val="00526092"/>
    <w:rsid w:val="00526712"/>
    <w:rsid w:val="00526A4D"/>
    <w:rsid w:val="00526D15"/>
    <w:rsid w:val="005301F8"/>
    <w:rsid w:val="0053092E"/>
    <w:rsid w:val="005312FC"/>
    <w:rsid w:val="00531A18"/>
    <w:rsid w:val="00531A5A"/>
    <w:rsid w:val="00531A73"/>
    <w:rsid w:val="00531ADA"/>
    <w:rsid w:val="00532D7F"/>
    <w:rsid w:val="005330B4"/>
    <w:rsid w:val="0053569E"/>
    <w:rsid w:val="005356D8"/>
    <w:rsid w:val="00535E69"/>
    <w:rsid w:val="0053603D"/>
    <w:rsid w:val="00536E49"/>
    <w:rsid w:val="0053742A"/>
    <w:rsid w:val="00537BEA"/>
    <w:rsid w:val="00537C85"/>
    <w:rsid w:val="005409F6"/>
    <w:rsid w:val="00541056"/>
    <w:rsid w:val="00541D29"/>
    <w:rsid w:val="00542D99"/>
    <w:rsid w:val="00543FB0"/>
    <w:rsid w:val="005440E8"/>
    <w:rsid w:val="0054478C"/>
    <w:rsid w:val="00544803"/>
    <w:rsid w:val="0054519D"/>
    <w:rsid w:val="00546153"/>
    <w:rsid w:val="005503F5"/>
    <w:rsid w:val="00550547"/>
    <w:rsid w:val="005507BC"/>
    <w:rsid w:val="00550F56"/>
    <w:rsid w:val="00553372"/>
    <w:rsid w:val="00553998"/>
    <w:rsid w:val="00553AD6"/>
    <w:rsid w:val="00553F5A"/>
    <w:rsid w:val="00554E97"/>
    <w:rsid w:val="005563EB"/>
    <w:rsid w:val="005574AF"/>
    <w:rsid w:val="005610E7"/>
    <w:rsid w:val="00561321"/>
    <w:rsid w:val="0056143B"/>
    <w:rsid w:val="00562B31"/>
    <w:rsid w:val="00562F17"/>
    <w:rsid w:val="0056319F"/>
    <w:rsid w:val="005636C6"/>
    <w:rsid w:val="00564E69"/>
    <w:rsid w:val="0056582C"/>
    <w:rsid w:val="00565C91"/>
    <w:rsid w:val="005678B9"/>
    <w:rsid w:val="00567F73"/>
    <w:rsid w:val="00570781"/>
    <w:rsid w:val="00570B0C"/>
    <w:rsid w:val="00570FA2"/>
    <w:rsid w:val="0057178F"/>
    <w:rsid w:val="00573D35"/>
    <w:rsid w:val="00574A57"/>
    <w:rsid w:val="00574C3B"/>
    <w:rsid w:val="00576E5D"/>
    <w:rsid w:val="005770E8"/>
    <w:rsid w:val="005773EA"/>
    <w:rsid w:val="00580614"/>
    <w:rsid w:val="00584098"/>
    <w:rsid w:val="00585578"/>
    <w:rsid w:val="00585ABA"/>
    <w:rsid w:val="005868DE"/>
    <w:rsid w:val="005877AC"/>
    <w:rsid w:val="00587DE6"/>
    <w:rsid w:val="0059003D"/>
    <w:rsid w:val="00590547"/>
    <w:rsid w:val="00590856"/>
    <w:rsid w:val="00590B60"/>
    <w:rsid w:val="00591369"/>
    <w:rsid w:val="005916ED"/>
    <w:rsid w:val="00591FC6"/>
    <w:rsid w:val="005949A0"/>
    <w:rsid w:val="00594AB3"/>
    <w:rsid w:val="00594C55"/>
    <w:rsid w:val="005966B7"/>
    <w:rsid w:val="00597BD3"/>
    <w:rsid w:val="00597FDA"/>
    <w:rsid w:val="005A0AB5"/>
    <w:rsid w:val="005A1578"/>
    <w:rsid w:val="005A1F24"/>
    <w:rsid w:val="005A6B86"/>
    <w:rsid w:val="005A711A"/>
    <w:rsid w:val="005A7361"/>
    <w:rsid w:val="005A765B"/>
    <w:rsid w:val="005A767C"/>
    <w:rsid w:val="005A7829"/>
    <w:rsid w:val="005A796B"/>
    <w:rsid w:val="005A7C81"/>
    <w:rsid w:val="005A7D3B"/>
    <w:rsid w:val="005B0088"/>
    <w:rsid w:val="005B027F"/>
    <w:rsid w:val="005B0BB3"/>
    <w:rsid w:val="005B151D"/>
    <w:rsid w:val="005B19DF"/>
    <w:rsid w:val="005B3A1A"/>
    <w:rsid w:val="005B4053"/>
    <w:rsid w:val="005B411D"/>
    <w:rsid w:val="005B4464"/>
    <w:rsid w:val="005B49F2"/>
    <w:rsid w:val="005B4E1B"/>
    <w:rsid w:val="005B4F8D"/>
    <w:rsid w:val="005B52C5"/>
    <w:rsid w:val="005B5E2A"/>
    <w:rsid w:val="005B66D9"/>
    <w:rsid w:val="005C008D"/>
    <w:rsid w:val="005C02A4"/>
    <w:rsid w:val="005C0E8C"/>
    <w:rsid w:val="005C20D2"/>
    <w:rsid w:val="005C2916"/>
    <w:rsid w:val="005C32FE"/>
    <w:rsid w:val="005C3F9B"/>
    <w:rsid w:val="005C503A"/>
    <w:rsid w:val="005C53AE"/>
    <w:rsid w:val="005D024A"/>
    <w:rsid w:val="005D1026"/>
    <w:rsid w:val="005D1DA1"/>
    <w:rsid w:val="005D3145"/>
    <w:rsid w:val="005D4600"/>
    <w:rsid w:val="005D4FD4"/>
    <w:rsid w:val="005D5D78"/>
    <w:rsid w:val="005D629B"/>
    <w:rsid w:val="005D69BE"/>
    <w:rsid w:val="005D6D64"/>
    <w:rsid w:val="005D760B"/>
    <w:rsid w:val="005E034E"/>
    <w:rsid w:val="005E13D9"/>
    <w:rsid w:val="005E1FCF"/>
    <w:rsid w:val="005E21BC"/>
    <w:rsid w:val="005E24D4"/>
    <w:rsid w:val="005E4877"/>
    <w:rsid w:val="005E4A20"/>
    <w:rsid w:val="005E5FF5"/>
    <w:rsid w:val="005E6241"/>
    <w:rsid w:val="005E6966"/>
    <w:rsid w:val="005E6A81"/>
    <w:rsid w:val="005E6AC7"/>
    <w:rsid w:val="005F0059"/>
    <w:rsid w:val="005F0A28"/>
    <w:rsid w:val="005F0A48"/>
    <w:rsid w:val="005F10CE"/>
    <w:rsid w:val="005F1525"/>
    <w:rsid w:val="005F1770"/>
    <w:rsid w:val="005F1A1D"/>
    <w:rsid w:val="005F2DC3"/>
    <w:rsid w:val="005F580B"/>
    <w:rsid w:val="005F6999"/>
    <w:rsid w:val="005F6CB7"/>
    <w:rsid w:val="005F7F09"/>
    <w:rsid w:val="00600200"/>
    <w:rsid w:val="006006D9"/>
    <w:rsid w:val="00601650"/>
    <w:rsid w:val="00603EDD"/>
    <w:rsid w:val="00604136"/>
    <w:rsid w:val="0060456B"/>
    <w:rsid w:val="00604EEF"/>
    <w:rsid w:val="006053CD"/>
    <w:rsid w:val="00605AFD"/>
    <w:rsid w:val="00605C12"/>
    <w:rsid w:val="00606D7C"/>
    <w:rsid w:val="00606F9B"/>
    <w:rsid w:val="00607605"/>
    <w:rsid w:val="00607B7F"/>
    <w:rsid w:val="00610B87"/>
    <w:rsid w:val="006123D4"/>
    <w:rsid w:val="0061263E"/>
    <w:rsid w:val="00612FAF"/>
    <w:rsid w:val="00613121"/>
    <w:rsid w:val="0061413C"/>
    <w:rsid w:val="0061445B"/>
    <w:rsid w:val="006153D8"/>
    <w:rsid w:val="00615CFA"/>
    <w:rsid w:val="00615E9C"/>
    <w:rsid w:val="00615EE8"/>
    <w:rsid w:val="006164A1"/>
    <w:rsid w:val="006179CA"/>
    <w:rsid w:val="00617CB6"/>
    <w:rsid w:val="00620DD0"/>
    <w:rsid w:val="0062140C"/>
    <w:rsid w:val="00622288"/>
    <w:rsid w:val="00622486"/>
    <w:rsid w:val="006225C7"/>
    <w:rsid w:val="006227AB"/>
    <w:rsid w:val="00622F22"/>
    <w:rsid w:val="00623BC6"/>
    <w:rsid w:val="00623C5B"/>
    <w:rsid w:val="0062457A"/>
    <w:rsid w:val="00624BC3"/>
    <w:rsid w:val="00624C4B"/>
    <w:rsid w:val="00625A55"/>
    <w:rsid w:val="0062640E"/>
    <w:rsid w:val="006270BC"/>
    <w:rsid w:val="00627C32"/>
    <w:rsid w:val="006308FC"/>
    <w:rsid w:val="00631934"/>
    <w:rsid w:val="00632BEE"/>
    <w:rsid w:val="006339EE"/>
    <w:rsid w:val="00635A60"/>
    <w:rsid w:val="00635E4F"/>
    <w:rsid w:val="00637BFF"/>
    <w:rsid w:val="00637F5C"/>
    <w:rsid w:val="006406A0"/>
    <w:rsid w:val="00642914"/>
    <w:rsid w:val="0064302F"/>
    <w:rsid w:val="006437ED"/>
    <w:rsid w:val="00643C29"/>
    <w:rsid w:val="006470B5"/>
    <w:rsid w:val="00650504"/>
    <w:rsid w:val="006509E0"/>
    <w:rsid w:val="00650C80"/>
    <w:rsid w:val="00651416"/>
    <w:rsid w:val="00652461"/>
    <w:rsid w:val="006525ED"/>
    <w:rsid w:val="00654654"/>
    <w:rsid w:val="00656403"/>
    <w:rsid w:val="00656BF9"/>
    <w:rsid w:val="00657DFE"/>
    <w:rsid w:val="006600AA"/>
    <w:rsid w:val="0066109C"/>
    <w:rsid w:val="006622FE"/>
    <w:rsid w:val="00664ADC"/>
    <w:rsid w:val="00666608"/>
    <w:rsid w:val="006675D0"/>
    <w:rsid w:val="0067027E"/>
    <w:rsid w:val="0067094E"/>
    <w:rsid w:val="00671752"/>
    <w:rsid w:val="00672292"/>
    <w:rsid w:val="00672A18"/>
    <w:rsid w:val="006732D8"/>
    <w:rsid w:val="00675A6B"/>
    <w:rsid w:val="0067622C"/>
    <w:rsid w:val="006769C1"/>
    <w:rsid w:val="00676E40"/>
    <w:rsid w:val="006811C5"/>
    <w:rsid w:val="00681D60"/>
    <w:rsid w:val="00681DB5"/>
    <w:rsid w:val="00681E79"/>
    <w:rsid w:val="0068276F"/>
    <w:rsid w:val="00682CBC"/>
    <w:rsid w:val="0068455B"/>
    <w:rsid w:val="00685CF7"/>
    <w:rsid w:val="00685EF4"/>
    <w:rsid w:val="00686165"/>
    <w:rsid w:val="00687063"/>
    <w:rsid w:val="006879AD"/>
    <w:rsid w:val="00691CB5"/>
    <w:rsid w:val="00691F6E"/>
    <w:rsid w:val="00691FD4"/>
    <w:rsid w:val="006923DF"/>
    <w:rsid w:val="00693221"/>
    <w:rsid w:val="006935D7"/>
    <w:rsid w:val="00694460"/>
    <w:rsid w:val="00694BCF"/>
    <w:rsid w:val="00695D0C"/>
    <w:rsid w:val="00696F15"/>
    <w:rsid w:val="00697D63"/>
    <w:rsid w:val="006A08B3"/>
    <w:rsid w:val="006A136B"/>
    <w:rsid w:val="006A1A96"/>
    <w:rsid w:val="006A1F17"/>
    <w:rsid w:val="006A2E64"/>
    <w:rsid w:val="006A37F5"/>
    <w:rsid w:val="006A4033"/>
    <w:rsid w:val="006A4B20"/>
    <w:rsid w:val="006A5C4E"/>
    <w:rsid w:val="006A5CF2"/>
    <w:rsid w:val="006A7ED6"/>
    <w:rsid w:val="006B13DF"/>
    <w:rsid w:val="006B1A52"/>
    <w:rsid w:val="006B1CA2"/>
    <w:rsid w:val="006B2A5B"/>
    <w:rsid w:val="006B3182"/>
    <w:rsid w:val="006B38FF"/>
    <w:rsid w:val="006B3E1F"/>
    <w:rsid w:val="006B3E85"/>
    <w:rsid w:val="006B4370"/>
    <w:rsid w:val="006B5AD0"/>
    <w:rsid w:val="006B6655"/>
    <w:rsid w:val="006B705F"/>
    <w:rsid w:val="006C04A8"/>
    <w:rsid w:val="006C0570"/>
    <w:rsid w:val="006C1892"/>
    <w:rsid w:val="006C2283"/>
    <w:rsid w:val="006C266F"/>
    <w:rsid w:val="006C4933"/>
    <w:rsid w:val="006C4F7A"/>
    <w:rsid w:val="006C56D6"/>
    <w:rsid w:val="006C58E6"/>
    <w:rsid w:val="006C5B73"/>
    <w:rsid w:val="006C645D"/>
    <w:rsid w:val="006C68F6"/>
    <w:rsid w:val="006C6FEC"/>
    <w:rsid w:val="006D04C8"/>
    <w:rsid w:val="006D0E59"/>
    <w:rsid w:val="006D2086"/>
    <w:rsid w:val="006D23D2"/>
    <w:rsid w:val="006D3D03"/>
    <w:rsid w:val="006D4A6F"/>
    <w:rsid w:val="006D5F1A"/>
    <w:rsid w:val="006E0D83"/>
    <w:rsid w:val="006E12E0"/>
    <w:rsid w:val="006E15C3"/>
    <w:rsid w:val="006E269B"/>
    <w:rsid w:val="006E28C2"/>
    <w:rsid w:val="006E2937"/>
    <w:rsid w:val="006E2D2A"/>
    <w:rsid w:val="006E3CC3"/>
    <w:rsid w:val="006E4337"/>
    <w:rsid w:val="006E4670"/>
    <w:rsid w:val="006E4BD7"/>
    <w:rsid w:val="006E4DDC"/>
    <w:rsid w:val="006E5080"/>
    <w:rsid w:val="006E67D3"/>
    <w:rsid w:val="006E7BC9"/>
    <w:rsid w:val="006F142C"/>
    <w:rsid w:val="006F1466"/>
    <w:rsid w:val="006F168C"/>
    <w:rsid w:val="006F1E8E"/>
    <w:rsid w:val="006F1FED"/>
    <w:rsid w:val="006F27E6"/>
    <w:rsid w:val="006F2E0F"/>
    <w:rsid w:val="006F300A"/>
    <w:rsid w:val="006F370B"/>
    <w:rsid w:val="006F48A1"/>
    <w:rsid w:val="006F4FE3"/>
    <w:rsid w:val="006F5D9B"/>
    <w:rsid w:val="006F7675"/>
    <w:rsid w:val="006F7D65"/>
    <w:rsid w:val="00700C27"/>
    <w:rsid w:val="00701459"/>
    <w:rsid w:val="007028B5"/>
    <w:rsid w:val="007029CB"/>
    <w:rsid w:val="00702DB8"/>
    <w:rsid w:val="007048CF"/>
    <w:rsid w:val="0070538A"/>
    <w:rsid w:val="0070667A"/>
    <w:rsid w:val="00706E8E"/>
    <w:rsid w:val="007076F3"/>
    <w:rsid w:val="00707CB1"/>
    <w:rsid w:val="0071035E"/>
    <w:rsid w:val="007154D5"/>
    <w:rsid w:val="00716524"/>
    <w:rsid w:val="00717E8E"/>
    <w:rsid w:val="00720153"/>
    <w:rsid w:val="00722872"/>
    <w:rsid w:val="00722B53"/>
    <w:rsid w:val="0072344A"/>
    <w:rsid w:val="007248B8"/>
    <w:rsid w:val="007255DA"/>
    <w:rsid w:val="00727362"/>
    <w:rsid w:val="00727375"/>
    <w:rsid w:val="00727936"/>
    <w:rsid w:val="007308B3"/>
    <w:rsid w:val="00730B80"/>
    <w:rsid w:val="00731BE8"/>
    <w:rsid w:val="0073373D"/>
    <w:rsid w:val="0073515B"/>
    <w:rsid w:val="0073552A"/>
    <w:rsid w:val="00736940"/>
    <w:rsid w:val="007400F0"/>
    <w:rsid w:val="0074086B"/>
    <w:rsid w:val="00741110"/>
    <w:rsid w:val="0074179A"/>
    <w:rsid w:val="00741E6E"/>
    <w:rsid w:val="00741FAB"/>
    <w:rsid w:val="00742191"/>
    <w:rsid w:val="00742266"/>
    <w:rsid w:val="00743CFF"/>
    <w:rsid w:val="00743DB1"/>
    <w:rsid w:val="00743EAD"/>
    <w:rsid w:val="00744137"/>
    <w:rsid w:val="007443B0"/>
    <w:rsid w:val="00745A32"/>
    <w:rsid w:val="0075033A"/>
    <w:rsid w:val="007509DD"/>
    <w:rsid w:val="007511ED"/>
    <w:rsid w:val="0075187A"/>
    <w:rsid w:val="00751E43"/>
    <w:rsid w:val="007523AE"/>
    <w:rsid w:val="0075318D"/>
    <w:rsid w:val="00753644"/>
    <w:rsid w:val="00756834"/>
    <w:rsid w:val="00756D9A"/>
    <w:rsid w:val="00760425"/>
    <w:rsid w:val="0076053C"/>
    <w:rsid w:val="007605F4"/>
    <w:rsid w:val="0076095C"/>
    <w:rsid w:val="00760B2C"/>
    <w:rsid w:val="0076196A"/>
    <w:rsid w:val="00763474"/>
    <w:rsid w:val="00763512"/>
    <w:rsid w:val="00764190"/>
    <w:rsid w:val="007651D9"/>
    <w:rsid w:val="00765FDF"/>
    <w:rsid w:val="007661DB"/>
    <w:rsid w:val="00766888"/>
    <w:rsid w:val="00766EE1"/>
    <w:rsid w:val="00767879"/>
    <w:rsid w:val="007723FE"/>
    <w:rsid w:val="00772572"/>
    <w:rsid w:val="0077273B"/>
    <w:rsid w:val="007731BB"/>
    <w:rsid w:val="007747A5"/>
    <w:rsid w:val="00774C35"/>
    <w:rsid w:val="0077626A"/>
    <w:rsid w:val="00776E72"/>
    <w:rsid w:val="00777222"/>
    <w:rsid w:val="00777F6F"/>
    <w:rsid w:val="007807F5"/>
    <w:rsid w:val="00780DCC"/>
    <w:rsid w:val="0078116B"/>
    <w:rsid w:val="00782951"/>
    <w:rsid w:val="00782BC9"/>
    <w:rsid w:val="00783181"/>
    <w:rsid w:val="0078369A"/>
    <w:rsid w:val="0078398D"/>
    <w:rsid w:val="00783D52"/>
    <w:rsid w:val="00784B5B"/>
    <w:rsid w:val="00784C0A"/>
    <w:rsid w:val="00785018"/>
    <w:rsid w:val="00785FC3"/>
    <w:rsid w:val="00786D1F"/>
    <w:rsid w:val="0078733F"/>
    <w:rsid w:val="00791D58"/>
    <w:rsid w:val="007928CF"/>
    <w:rsid w:val="007936A4"/>
    <w:rsid w:val="00794B40"/>
    <w:rsid w:val="00795496"/>
    <w:rsid w:val="007962F3"/>
    <w:rsid w:val="00796D88"/>
    <w:rsid w:val="00796EB1"/>
    <w:rsid w:val="00796FC8"/>
    <w:rsid w:val="0079716C"/>
    <w:rsid w:val="007972B5"/>
    <w:rsid w:val="00797455"/>
    <w:rsid w:val="007A0467"/>
    <w:rsid w:val="007A076F"/>
    <w:rsid w:val="007A1079"/>
    <w:rsid w:val="007A1ED0"/>
    <w:rsid w:val="007A2031"/>
    <w:rsid w:val="007A2153"/>
    <w:rsid w:val="007A3AE4"/>
    <w:rsid w:val="007A515A"/>
    <w:rsid w:val="007A5D60"/>
    <w:rsid w:val="007A5DAA"/>
    <w:rsid w:val="007A71FF"/>
    <w:rsid w:val="007A744F"/>
    <w:rsid w:val="007B07ED"/>
    <w:rsid w:val="007B0DF6"/>
    <w:rsid w:val="007B104C"/>
    <w:rsid w:val="007B21F3"/>
    <w:rsid w:val="007B2677"/>
    <w:rsid w:val="007B2EDB"/>
    <w:rsid w:val="007B359B"/>
    <w:rsid w:val="007B401C"/>
    <w:rsid w:val="007B440D"/>
    <w:rsid w:val="007B4502"/>
    <w:rsid w:val="007B54DC"/>
    <w:rsid w:val="007B5EF0"/>
    <w:rsid w:val="007B743B"/>
    <w:rsid w:val="007B76AB"/>
    <w:rsid w:val="007C00DC"/>
    <w:rsid w:val="007C05DA"/>
    <w:rsid w:val="007C0F84"/>
    <w:rsid w:val="007C18E1"/>
    <w:rsid w:val="007C203F"/>
    <w:rsid w:val="007C209B"/>
    <w:rsid w:val="007C26A5"/>
    <w:rsid w:val="007C3434"/>
    <w:rsid w:val="007C4760"/>
    <w:rsid w:val="007C49C1"/>
    <w:rsid w:val="007C4AAD"/>
    <w:rsid w:val="007C4C70"/>
    <w:rsid w:val="007C4E53"/>
    <w:rsid w:val="007C596F"/>
    <w:rsid w:val="007C5D8B"/>
    <w:rsid w:val="007C7452"/>
    <w:rsid w:val="007D0893"/>
    <w:rsid w:val="007D13C7"/>
    <w:rsid w:val="007D174E"/>
    <w:rsid w:val="007D2A16"/>
    <w:rsid w:val="007D2AA9"/>
    <w:rsid w:val="007D3E0D"/>
    <w:rsid w:val="007D592B"/>
    <w:rsid w:val="007D5AA6"/>
    <w:rsid w:val="007D603E"/>
    <w:rsid w:val="007D7A91"/>
    <w:rsid w:val="007E070E"/>
    <w:rsid w:val="007E20B6"/>
    <w:rsid w:val="007E21B9"/>
    <w:rsid w:val="007E45D7"/>
    <w:rsid w:val="007E4C85"/>
    <w:rsid w:val="007E5210"/>
    <w:rsid w:val="007E5255"/>
    <w:rsid w:val="007E6456"/>
    <w:rsid w:val="007E6A5D"/>
    <w:rsid w:val="007E70C6"/>
    <w:rsid w:val="007F1B17"/>
    <w:rsid w:val="007F1DA0"/>
    <w:rsid w:val="007F1E00"/>
    <w:rsid w:val="007F46E1"/>
    <w:rsid w:val="007F49D5"/>
    <w:rsid w:val="007F4EA8"/>
    <w:rsid w:val="007F609D"/>
    <w:rsid w:val="007F69D0"/>
    <w:rsid w:val="007F6C29"/>
    <w:rsid w:val="007F6CA1"/>
    <w:rsid w:val="007F7113"/>
    <w:rsid w:val="007F72EA"/>
    <w:rsid w:val="00800616"/>
    <w:rsid w:val="00801926"/>
    <w:rsid w:val="0080218F"/>
    <w:rsid w:val="008025F5"/>
    <w:rsid w:val="00802D39"/>
    <w:rsid w:val="008041E5"/>
    <w:rsid w:val="008044C9"/>
    <w:rsid w:val="00804D14"/>
    <w:rsid w:val="00805DEC"/>
    <w:rsid w:val="00805F6B"/>
    <w:rsid w:val="0080734C"/>
    <w:rsid w:val="00807C98"/>
    <w:rsid w:val="00807E2E"/>
    <w:rsid w:val="00807F24"/>
    <w:rsid w:val="008111F5"/>
    <w:rsid w:val="008116CB"/>
    <w:rsid w:val="00811943"/>
    <w:rsid w:val="00813891"/>
    <w:rsid w:val="008139E7"/>
    <w:rsid w:val="008152DD"/>
    <w:rsid w:val="00817CCE"/>
    <w:rsid w:val="00820AA9"/>
    <w:rsid w:val="008227DC"/>
    <w:rsid w:val="008229E4"/>
    <w:rsid w:val="00822C6A"/>
    <w:rsid w:val="0082329C"/>
    <w:rsid w:val="00823463"/>
    <w:rsid w:val="00824439"/>
    <w:rsid w:val="008245FC"/>
    <w:rsid w:val="00824FB4"/>
    <w:rsid w:val="00825539"/>
    <w:rsid w:val="00825625"/>
    <w:rsid w:val="008259EA"/>
    <w:rsid w:val="00825A34"/>
    <w:rsid w:val="00825C76"/>
    <w:rsid w:val="0083065B"/>
    <w:rsid w:val="00830C89"/>
    <w:rsid w:val="008311B8"/>
    <w:rsid w:val="008336C6"/>
    <w:rsid w:val="008339FC"/>
    <w:rsid w:val="00833EFE"/>
    <w:rsid w:val="00834243"/>
    <w:rsid w:val="008355DA"/>
    <w:rsid w:val="0083719E"/>
    <w:rsid w:val="00837CC0"/>
    <w:rsid w:val="00837F36"/>
    <w:rsid w:val="00840BB7"/>
    <w:rsid w:val="008416CD"/>
    <w:rsid w:val="00841F13"/>
    <w:rsid w:val="00843C49"/>
    <w:rsid w:val="0084449B"/>
    <w:rsid w:val="00844904"/>
    <w:rsid w:val="00844F83"/>
    <w:rsid w:val="0084505B"/>
    <w:rsid w:val="00847155"/>
    <w:rsid w:val="0084730E"/>
    <w:rsid w:val="008502BC"/>
    <w:rsid w:val="008517A2"/>
    <w:rsid w:val="00851CAC"/>
    <w:rsid w:val="008525A1"/>
    <w:rsid w:val="00853480"/>
    <w:rsid w:val="008534D1"/>
    <w:rsid w:val="00853945"/>
    <w:rsid w:val="00853AA7"/>
    <w:rsid w:val="008540D1"/>
    <w:rsid w:val="008540D5"/>
    <w:rsid w:val="0085492C"/>
    <w:rsid w:val="00854C6B"/>
    <w:rsid w:val="008550CD"/>
    <w:rsid w:val="0085600F"/>
    <w:rsid w:val="00856EB0"/>
    <w:rsid w:val="008572B2"/>
    <w:rsid w:val="008576B1"/>
    <w:rsid w:val="00857969"/>
    <w:rsid w:val="00861A14"/>
    <w:rsid w:val="0086225D"/>
    <w:rsid w:val="00863A5D"/>
    <w:rsid w:val="00864394"/>
    <w:rsid w:val="0086455B"/>
    <w:rsid w:val="008651BF"/>
    <w:rsid w:val="0086562F"/>
    <w:rsid w:val="0086598A"/>
    <w:rsid w:val="00865ACD"/>
    <w:rsid w:val="00865E30"/>
    <w:rsid w:val="00866611"/>
    <w:rsid w:val="008668AC"/>
    <w:rsid w:val="00866B2E"/>
    <w:rsid w:val="00866BCC"/>
    <w:rsid w:val="008675AC"/>
    <w:rsid w:val="008676E2"/>
    <w:rsid w:val="0086786E"/>
    <w:rsid w:val="00867DA0"/>
    <w:rsid w:val="00871488"/>
    <w:rsid w:val="00872393"/>
    <w:rsid w:val="00872622"/>
    <w:rsid w:val="008729F0"/>
    <w:rsid w:val="0087363F"/>
    <w:rsid w:val="00874802"/>
    <w:rsid w:val="008758A0"/>
    <w:rsid w:val="00875F1E"/>
    <w:rsid w:val="00877261"/>
    <w:rsid w:val="008779E4"/>
    <w:rsid w:val="0088097A"/>
    <w:rsid w:val="00880D0D"/>
    <w:rsid w:val="00880F57"/>
    <w:rsid w:val="00880FEC"/>
    <w:rsid w:val="008819C1"/>
    <w:rsid w:val="00882CC4"/>
    <w:rsid w:val="008835E7"/>
    <w:rsid w:val="0088425B"/>
    <w:rsid w:val="008844AC"/>
    <w:rsid w:val="008850F4"/>
    <w:rsid w:val="00885308"/>
    <w:rsid w:val="008858EE"/>
    <w:rsid w:val="0088775F"/>
    <w:rsid w:val="00887AFF"/>
    <w:rsid w:val="008914DF"/>
    <w:rsid w:val="008927BC"/>
    <w:rsid w:val="008939B4"/>
    <w:rsid w:val="00894328"/>
    <w:rsid w:val="0089490C"/>
    <w:rsid w:val="008951F4"/>
    <w:rsid w:val="0089761D"/>
    <w:rsid w:val="008977CE"/>
    <w:rsid w:val="008A0AB8"/>
    <w:rsid w:val="008A31DC"/>
    <w:rsid w:val="008A370D"/>
    <w:rsid w:val="008A6372"/>
    <w:rsid w:val="008A7DE4"/>
    <w:rsid w:val="008B0B7D"/>
    <w:rsid w:val="008B1402"/>
    <w:rsid w:val="008B1D7C"/>
    <w:rsid w:val="008B2058"/>
    <w:rsid w:val="008B26AE"/>
    <w:rsid w:val="008B2F49"/>
    <w:rsid w:val="008B3082"/>
    <w:rsid w:val="008B3A2F"/>
    <w:rsid w:val="008B3A42"/>
    <w:rsid w:val="008B3AD1"/>
    <w:rsid w:val="008B3EC3"/>
    <w:rsid w:val="008B5185"/>
    <w:rsid w:val="008B6602"/>
    <w:rsid w:val="008B70AF"/>
    <w:rsid w:val="008B779D"/>
    <w:rsid w:val="008C0E6B"/>
    <w:rsid w:val="008C1125"/>
    <w:rsid w:val="008C1350"/>
    <w:rsid w:val="008C135C"/>
    <w:rsid w:val="008C1BD8"/>
    <w:rsid w:val="008C2AAB"/>
    <w:rsid w:val="008C2FC2"/>
    <w:rsid w:val="008C442A"/>
    <w:rsid w:val="008C50D7"/>
    <w:rsid w:val="008C5F5C"/>
    <w:rsid w:val="008C7307"/>
    <w:rsid w:val="008C7F71"/>
    <w:rsid w:val="008D0F60"/>
    <w:rsid w:val="008D0FB7"/>
    <w:rsid w:val="008D1926"/>
    <w:rsid w:val="008D2805"/>
    <w:rsid w:val="008D305A"/>
    <w:rsid w:val="008D339F"/>
    <w:rsid w:val="008D3E8C"/>
    <w:rsid w:val="008D646D"/>
    <w:rsid w:val="008D660F"/>
    <w:rsid w:val="008D7352"/>
    <w:rsid w:val="008E1440"/>
    <w:rsid w:val="008E270A"/>
    <w:rsid w:val="008E2A0E"/>
    <w:rsid w:val="008E3957"/>
    <w:rsid w:val="008E3EAE"/>
    <w:rsid w:val="008E4570"/>
    <w:rsid w:val="008E53E9"/>
    <w:rsid w:val="008E5BC3"/>
    <w:rsid w:val="008E603A"/>
    <w:rsid w:val="008E6292"/>
    <w:rsid w:val="008E6AFE"/>
    <w:rsid w:val="008E7D6B"/>
    <w:rsid w:val="008E7F07"/>
    <w:rsid w:val="008E7F58"/>
    <w:rsid w:val="008F0394"/>
    <w:rsid w:val="008F0EAB"/>
    <w:rsid w:val="008F23EB"/>
    <w:rsid w:val="008F2412"/>
    <w:rsid w:val="008F2532"/>
    <w:rsid w:val="008F2DA5"/>
    <w:rsid w:val="008F350D"/>
    <w:rsid w:val="008F3630"/>
    <w:rsid w:val="008F3B71"/>
    <w:rsid w:val="008F3D34"/>
    <w:rsid w:val="008F49C3"/>
    <w:rsid w:val="008F4BF7"/>
    <w:rsid w:val="008F4E8D"/>
    <w:rsid w:val="008F4F93"/>
    <w:rsid w:val="008F54EB"/>
    <w:rsid w:val="008F5B5D"/>
    <w:rsid w:val="008F5D37"/>
    <w:rsid w:val="009000B0"/>
    <w:rsid w:val="0090046E"/>
    <w:rsid w:val="0090100A"/>
    <w:rsid w:val="0090109B"/>
    <w:rsid w:val="0090256B"/>
    <w:rsid w:val="009028B8"/>
    <w:rsid w:val="0090393C"/>
    <w:rsid w:val="0090528A"/>
    <w:rsid w:val="009071F6"/>
    <w:rsid w:val="009074EC"/>
    <w:rsid w:val="00911453"/>
    <w:rsid w:val="00911B5B"/>
    <w:rsid w:val="009129EE"/>
    <w:rsid w:val="00912C85"/>
    <w:rsid w:val="00913484"/>
    <w:rsid w:val="009144DF"/>
    <w:rsid w:val="00914B64"/>
    <w:rsid w:val="0091549D"/>
    <w:rsid w:val="00915530"/>
    <w:rsid w:val="00917DA5"/>
    <w:rsid w:val="00917E28"/>
    <w:rsid w:val="00920C6C"/>
    <w:rsid w:val="0092284E"/>
    <w:rsid w:val="009247DF"/>
    <w:rsid w:val="00925AA5"/>
    <w:rsid w:val="00925F12"/>
    <w:rsid w:val="009262F7"/>
    <w:rsid w:val="00926B71"/>
    <w:rsid w:val="00926BB2"/>
    <w:rsid w:val="00926CD0"/>
    <w:rsid w:val="00927C0A"/>
    <w:rsid w:val="00930350"/>
    <w:rsid w:val="0093156B"/>
    <w:rsid w:val="009322AA"/>
    <w:rsid w:val="009323CB"/>
    <w:rsid w:val="00932DA3"/>
    <w:rsid w:val="0093335D"/>
    <w:rsid w:val="009336EE"/>
    <w:rsid w:val="009353D9"/>
    <w:rsid w:val="0093540D"/>
    <w:rsid w:val="00935588"/>
    <w:rsid w:val="00935D6D"/>
    <w:rsid w:val="00936511"/>
    <w:rsid w:val="009372CA"/>
    <w:rsid w:val="0094019D"/>
    <w:rsid w:val="009404F1"/>
    <w:rsid w:val="009420B6"/>
    <w:rsid w:val="009422AB"/>
    <w:rsid w:val="00942C11"/>
    <w:rsid w:val="0094351F"/>
    <w:rsid w:val="0094519A"/>
    <w:rsid w:val="00947E7F"/>
    <w:rsid w:val="009504CA"/>
    <w:rsid w:val="00951B3A"/>
    <w:rsid w:val="00953293"/>
    <w:rsid w:val="009543AC"/>
    <w:rsid w:val="0095470B"/>
    <w:rsid w:val="009547F8"/>
    <w:rsid w:val="009562D0"/>
    <w:rsid w:val="00956688"/>
    <w:rsid w:val="00960DED"/>
    <w:rsid w:val="0096116B"/>
    <w:rsid w:val="00961816"/>
    <w:rsid w:val="00961A52"/>
    <w:rsid w:val="00961E01"/>
    <w:rsid w:val="00964253"/>
    <w:rsid w:val="009646D0"/>
    <w:rsid w:val="00966223"/>
    <w:rsid w:val="00966970"/>
    <w:rsid w:val="00970EF1"/>
    <w:rsid w:val="009720A7"/>
    <w:rsid w:val="009729D4"/>
    <w:rsid w:val="00976C67"/>
    <w:rsid w:val="00976F5B"/>
    <w:rsid w:val="00977750"/>
    <w:rsid w:val="00980759"/>
    <w:rsid w:val="009817B0"/>
    <w:rsid w:val="00982122"/>
    <w:rsid w:val="009821CE"/>
    <w:rsid w:val="00983081"/>
    <w:rsid w:val="00983C99"/>
    <w:rsid w:val="00984444"/>
    <w:rsid w:val="00984A4B"/>
    <w:rsid w:val="00986018"/>
    <w:rsid w:val="00987AD8"/>
    <w:rsid w:val="00987C2B"/>
    <w:rsid w:val="00993B50"/>
    <w:rsid w:val="00994412"/>
    <w:rsid w:val="00994A84"/>
    <w:rsid w:val="00997E8A"/>
    <w:rsid w:val="00997F3B"/>
    <w:rsid w:val="009A0086"/>
    <w:rsid w:val="009A193B"/>
    <w:rsid w:val="009A1E43"/>
    <w:rsid w:val="009A277C"/>
    <w:rsid w:val="009A2983"/>
    <w:rsid w:val="009A3E5D"/>
    <w:rsid w:val="009A4799"/>
    <w:rsid w:val="009A4B4C"/>
    <w:rsid w:val="009A5342"/>
    <w:rsid w:val="009A5871"/>
    <w:rsid w:val="009A5CD3"/>
    <w:rsid w:val="009A658F"/>
    <w:rsid w:val="009A6AC6"/>
    <w:rsid w:val="009A6ED6"/>
    <w:rsid w:val="009A71DE"/>
    <w:rsid w:val="009A7DCF"/>
    <w:rsid w:val="009B0B05"/>
    <w:rsid w:val="009B1551"/>
    <w:rsid w:val="009B2B1E"/>
    <w:rsid w:val="009B3075"/>
    <w:rsid w:val="009B3082"/>
    <w:rsid w:val="009B36E2"/>
    <w:rsid w:val="009B3A2E"/>
    <w:rsid w:val="009B3F82"/>
    <w:rsid w:val="009B56E9"/>
    <w:rsid w:val="009B6CB3"/>
    <w:rsid w:val="009B7D61"/>
    <w:rsid w:val="009C07C0"/>
    <w:rsid w:val="009C3802"/>
    <w:rsid w:val="009C3CDC"/>
    <w:rsid w:val="009C3ED8"/>
    <w:rsid w:val="009C3F7F"/>
    <w:rsid w:val="009C453F"/>
    <w:rsid w:val="009C4773"/>
    <w:rsid w:val="009C5735"/>
    <w:rsid w:val="009C5FAF"/>
    <w:rsid w:val="009D00CE"/>
    <w:rsid w:val="009D2BFD"/>
    <w:rsid w:val="009D351C"/>
    <w:rsid w:val="009D3C9E"/>
    <w:rsid w:val="009D4269"/>
    <w:rsid w:val="009D4FD9"/>
    <w:rsid w:val="009D5287"/>
    <w:rsid w:val="009D5645"/>
    <w:rsid w:val="009D5C3A"/>
    <w:rsid w:val="009D7130"/>
    <w:rsid w:val="009D7271"/>
    <w:rsid w:val="009D7E35"/>
    <w:rsid w:val="009E006D"/>
    <w:rsid w:val="009E0495"/>
    <w:rsid w:val="009E171B"/>
    <w:rsid w:val="009E18C9"/>
    <w:rsid w:val="009E191E"/>
    <w:rsid w:val="009E252D"/>
    <w:rsid w:val="009E2738"/>
    <w:rsid w:val="009E428B"/>
    <w:rsid w:val="009E491C"/>
    <w:rsid w:val="009E4975"/>
    <w:rsid w:val="009E4D9D"/>
    <w:rsid w:val="009E4FC1"/>
    <w:rsid w:val="009E517D"/>
    <w:rsid w:val="009E5DC4"/>
    <w:rsid w:val="009E6AE8"/>
    <w:rsid w:val="009E70F1"/>
    <w:rsid w:val="009F0659"/>
    <w:rsid w:val="009F1F9D"/>
    <w:rsid w:val="009F2CD0"/>
    <w:rsid w:val="009F42EC"/>
    <w:rsid w:val="009F4659"/>
    <w:rsid w:val="009F6215"/>
    <w:rsid w:val="009F629A"/>
    <w:rsid w:val="009F64A5"/>
    <w:rsid w:val="009F6FA0"/>
    <w:rsid w:val="00A01568"/>
    <w:rsid w:val="00A015E8"/>
    <w:rsid w:val="00A02A48"/>
    <w:rsid w:val="00A02FAC"/>
    <w:rsid w:val="00A03093"/>
    <w:rsid w:val="00A03847"/>
    <w:rsid w:val="00A039BC"/>
    <w:rsid w:val="00A03B10"/>
    <w:rsid w:val="00A0426C"/>
    <w:rsid w:val="00A05145"/>
    <w:rsid w:val="00A05D1B"/>
    <w:rsid w:val="00A0722F"/>
    <w:rsid w:val="00A07D47"/>
    <w:rsid w:val="00A1029B"/>
    <w:rsid w:val="00A11BE4"/>
    <w:rsid w:val="00A12F62"/>
    <w:rsid w:val="00A1359D"/>
    <w:rsid w:val="00A136E4"/>
    <w:rsid w:val="00A1463D"/>
    <w:rsid w:val="00A14957"/>
    <w:rsid w:val="00A14FE9"/>
    <w:rsid w:val="00A16B64"/>
    <w:rsid w:val="00A16D6C"/>
    <w:rsid w:val="00A17479"/>
    <w:rsid w:val="00A17CA3"/>
    <w:rsid w:val="00A2114E"/>
    <w:rsid w:val="00A21816"/>
    <w:rsid w:val="00A26087"/>
    <w:rsid w:val="00A260FF"/>
    <w:rsid w:val="00A2694A"/>
    <w:rsid w:val="00A27E8F"/>
    <w:rsid w:val="00A300EC"/>
    <w:rsid w:val="00A30772"/>
    <w:rsid w:val="00A30AB6"/>
    <w:rsid w:val="00A30BE7"/>
    <w:rsid w:val="00A3389C"/>
    <w:rsid w:val="00A33B0D"/>
    <w:rsid w:val="00A33E85"/>
    <w:rsid w:val="00A33F14"/>
    <w:rsid w:val="00A34ADF"/>
    <w:rsid w:val="00A35308"/>
    <w:rsid w:val="00A36401"/>
    <w:rsid w:val="00A3749B"/>
    <w:rsid w:val="00A37D87"/>
    <w:rsid w:val="00A37D94"/>
    <w:rsid w:val="00A4000E"/>
    <w:rsid w:val="00A40F31"/>
    <w:rsid w:val="00A41250"/>
    <w:rsid w:val="00A4130F"/>
    <w:rsid w:val="00A41F5A"/>
    <w:rsid w:val="00A425F2"/>
    <w:rsid w:val="00A43DEE"/>
    <w:rsid w:val="00A458A5"/>
    <w:rsid w:val="00A45D2F"/>
    <w:rsid w:val="00A4719F"/>
    <w:rsid w:val="00A4773F"/>
    <w:rsid w:val="00A50D88"/>
    <w:rsid w:val="00A51162"/>
    <w:rsid w:val="00A5351E"/>
    <w:rsid w:val="00A54449"/>
    <w:rsid w:val="00A548E3"/>
    <w:rsid w:val="00A55F55"/>
    <w:rsid w:val="00A56923"/>
    <w:rsid w:val="00A57C7B"/>
    <w:rsid w:val="00A6005E"/>
    <w:rsid w:val="00A60B87"/>
    <w:rsid w:val="00A60DCF"/>
    <w:rsid w:val="00A619EE"/>
    <w:rsid w:val="00A62054"/>
    <w:rsid w:val="00A62E42"/>
    <w:rsid w:val="00A641F5"/>
    <w:rsid w:val="00A64A71"/>
    <w:rsid w:val="00A660EB"/>
    <w:rsid w:val="00A6669C"/>
    <w:rsid w:val="00A671EF"/>
    <w:rsid w:val="00A67DFD"/>
    <w:rsid w:val="00A704A2"/>
    <w:rsid w:val="00A7117B"/>
    <w:rsid w:val="00A71399"/>
    <w:rsid w:val="00A718BA"/>
    <w:rsid w:val="00A71FB3"/>
    <w:rsid w:val="00A72960"/>
    <w:rsid w:val="00A72D8F"/>
    <w:rsid w:val="00A7304D"/>
    <w:rsid w:val="00A7340E"/>
    <w:rsid w:val="00A736E9"/>
    <w:rsid w:val="00A73D9A"/>
    <w:rsid w:val="00A74691"/>
    <w:rsid w:val="00A74A38"/>
    <w:rsid w:val="00A7548E"/>
    <w:rsid w:val="00A75910"/>
    <w:rsid w:val="00A77F12"/>
    <w:rsid w:val="00A80437"/>
    <w:rsid w:val="00A80B02"/>
    <w:rsid w:val="00A80B87"/>
    <w:rsid w:val="00A80E04"/>
    <w:rsid w:val="00A81705"/>
    <w:rsid w:val="00A81EE0"/>
    <w:rsid w:val="00A81F05"/>
    <w:rsid w:val="00A8297C"/>
    <w:rsid w:val="00A82B94"/>
    <w:rsid w:val="00A83B70"/>
    <w:rsid w:val="00A84065"/>
    <w:rsid w:val="00A8481E"/>
    <w:rsid w:val="00A853CB"/>
    <w:rsid w:val="00A872A1"/>
    <w:rsid w:val="00A87503"/>
    <w:rsid w:val="00A9094B"/>
    <w:rsid w:val="00A93401"/>
    <w:rsid w:val="00A934D1"/>
    <w:rsid w:val="00A937D5"/>
    <w:rsid w:val="00A93D53"/>
    <w:rsid w:val="00A95AF4"/>
    <w:rsid w:val="00A96191"/>
    <w:rsid w:val="00AA02F9"/>
    <w:rsid w:val="00AA09D2"/>
    <w:rsid w:val="00AA1C3F"/>
    <w:rsid w:val="00AA1EC2"/>
    <w:rsid w:val="00AA2670"/>
    <w:rsid w:val="00AA4D08"/>
    <w:rsid w:val="00AA646D"/>
    <w:rsid w:val="00AA74D4"/>
    <w:rsid w:val="00AB1370"/>
    <w:rsid w:val="00AB2D2D"/>
    <w:rsid w:val="00AB2E94"/>
    <w:rsid w:val="00AB46D8"/>
    <w:rsid w:val="00AB509E"/>
    <w:rsid w:val="00AB575C"/>
    <w:rsid w:val="00AB7534"/>
    <w:rsid w:val="00AC1337"/>
    <w:rsid w:val="00AC16A8"/>
    <w:rsid w:val="00AC2434"/>
    <w:rsid w:val="00AC3196"/>
    <w:rsid w:val="00AC320B"/>
    <w:rsid w:val="00AC34FD"/>
    <w:rsid w:val="00AC5982"/>
    <w:rsid w:val="00AC6207"/>
    <w:rsid w:val="00AC6B78"/>
    <w:rsid w:val="00AC6F0C"/>
    <w:rsid w:val="00AC75ED"/>
    <w:rsid w:val="00AC7BCC"/>
    <w:rsid w:val="00AD0BE8"/>
    <w:rsid w:val="00AD236D"/>
    <w:rsid w:val="00AD4DD8"/>
    <w:rsid w:val="00AD65EA"/>
    <w:rsid w:val="00AD7559"/>
    <w:rsid w:val="00AE116C"/>
    <w:rsid w:val="00AE21AA"/>
    <w:rsid w:val="00AE2F90"/>
    <w:rsid w:val="00AE45F2"/>
    <w:rsid w:val="00AE53F9"/>
    <w:rsid w:val="00AF2F5C"/>
    <w:rsid w:val="00AF314B"/>
    <w:rsid w:val="00AF3C27"/>
    <w:rsid w:val="00AF7458"/>
    <w:rsid w:val="00AF78C0"/>
    <w:rsid w:val="00AF79B2"/>
    <w:rsid w:val="00AF7DD1"/>
    <w:rsid w:val="00B01B46"/>
    <w:rsid w:val="00B01D66"/>
    <w:rsid w:val="00B02B00"/>
    <w:rsid w:val="00B03DD6"/>
    <w:rsid w:val="00B04C3C"/>
    <w:rsid w:val="00B053E7"/>
    <w:rsid w:val="00B05A30"/>
    <w:rsid w:val="00B05F80"/>
    <w:rsid w:val="00B06052"/>
    <w:rsid w:val="00B06511"/>
    <w:rsid w:val="00B06B20"/>
    <w:rsid w:val="00B06C3F"/>
    <w:rsid w:val="00B10A72"/>
    <w:rsid w:val="00B1162F"/>
    <w:rsid w:val="00B11850"/>
    <w:rsid w:val="00B11E6D"/>
    <w:rsid w:val="00B1352E"/>
    <w:rsid w:val="00B1412B"/>
    <w:rsid w:val="00B14790"/>
    <w:rsid w:val="00B1693C"/>
    <w:rsid w:val="00B16A8F"/>
    <w:rsid w:val="00B17232"/>
    <w:rsid w:val="00B1799D"/>
    <w:rsid w:val="00B17B80"/>
    <w:rsid w:val="00B20F88"/>
    <w:rsid w:val="00B2134D"/>
    <w:rsid w:val="00B22C79"/>
    <w:rsid w:val="00B251B9"/>
    <w:rsid w:val="00B25AFB"/>
    <w:rsid w:val="00B26631"/>
    <w:rsid w:val="00B26B33"/>
    <w:rsid w:val="00B2771F"/>
    <w:rsid w:val="00B3041B"/>
    <w:rsid w:val="00B30DB5"/>
    <w:rsid w:val="00B3140E"/>
    <w:rsid w:val="00B31C04"/>
    <w:rsid w:val="00B32BA6"/>
    <w:rsid w:val="00B33FC8"/>
    <w:rsid w:val="00B34243"/>
    <w:rsid w:val="00B34530"/>
    <w:rsid w:val="00B34556"/>
    <w:rsid w:val="00B3471E"/>
    <w:rsid w:val="00B3544B"/>
    <w:rsid w:val="00B3583B"/>
    <w:rsid w:val="00B366AF"/>
    <w:rsid w:val="00B369E7"/>
    <w:rsid w:val="00B37A8F"/>
    <w:rsid w:val="00B37EFE"/>
    <w:rsid w:val="00B40540"/>
    <w:rsid w:val="00B4055C"/>
    <w:rsid w:val="00B40BEC"/>
    <w:rsid w:val="00B429A4"/>
    <w:rsid w:val="00B43C6F"/>
    <w:rsid w:val="00B45990"/>
    <w:rsid w:val="00B45DC8"/>
    <w:rsid w:val="00B464F8"/>
    <w:rsid w:val="00B46849"/>
    <w:rsid w:val="00B46B1B"/>
    <w:rsid w:val="00B46D8D"/>
    <w:rsid w:val="00B47135"/>
    <w:rsid w:val="00B519E8"/>
    <w:rsid w:val="00B53241"/>
    <w:rsid w:val="00B549C8"/>
    <w:rsid w:val="00B54EBC"/>
    <w:rsid w:val="00B561E3"/>
    <w:rsid w:val="00B601B7"/>
    <w:rsid w:val="00B60EDF"/>
    <w:rsid w:val="00B62697"/>
    <w:rsid w:val="00B62981"/>
    <w:rsid w:val="00B62BF2"/>
    <w:rsid w:val="00B65347"/>
    <w:rsid w:val="00B65DE1"/>
    <w:rsid w:val="00B66F99"/>
    <w:rsid w:val="00B70B66"/>
    <w:rsid w:val="00B70CF5"/>
    <w:rsid w:val="00B71FDD"/>
    <w:rsid w:val="00B72235"/>
    <w:rsid w:val="00B72A78"/>
    <w:rsid w:val="00B741FC"/>
    <w:rsid w:val="00B74202"/>
    <w:rsid w:val="00B7431F"/>
    <w:rsid w:val="00B76165"/>
    <w:rsid w:val="00B761D3"/>
    <w:rsid w:val="00B768D9"/>
    <w:rsid w:val="00B76AA9"/>
    <w:rsid w:val="00B77CFB"/>
    <w:rsid w:val="00B808B8"/>
    <w:rsid w:val="00B8125B"/>
    <w:rsid w:val="00B81AD4"/>
    <w:rsid w:val="00B821B0"/>
    <w:rsid w:val="00B824C1"/>
    <w:rsid w:val="00B82586"/>
    <w:rsid w:val="00B8467F"/>
    <w:rsid w:val="00B84C21"/>
    <w:rsid w:val="00B8514F"/>
    <w:rsid w:val="00B85576"/>
    <w:rsid w:val="00B856B0"/>
    <w:rsid w:val="00B8571B"/>
    <w:rsid w:val="00B85A91"/>
    <w:rsid w:val="00B86828"/>
    <w:rsid w:val="00B86F02"/>
    <w:rsid w:val="00B86FA8"/>
    <w:rsid w:val="00B8709B"/>
    <w:rsid w:val="00B87473"/>
    <w:rsid w:val="00B87927"/>
    <w:rsid w:val="00B923CC"/>
    <w:rsid w:val="00B923E7"/>
    <w:rsid w:val="00B92975"/>
    <w:rsid w:val="00B93311"/>
    <w:rsid w:val="00B93D75"/>
    <w:rsid w:val="00B9451A"/>
    <w:rsid w:val="00B94934"/>
    <w:rsid w:val="00B95A4B"/>
    <w:rsid w:val="00B966B3"/>
    <w:rsid w:val="00B96C76"/>
    <w:rsid w:val="00B97A7B"/>
    <w:rsid w:val="00B97F45"/>
    <w:rsid w:val="00BA00B2"/>
    <w:rsid w:val="00BA0B1C"/>
    <w:rsid w:val="00BA1011"/>
    <w:rsid w:val="00BA102C"/>
    <w:rsid w:val="00BA11EA"/>
    <w:rsid w:val="00BA14BB"/>
    <w:rsid w:val="00BA2108"/>
    <w:rsid w:val="00BA26B4"/>
    <w:rsid w:val="00BA414D"/>
    <w:rsid w:val="00BA4408"/>
    <w:rsid w:val="00BA447A"/>
    <w:rsid w:val="00BA452D"/>
    <w:rsid w:val="00BA461F"/>
    <w:rsid w:val="00BA466C"/>
    <w:rsid w:val="00BA7830"/>
    <w:rsid w:val="00BA7CC6"/>
    <w:rsid w:val="00BB0C8E"/>
    <w:rsid w:val="00BB1D94"/>
    <w:rsid w:val="00BB1F49"/>
    <w:rsid w:val="00BB2B6C"/>
    <w:rsid w:val="00BB2E4E"/>
    <w:rsid w:val="00BB2E59"/>
    <w:rsid w:val="00BB461D"/>
    <w:rsid w:val="00BB5421"/>
    <w:rsid w:val="00BB647C"/>
    <w:rsid w:val="00BB672F"/>
    <w:rsid w:val="00BB764C"/>
    <w:rsid w:val="00BB7B09"/>
    <w:rsid w:val="00BC058F"/>
    <w:rsid w:val="00BC1138"/>
    <w:rsid w:val="00BC226A"/>
    <w:rsid w:val="00BC2886"/>
    <w:rsid w:val="00BC2D55"/>
    <w:rsid w:val="00BC4BF0"/>
    <w:rsid w:val="00BC4C27"/>
    <w:rsid w:val="00BC4EFB"/>
    <w:rsid w:val="00BC5195"/>
    <w:rsid w:val="00BC588E"/>
    <w:rsid w:val="00BC6CE8"/>
    <w:rsid w:val="00BC765F"/>
    <w:rsid w:val="00BC7FEF"/>
    <w:rsid w:val="00BD01CD"/>
    <w:rsid w:val="00BD19F8"/>
    <w:rsid w:val="00BD26AA"/>
    <w:rsid w:val="00BD2992"/>
    <w:rsid w:val="00BD29FC"/>
    <w:rsid w:val="00BD4198"/>
    <w:rsid w:val="00BD454F"/>
    <w:rsid w:val="00BD4D95"/>
    <w:rsid w:val="00BD4FB8"/>
    <w:rsid w:val="00BD5B87"/>
    <w:rsid w:val="00BD5C55"/>
    <w:rsid w:val="00BD5F4E"/>
    <w:rsid w:val="00BD6252"/>
    <w:rsid w:val="00BD785D"/>
    <w:rsid w:val="00BE02B1"/>
    <w:rsid w:val="00BE0388"/>
    <w:rsid w:val="00BE123D"/>
    <w:rsid w:val="00BE133B"/>
    <w:rsid w:val="00BE28EC"/>
    <w:rsid w:val="00BE41FE"/>
    <w:rsid w:val="00BE49AC"/>
    <w:rsid w:val="00BF1080"/>
    <w:rsid w:val="00BF17E0"/>
    <w:rsid w:val="00BF23D8"/>
    <w:rsid w:val="00BF2C32"/>
    <w:rsid w:val="00BF3418"/>
    <w:rsid w:val="00BF4C04"/>
    <w:rsid w:val="00BF4C75"/>
    <w:rsid w:val="00BF63A3"/>
    <w:rsid w:val="00BF6AA0"/>
    <w:rsid w:val="00BF7702"/>
    <w:rsid w:val="00BF7AE3"/>
    <w:rsid w:val="00C0032A"/>
    <w:rsid w:val="00C00340"/>
    <w:rsid w:val="00C011E2"/>
    <w:rsid w:val="00C01922"/>
    <w:rsid w:val="00C01DCC"/>
    <w:rsid w:val="00C026A8"/>
    <w:rsid w:val="00C0487B"/>
    <w:rsid w:val="00C078A7"/>
    <w:rsid w:val="00C078B4"/>
    <w:rsid w:val="00C1001B"/>
    <w:rsid w:val="00C10689"/>
    <w:rsid w:val="00C1076E"/>
    <w:rsid w:val="00C126E5"/>
    <w:rsid w:val="00C14820"/>
    <w:rsid w:val="00C1620F"/>
    <w:rsid w:val="00C16CB3"/>
    <w:rsid w:val="00C17109"/>
    <w:rsid w:val="00C20008"/>
    <w:rsid w:val="00C20264"/>
    <w:rsid w:val="00C202B3"/>
    <w:rsid w:val="00C20954"/>
    <w:rsid w:val="00C2131D"/>
    <w:rsid w:val="00C21DFF"/>
    <w:rsid w:val="00C21EE0"/>
    <w:rsid w:val="00C222A9"/>
    <w:rsid w:val="00C22565"/>
    <w:rsid w:val="00C22E1B"/>
    <w:rsid w:val="00C23B67"/>
    <w:rsid w:val="00C23D80"/>
    <w:rsid w:val="00C2479E"/>
    <w:rsid w:val="00C24A81"/>
    <w:rsid w:val="00C25628"/>
    <w:rsid w:val="00C27954"/>
    <w:rsid w:val="00C30297"/>
    <w:rsid w:val="00C306D9"/>
    <w:rsid w:val="00C31B8C"/>
    <w:rsid w:val="00C31BFF"/>
    <w:rsid w:val="00C350A0"/>
    <w:rsid w:val="00C35396"/>
    <w:rsid w:val="00C3561F"/>
    <w:rsid w:val="00C36E1A"/>
    <w:rsid w:val="00C40528"/>
    <w:rsid w:val="00C411E3"/>
    <w:rsid w:val="00C42217"/>
    <w:rsid w:val="00C43250"/>
    <w:rsid w:val="00C44B06"/>
    <w:rsid w:val="00C45A25"/>
    <w:rsid w:val="00C45D08"/>
    <w:rsid w:val="00C50D41"/>
    <w:rsid w:val="00C516D7"/>
    <w:rsid w:val="00C51EB6"/>
    <w:rsid w:val="00C52072"/>
    <w:rsid w:val="00C52B75"/>
    <w:rsid w:val="00C53069"/>
    <w:rsid w:val="00C55292"/>
    <w:rsid w:val="00C56AD8"/>
    <w:rsid w:val="00C570AB"/>
    <w:rsid w:val="00C5728D"/>
    <w:rsid w:val="00C576CC"/>
    <w:rsid w:val="00C577EC"/>
    <w:rsid w:val="00C60CFA"/>
    <w:rsid w:val="00C616DE"/>
    <w:rsid w:val="00C61A94"/>
    <w:rsid w:val="00C62105"/>
    <w:rsid w:val="00C625C7"/>
    <w:rsid w:val="00C64251"/>
    <w:rsid w:val="00C64871"/>
    <w:rsid w:val="00C6496D"/>
    <w:rsid w:val="00C65ACE"/>
    <w:rsid w:val="00C65D5D"/>
    <w:rsid w:val="00C67078"/>
    <w:rsid w:val="00C670FC"/>
    <w:rsid w:val="00C67415"/>
    <w:rsid w:val="00C67D55"/>
    <w:rsid w:val="00C706A7"/>
    <w:rsid w:val="00C70DAF"/>
    <w:rsid w:val="00C72318"/>
    <w:rsid w:val="00C724E6"/>
    <w:rsid w:val="00C72B30"/>
    <w:rsid w:val="00C72FA5"/>
    <w:rsid w:val="00C7373C"/>
    <w:rsid w:val="00C747A5"/>
    <w:rsid w:val="00C75180"/>
    <w:rsid w:val="00C77BF7"/>
    <w:rsid w:val="00C80414"/>
    <w:rsid w:val="00C80D86"/>
    <w:rsid w:val="00C821DC"/>
    <w:rsid w:val="00C82218"/>
    <w:rsid w:val="00C823BD"/>
    <w:rsid w:val="00C82E96"/>
    <w:rsid w:val="00C8333A"/>
    <w:rsid w:val="00C838B0"/>
    <w:rsid w:val="00C84032"/>
    <w:rsid w:val="00C8424D"/>
    <w:rsid w:val="00C852EB"/>
    <w:rsid w:val="00C85314"/>
    <w:rsid w:val="00C8539B"/>
    <w:rsid w:val="00C856C6"/>
    <w:rsid w:val="00C86206"/>
    <w:rsid w:val="00C86E09"/>
    <w:rsid w:val="00C9043E"/>
    <w:rsid w:val="00C9073F"/>
    <w:rsid w:val="00C90AFC"/>
    <w:rsid w:val="00C90B4F"/>
    <w:rsid w:val="00C9144F"/>
    <w:rsid w:val="00C918FD"/>
    <w:rsid w:val="00C9381B"/>
    <w:rsid w:val="00C9464C"/>
    <w:rsid w:val="00C94737"/>
    <w:rsid w:val="00C94970"/>
    <w:rsid w:val="00C95029"/>
    <w:rsid w:val="00C95122"/>
    <w:rsid w:val="00C955E6"/>
    <w:rsid w:val="00C95851"/>
    <w:rsid w:val="00C96089"/>
    <w:rsid w:val="00C9737B"/>
    <w:rsid w:val="00C97DF6"/>
    <w:rsid w:val="00CA0116"/>
    <w:rsid w:val="00CA057C"/>
    <w:rsid w:val="00CA36A0"/>
    <w:rsid w:val="00CA3C4C"/>
    <w:rsid w:val="00CA4BC0"/>
    <w:rsid w:val="00CA4E0C"/>
    <w:rsid w:val="00CA52E9"/>
    <w:rsid w:val="00CA5CA8"/>
    <w:rsid w:val="00CA6E21"/>
    <w:rsid w:val="00CA7195"/>
    <w:rsid w:val="00CA78DA"/>
    <w:rsid w:val="00CA7ADF"/>
    <w:rsid w:val="00CB0157"/>
    <w:rsid w:val="00CB01D1"/>
    <w:rsid w:val="00CB024B"/>
    <w:rsid w:val="00CB0948"/>
    <w:rsid w:val="00CB1B42"/>
    <w:rsid w:val="00CB1D40"/>
    <w:rsid w:val="00CB1E84"/>
    <w:rsid w:val="00CB2464"/>
    <w:rsid w:val="00CB4249"/>
    <w:rsid w:val="00CB4D35"/>
    <w:rsid w:val="00CB5205"/>
    <w:rsid w:val="00CB5A28"/>
    <w:rsid w:val="00CB6DEB"/>
    <w:rsid w:val="00CC0A7E"/>
    <w:rsid w:val="00CC10A9"/>
    <w:rsid w:val="00CC31FF"/>
    <w:rsid w:val="00CC4745"/>
    <w:rsid w:val="00CC559D"/>
    <w:rsid w:val="00CC6024"/>
    <w:rsid w:val="00CC7D5E"/>
    <w:rsid w:val="00CD05DA"/>
    <w:rsid w:val="00CD1223"/>
    <w:rsid w:val="00CD25FE"/>
    <w:rsid w:val="00CD34BB"/>
    <w:rsid w:val="00CD3F2F"/>
    <w:rsid w:val="00CD4B2B"/>
    <w:rsid w:val="00CD4B96"/>
    <w:rsid w:val="00CD5D13"/>
    <w:rsid w:val="00CD654B"/>
    <w:rsid w:val="00CD6796"/>
    <w:rsid w:val="00CD6CC1"/>
    <w:rsid w:val="00CE113E"/>
    <w:rsid w:val="00CE1814"/>
    <w:rsid w:val="00CE223E"/>
    <w:rsid w:val="00CE246C"/>
    <w:rsid w:val="00CE2A67"/>
    <w:rsid w:val="00CE2AFB"/>
    <w:rsid w:val="00CE2F02"/>
    <w:rsid w:val="00CE77D7"/>
    <w:rsid w:val="00CE7EB4"/>
    <w:rsid w:val="00CF0170"/>
    <w:rsid w:val="00CF01D7"/>
    <w:rsid w:val="00CF1C70"/>
    <w:rsid w:val="00CF2B1C"/>
    <w:rsid w:val="00CF31AB"/>
    <w:rsid w:val="00CF3D68"/>
    <w:rsid w:val="00CF3DE8"/>
    <w:rsid w:val="00CF3F0D"/>
    <w:rsid w:val="00CF4D9A"/>
    <w:rsid w:val="00CF60A6"/>
    <w:rsid w:val="00CF6A2B"/>
    <w:rsid w:val="00CF6EC0"/>
    <w:rsid w:val="00CF71AC"/>
    <w:rsid w:val="00CF7A65"/>
    <w:rsid w:val="00D00E03"/>
    <w:rsid w:val="00D01C22"/>
    <w:rsid w:val="00D01C8F"/>
    <w:rsid w:val="00D028E2"/>
    <w:rsid w:val="00D04796"/>
    <w:rsid w:val="00D067E6"/>
    <w:rsid w:val="00D06AC1"/>
    <w:rsid w:val="00D070D4"/>
    <w:rsid w:val="00D101F7"/>
    <w:rsid w:val="00D105CE"/>
    <w:rsid w:val="00D10E85"/>
    <w:rsid w:val="00D11C1C"/>
    <w:rsid w:val="00D12093"/>
    <w:rsid w:val="00D12FC1"/>
    <w:rsid w:val="00D145F5"/>
    <w:rsid w:val="00D147DA"/>
    <w:rsid w:val="00D14919"/>
    <w:rsid w:val="00D14FC0"/>
    <w:rsid w:val="00D15E55"/>
    <w:rsid w:val="00D16425"/>
    <w:rsid w:val="00D16B22"/>
    <w:rsid w:val="00D17352"/>
    <w:rsid w:val="00D179E5"/>
    <w:rsid w:val="00D207AA"/>
    <w:rsid w:val="00D22A26"/>
    <w:rsid w:val="00D256F7"/>
    <w:rsid w:val="00D25AB9"/>
    <w:rsid w:val="00D27163"/>
    <w:rsid w:val="00D31C51"/>
    <w:rsid w:val="00D31C92"/>
    <w:rsid w:val="00D31E00"/>
    <w:rsid w:val="00D3235E"/>
    <w:rsid w:val="00D32390"/>
    <w:rsid w:val="00D33544"/>
    <w:rsid w:val="00D353E3"/>
    <w:rsid w:val="00D3549F"/>
    <w:rsid w:val="00D355F0"/>
    <w:rsid w:val="00D36CA0"/>
    <w:rsid w:val="00D3764A"/>
    <w:rsid w:val="00D37EEE"/>
    <w:rsid w:val="00D421B8"/>
    <w:rsid w:val="00D42F85"/>
    <w:rsid w:val="00D43AC8"/>
    <w:rsid w:val="00D451C8"/>
    <w:rsid w:val="00D454BD"/>
    <w:rsid w:val="00D45D3B"/>
    <w:rsid w:val="00D468D7"/>
    <w:rsid w:val="00D4717A"/>
    <w:rsid w:val="00D47796"/>
    <w:rsid w:val="00D50782"/>
    <w:rsid w:val="00D52772"/>
    <w:rsid w:val="00D53BC0"/>
    <w:rsid w:val="00D54189"/>
    <w:rsid w:val="00D549A4"/>
    <w:rsid w:val="00D55F72"/>
    <w:rsid w:val="00D56113"/>
    <w:rsid w:val="00D5612D"/>
    <w:rsid w:val="00D56EC9"/>
    <w:rsid w:val="00D60007"/>
    <w:rsid w:val="00D60A64"/>
    <w:rsid w:val="00D61D30"/>
    <w:rsid w:val="00D63A02"/>
    <w:rsid w:val="00D63DAB"/>
    <w:rsid w:val="00D640DB"/>
    <w:rsid w:val="00D65102"/>
    <w:rsid w:val="00D66076"/>
    <w:rsid w:val="00D66C24"/>
    <w:rsid w:val="00D6735E"/>
    <w:rsid w:val="00D67DB9"/>
    <w:rsid w:val="00D67FB3"/>
    <w:rsid w:val="00D710B2"/>
    <w:rsid w:val="00D711E3"/>
    <w:rsid w:val="00D712A1"/>
    <w:rsid w:val="00D7130A"/>
    <w:rsid w:val="00D71EAE"/>
    <w:rsid w:val="00D736E1"/>
    <w:rsid w:val="00D73869"/>
    <w:rsid w:val="00D73A9B"/>
    <w:rsid w:val="00D76341"/>
    <w:rsid w:val="00D808C0"/>
    <w:rsid w:val="00D833D9"/>
    <w:rsid w:val="00D83907"/>
    <w:rsid w:val="00D83BD9"/>
    <w:rsid w:val="00D83FBB"/>
    <w:rsid w:val="00D8431D"/>
    <w:rsid w:val="00D850D6"/>
    <w:rsid w:val="00D8623E"/>
    <w:rsid w:val="00D868F0"/>
    <w:rsid w:val="00D8704D"/>
    <w:rsid w:val="00D8765D"/>
    <w:rsid w:val="00D903F9"/>
    <w:rsid w:val="00D904DC"/>
    <w:rsid w:val="00D90B9E"/>
    <w:rsid w:val="00D91E5C"/>
    <w:rsid w:val="00D929B1"/>
    <w:rsid w:val="00D9365C"/>
    <w:rsid w:val="00D93D1B"/>
    <w:rsid w:val="00D93D71"/>
    <w:rsid w:val="00D941BE"/>
    <w:rsid w:val="00D943DE"/>
    <w:rsid w:val="00D944E6"/>
    <w:rsid w:val="00D94DCF"/>
    <w:rsid w:val="00D94EAE"/>
    <w:rsid w:val="00D9516A"/>
    <w:rsid w:val="00D951CE"/>
    <w:rsid w:val="00D95BE9"/>
    <w:rsid w:val="00D95C8B"/>
    <w:rsid w:val="00D96498"/>
    <w:rsid w:val="00D964AC"/>
    <w:rsid w:val="00D97A93"/>
    <w:rsid w:val="00D97CD3"/>
    <w:rsid w:val="00DA1EF9"/>
    <w:rsid w:val="00DA33C2"/>
    <w:rsid w:val="00DA4631"/>
    <w:rsid w:val="00DA54F2"/>
    <w:rsid w:val="00DA586F"/>
    <w:rsid w:val="00DA5C27"/>
    <w:rsid w:val="00DA61AC"/>
    <w:rsid w:val="00DB0263"/>
    <w:rsid w:val="00DB08DA"/>
    <w:rsid w:val="00DB2EAC"/>
    <w:rsid w:val="00DB3511"/>
    <w:rsid w:val="00DB3F43"/>
    <w:rsid w:val="00DB4F95"/>
    <w:rsid w:val="00DB5351"/>
    <w:rsid w:val="00DB7231"/>
    <w:rsid w:val="00DB7273"/>
    <w:rsid w:val="00DB7AF8"/>
    <w:rsid w:val="00DB7F09"/>
    <w:rsid w:val="00DC006D"/>
    <w:rsid w:val="00DC00E8"/>
    <w:rsid w:val="00DC01A6"/>
    <w:rsid w:val="00DC0805"/>
    <w:rsid w:val="00DC15D0"/>
    <w:rsid w:val="00DC1C56"/>
    <w:rsid w:val="00DC4756"/>
    <w:rsid w:val="00DC4780"/>
    <w:rsid w:val="00DC4BC6"/>
    <w:rsid w:val="00DC6379"/>
    <w:rsid w:val="00DC7633"/>
    <w:rsid w:val="00DC7A1B"/>
    <w:rsid w:val="00DC7B8F"/>
    <w:rsid w:val="00DD0B5E"/>
    <w:rsid w:val="00DD0BE6"/>
    <w:rsid w:val="00DD0D9E"/>
    <w:rsid w:val="00DD1D4D"/>
    <w:rsid w:val="00DD1DDF"/>
    <w:rsid w:val="00DD2E7D"/>
    <w:rsid w:val="00DD3A19"/>
    <w:rsid w:val="00DD3B04"/>
    <w:rsid w:val="00DD4A09"/>
    <w:rsid w:val="00DD4A20"/>
    <w:rsid w:val="00DD5284"/>
    <w:rsid w:val="00DD5898"/>
    <w:rsid w:val="00DD6832"/>
    <w:rsid w:val="00DD72D2"/>
    <w:rsid w:val="00DE0504"/>
    <w:rsid w:val="00DE14D8"/>
    <w:rsid w:val="00DE28AF"/>
    <w:rsid w:val="00DE29E2"/>
    <w:rsid w:val="00DE34AB"/>
    <w:rsid w:val="00DE3C77"/>
    <w:rsid w:val="00DE4426"/>
    <w:rsid w:val="00DE48B2"/>
    <w:rsid w:val="00DE4A3B"/>
    <w:rsid w:val="00DE4B2F"/>
    <w:rsid w:val="00DE4CFC"/>
    <w:rsid w:val="00DE5A0F"/>
    <w:rsid w:val="00DE5A98"/>
    <w:rsid w:val="00DE6226"/>
    <w:rsid w:val="00DE6A7B"/>
    <w:rsid w:val="00DE7757"/>
    <w:rsid w:val="00DE7895"/>
    <w:rsid w:val="00DF002A"/>
    <w:rsid w:val="00DF03B1"/>
    <w:rsid w:val="00DF1403"/>
    <w:rsid w:val="00DF169D"/>
    <w:rsid w:val="00DF5826"/>
    <w:rsid w:val="00DF6EF3"/>
    <w:rsid w:val="00DF6F61"/>
    <w:rsid w:val="00DF7865"/>
    <w:rsid w:val="00DF79E4"/>
    <w:rsid w:val="00E0097B"/>
    <w:rsid w:val="00E0234D"/>
    <w:rsid w:val="00E027EE"/>
    <w:rsid w:val="00E032DF"/>
    <w:rsid w:val="00E04F35"/>
    <w:rsid w:val="00E06322"/>
    <w:rsid w:val="00E06AD3"/>
    <w:rsid w:val="00E101C6"/>
    <w:rsid w:val="00E11C51"/>
    <w:rsid w:val="00E122B5"/>
    <w:rsid w:val="00E123AA"/>
    <w:rsid w:val="00E12726"/>
    <w:rsid w:val="00E12FD6"/>
    <w:rsid w:val="00E13A56"/>
    <w:rsid w:val="00E13F19"/>
    <w:rsid w:val="00E14520"/>
    <w:rsid w:val="00E14C1F"/>
    <w:rsid w:val="00E1501A"/>
    <w:rsid w:val="00E1633C"/>
    <w:rsid w:val="00E16913"/>
    <w:rsid w:val="00E17305"/>
    <w:rsid w:val="00E175A4"/>
    <w:rsid w:val="00E17631"/>
    <w:rsid w:val="00E217F3"/>
    <w:rsid w:val="00E219A4"/>
    <w:rsid w:val="00E21FF5"/>
    <w:rsid w:val="00E22C8E"/>
    <w:rsid w:val="00E22D51"/>
    <w:rsid w:val="00E2408A"/>
    <w:rsid w:val="00E247BE"/>
    <w:rsid w:val="00E25B2E"/>
    <w:rsid w:val="00E25EEF"/>
    <w:rsid w:val="00E260FC"/>
    <w:rsid w:val="00E26168"/>
    <w:rsid w:val="00E30C65"/>
    <w:rsid w:val="00E327F9"/>
    <w:rsid w:val="00E329D6"/>
    <w:rsid w:val="00E33717"/>
    <w:rsid w:val="00E338DD"/>
    <w:rsid w:val="00E36876"/>
    <w:rsid w:val="00E37C45"/>
    <w:rsid w:val="00E41DA0"/>
    <w:rsid w:val="00E43B6D"/>
    <w:rsid w:val="00E43E21"/>
    <w:rsid w:val="00E44CFA"/>
    <w:rsid w:val="00E470A3"/>
    <w:rsid w:val="00E47B2C"/>
    <w:rsid w:val="00E47D65"/>
    <w:rsid w:val="00E47E12"/>
    <w:rsid w:val="00E500D8"/>
    <w:rsid w:val="00E500DC"/>
    <w:rsid w:val="00E50E7C"/>
    <w:rsid w:val="00E5127E"/>
    <w:rsid w:val="00E51545"/>
    <w:rsid w:val="00E51828"/>
    <w:rsid w:val="00E5194B"/>
    <w:rsid w:val="00E51D9E"/>
    <w:rsid w:val="00E523B0"/>
    <w:rsid w:val="00E5288B"/>
    <w:rsid w:val="00E52D40"/>
    <w:rsid w:val="00E52EBA"/>
    <w:rsid w:val="00E537D1"/>
    <w:rsid w:val="00E53C90"/>
    <w:rsid w:val="00E542FB"/>
    <w:rsid w:val="00E54596"/>
    <w:rsid w:val="00E55F5E"/>
    <w:rsid w:val="00E56708"/>
    <w:rsid w:val="00E567E6"/>
    <w:rsid w:val="00E56971"/>
    <w:rsid w:val="00E56D73"/>
    <w:rsid w:val="00E57899"/>
    <w:rsid w:val="00E607B7"/>
    <w:rsid w:val="00E60C3A"/>
    <w:rsid w:val="00E61045"/>
    <w:rsid w:val="00E61484"/>
    <w:rsid w:val="00E6209C"/>
    <w:rsid w:val="00E62579"/>
    <w:rsid w:val="00E627C3"/>
    <w:rsid w:val="00E630A9"/>
    <w:rsid w:val="00E638A6"/>
    <w:rsid w:val="00E6436C"/>
    <w:rsid w:val="00E64971"/>
    <w:rsid w:val="00E6544B"/>
    <w:rsid w:val="00E6631B"/>
    <w:rsid w:val="00E67DE1"/>
    <w:rsid w:val="00E711D7"/>
    <w:rsid w:val="00E72CE6"/>
    <w:rsid w:val="00E73243"/>
    <w:rsid w:val="00E7327E"/>
    <w:rsid w:val="00E7381E"/>
    <w:rsid w:val="00E73EA4"/>
    <w:rsid w:val="00E755F2"/>
    <w:rsid w:val="00E76C5A"/>
    <w:rsid w:val="00E76E47"/>
    <w:rsid w:val="00E776A4"/>
    <w:rsid w:val="00E77A77"/>
    <w:rsid w:val="00E810AC"/>
    <w:rsid w:val="00E8134A"/>
    <w:rsid w:val="00E815E1"/>
    <w:rsid w:val="00E82A07"/>
    <w:rsid w:val="00E82B86"/>
    <w:rsid w:val="00E82C7B"/>
    <w:rsid w:val="00E837DF"/>
    <w:rsid w:val="00E857A1"/>
    <w:rsid w:val="00E85880"/>
    <w:rsid w:val="00E87212"/>
    <w:rsid w:val="00E87565"/>
    <w:rsid w:val="00E902B0"/>
    <w:rsid w:val="00E902E8"/>
    <w:rsid w:val="00E9058B"/>
    <w:rsid w:val="00E938C2"/>
    <w:rsid w:val="00E93ED7"/>
    <w:rsid w:val="00E944FF"/>
    <w:rsid w:val="00E95B64"/>
    <w:rsid w:val="00E962B6"/>
    <w:rsid w:val="00E96640"/>
    <w:rsid w:val="00E97E65"/>
    <w:rsid w:val="00E97EC4"/>
    <w:rsid w:val="00EA0494"/>
    <w:rsid w:val="00EA0A91"/>
    <w:rsid w:val="00EA23AC"/>
    <w:rsid w:val="00EA2738"/>
    <w:rsid w:val="00EA2F2C"/>
    <w:rsid w:val="00EA31F1"/>
    <w:rsid w:val="00EA37FC"/>
    <w:rsid w:val="00EA570C"/>
    <w:rsid w:val="00EA57BB"/>
    <w:rsid w:val="00EA6345"/>
    <w:rsid w:val="00EA6879"/>
    <w:rsid w:val="00EA7C3D"/>
    <w:rsid w:val="00EB00BE"/>
    <w:rsid w:val="00EB01F7"/>
    <w:rsid w:val="00EB179A"/>
    <w:rsid w:val="00EB2FB3"/>
    <w:rsid w:val="00EB3D9E"/>
    <w:rsid w:val="00EB3E88"/>
    <w:rsid w:val="00EB46A3"/>
    <w:rsid w:val="00EB48E1"/>
    <w:rsid w:val="00EB51A4"/>
    <w:rsid w:val="00EB5DB9"/>
    <w:rsid w:val="00EB6878"/>
    <w:rsid w:val="00EC01A9"/>
    <w:rsid w:val="00EC0492"/>
    <w:rsid w:val="00EC1E0E"/>
    <w:rsid w:val="00EC1E3C"/>
    <w:rsid w:val="00EC236D"/>
    <w:rsid w:val="00EC2DCA"/>
    <w:rsid w:val="00EC345F"/>
    <w:rsid w:val="00EC3736"/>
    <w:rsid w:val="00EC382D"/>
    <w:rsid w:val="00EC3F7E"/>
    <w:rsid w:val="00EC4DB4"/>
    <w:rsid w:val="00EC5AA6"/>
    <w:rsid w:val="00EC6242"/>
    <w:rsid w:val="00EC6B16"/>
    <w:rsid w:val="00ED1657"/>
    <w:rsid w:val="00ED1E12"/>
    <w:rsid w:val="00ED21EA"/>
    <w:rsid w:val="00ED4B73"/>
    <w:rsid w:val="00ED4D68"/>
    <w:rsid w:val="00ED4E70"/>
    <w:rsid w:val="00ED4E95"/>
    <w:rsid w:val="00ED67CA"/>
    <w:rsid w:val="00ED73FD"/>
    <w:rsid w:val="00EE1447"/>
    <w:rsid w:val="00EE2E99"/>
    <w:rsid w:val="00EE43CD"/>
    <w:rsid w:val="00EE4907"/>
    <w:rsid w:val="00EE50F4"/>
    <w:rsid w:val="00EE5373"/>
    <w:rsid w:val="00EE5833"/>
    <w:rsid w:val="00EE6144"/>
    <w:rsid w:val="00EE694A"/>
    <w:rsid w:val="00EE6EE6"/>
    <w:rsid w:val="00EE70CC"/>
    <w:rsid w:val="00EE762D"/>
    <w:rsid w:val="00EF145E"/>
    <w:rsid w:val="00EF1C90"/>
    <w:rsid w:val="00EF2BBB"/>
    <w:rsid w:val="00EF346A"/>
    <w:rsid w:val="00EF3541"/>
    <w:rsid w:val="00EF4620"/>
    <w:rsid w:val="00EF53B4"/>
    <w:rsid w:val="00EF564F"/>
    <w:rsid w:val="00EF592A"/>
    <w:rsid w:val="00EF6039"/>
    <w:rsid w:val="00EF7121"/>
    <w:rsid w:val="00F00160"/>
    <w:rsid w:val="00F00606"/>
    <w:rsid w:val="00F0082D"/>
    <w:rsid w:val="00F00BAD"/>
    <w:rsid w:val="00F00BE0"/>
    <w:rsid w:val="00F00E49"/>
    <w:rsid w:val="00F015AB"/>
    <w:rsid w:val="00F020F3"/>
    <w:rsid w:val="00F02D28"/>
    <w:rsid w:val="00F04EC3"/>
    <w:rsid w:val="00F056E2"/>
    <w:rsid w:val="00F05F21"/>
    <w:rsid w:val="00F06438"/>
    <w:rsid w:val="00F067EA"/>
    <w:rsid w:val="00F074DC"/>
    <w:rsid w:val="00F074F5"/>
    <w:rsid w:val="00F0763C"/>
    <w:rsid w:val="00F076DA"/>
    <w:rsid w:val="00F07C90"/>
    <w:rsid w:val="00F07DB3"/>
    <w:rsid w:val="00F10352"/>
    <w:rsid w:val="00F10B90"/>
    <w:rsid w:val="00F11764"/>
    <w:rsid w:val="00F129B8"/>
    <w:rsid w:val="00F12E38"/>
    <w:rsid w:val="00F13550"/>
    <w:rsid w:val="00F13789"/>
    <w:rsid w:val="00F13CF8"/>
    <w:rsid w:val="00F1400A"/>
    <w:rsid w:val="00F1430F"/>
    <w:rsid w:val="00F14B52"/>
    <w:rsid w:val="00F14D22"/>
    <w:rsid w:val="00F14EFE"/>
    <w:rsid w:val="00F150A2"/>
    <w:rsid w:val="00F21563"/>
    <w:rsid w:val="00F21D04"/>
    <w:rsid w:val="00F22D71"/>
    <w:rsid w:val="00F2300D"/>
    <w:rsid w:val="00F23A21"/>
    <w:rsid w:val="00F23F86"/>
    <w:rsid w:val="00F254E6"/>
    <w:rsid w:val="00F25D04"/>
    <w:rsid w:val="00F265E5"/>
    <w:rsid w:val="00F2691E"/>
    <w:rsid w:val="00F26B13"/>
    <w:rsid w:val="00F3245F"/>
    <w:rsid w:val="00F33021"/>
    <w:rsid w:val="00F332F7"/>
    <w:rsid w:val="00F337B5"/>
    <w:rsid w:val="00F33CC8"/>
    <w:rsid w:val="00F33DB8"/>
    <w:rsid w:val="00F36244"/>
    <w:rsid w:val="00F3667D"/>
    <w:rsid w:val="00F3689D"/>
    <w:rsid w:val="00F37498"/>
    <w:rsid w:val="00F40321"/>
    <w:rsid w:val="00F40D3B"/>
    <w:rsid w:val="00F41195"/>
    <w:rsid w:val="00F41231"/>
    <w:rsid w:val="00F4195F"/>
    <w:rsid w:val="00F41C49"/>
    <w:rsid w:val="00F41DC4"/>
    <w:rsid w:val="00F41EE7"/>
    <w:rsid w:val="00F41FBE"/>
    <w:rsid w:val="00F441C1"/>
    <w:rsid w:val="00F446CF"/>
    <w:rsid w:val="00F44B70"/>
    <w:rsid w:val="00F44D08"/>
    <w:rsid w:val="00F461A2"/>
    <w:rsid w:val="00F465B8"/>
    <w:rsid w:val="00F46B57"/>
    <w:rsid w:val="00F46B6D"/>
    <w:rsid w:val="00F47B50"/>
    <w:rsid w:val="00F50213"/>
    <w:rsid w:val="00F5149E"/>
    <w:rsid w:val="00F525D9"/>
    <w:rsid w:val="00F530E1"/>
    <w:rsid w:val="00F53209"/>
    <w:rsid w:val="00F534A2"/>
    <w:rsid w:val="00F53AB7"/>
    <w:rsid w:val="00F53CE7"/>
    <w:rsid w:val="00F53E2C"/>
    <w:rsid w:val="00F548FA"/>
    <w:rsid w:val="00F5493C"/>
    <w:rsid w:val="00F55993"/>
    <w:rsid w:val="00F55A87"/>
    <w:rsid w:val="00F571F5"/>
    <w:rsid w:val="00F57BED"/>
    <w:rsid w:val="00F60198"/>
    <w:rsid w:val="00F604C1"/>
    <w:rsid w:val="00F60695"/>
    <w:rsid w:val="00F610B0"/>
    <w:rsid w:val="00F619A9"/>
    <w:rsid w:val="00F62F4D"/>
    <w:rsid w:val="00F63B6F"/>
    <w:rsid w:val="00F64651"/>
    <w:rsid w:val="00F65FC0"/>
    <w:rsid w:val="00F66C84"/>
    <w:rsid w:val="00F66DE9"/>
    <w:rsid w:val="00F67111"/>
    <w:rsid w:val="00F70348"/>
    <w:rsid w:val="00F70369"/>
    <w:rsid w:val="00F7088E"/>
    <w:rsid w:val="00F71D98"/>
    <w:rsid w:val="00F72D54"/>
    <w:rsid w:val="00F74507"/>
    <w:rsid w:val="00F74E3E"/>
    <w:rsid w:val="00F7613A"/>
    <w:rsid w:val="00F76369"/>
    <w:rsid w:val="00F76F0A"/>
    <w:rsid w:val="00F77613"/>
    <w:rsid w:val="00F81742"/>
    <w:rsid w:val="00F822B4"/>
    <w:rsid w:val="00F82408"/>
    <w:rsid w:val="00F82595"/>
    <w:rsid w:val="00F825C9"/>
    <w:rsid w:val="00F82746"/>
    <w:rsid w:val="00F82ACC"/>
    <w:rsid w:val="00F82C68"/>
    <w:rsid w:val="00F82DBD"/>
    <w:rsid w:val="00F836F9"/>
    <w:rsid w:val="00F845D7"/>
    <w:rsid w:val="00F8494D"/>
    <w:rsid w:val="00F84B91"/>
    <w:rsid w:val="00F85AD9"/>
    <w:rsid w:val="00F86F20"/>
    <w:rsid w:val="00F87574"/>
    <w:rsid w:val="00F90163"/>
    <w:rsid w:val="00F90CEF"/>
    <w:rsid w:val="00F92279"/>
    <w:rsid w:val="00F92688"/>
    <w:rsid w:val="00F93570"/>
    <w:rsid w:val="00F9585B"/>
    <w:rsid w:val="00F95E4D"/>
    <w:rsid w:val="00F9617F"/>
    <w:rsid w:val="00F9739B"/>
    <w:rsid w:val="00F97931"/>
    <w:rsid w:val="00FA0019"/>
    <w:rsid w:val="00FA002A"/>
    <w:rsid w:val="00FA05F3"/>
    <w:rsid w:val="00FA07CD"/>
    <w:rsid w:val="00FA0E3D"/>
    <w:rsid w:val="00FA384D"/>
    <w:rsid w:val="00FA4D97"/>
    <w:rsid w:val="00FA4F6A"/>
    <w:rsid w:val="00FA5DE1"/>
    <w:rsid w:val="00FA7011"/>
    <w:rsid w:val="00FA7DE7"/>
    <w:rsid w:val="00FB0A8F"/>
    <w:rsid w:val="00FB176B"/>
    <w:rsid w:val="00FB222E"/>
    <w:rsid w:val="00FB22D4"/>
    <w:rsid w:val="00FB38B4"/>
    <w:rsid w:val="00FB3AB8"/>
    <w:rsid w:val="00FB4D21"/>
    <w:rsid w:val="00FB4E2C"/>
    <w:rsid w:val="00FB5AC8"/>
    <w:rsid w:val="00FB7404"/>
    <w:rsid w:val="00FB762B"/>
    <w:rsid w:val="00FB76D2"/>
    <w:rsid w:val="00FB774A"/>
    <w:rsid w:val="00FC0296"/>
    <w:rsid w:val="00FC0368"/>
    <w:rsid w:val="00FC18B4"/>
    <w:rsid w:val="00FC2034"/>
    <w:rsid w:val="00FC2440"/>
    <w:rsid w:val="00FC29C0"/>
    <w:rsid w:val="00FC2C84"/>
    <w:rsid w:val="00FC3A73"/>
    <w:rsid w:val="00FC5C76"/>
    <w:rsid w:val="00FC6ADA"/>
    <w:rsid w:val="00FC6B9C"/>
    <w:rsid w:val="00FC7B0C"/>
    <w:rsid w:val="00FD050A"/>
    <w:rsid w:val="00FD085A"/>
    <w:rsid w:val="00FD18AD"/>
    <w:rsid w:val="00FD1D2F"/>
    <w:rsid w:val="00FD2824"/>
    <w:rsid w:val="00FD3287"/>
    <w:rsid w:val="00FD357D"/>
    <w:rsid w:val="00FD3D8F"/>
    <w:rsid w:val="00FD5452"/>
    <w:rsid w:val="00FD5D3F"/>
    <w:rsid w:val="00FD6902"/>
    <w:rsid w:val="00FD7E7E"/>
    <w:rsid w:val="00FE1B00"/>
    <w:rsid w:val="00FE3CC4"/>
    <w:rsid w:val="00FE432D"/>
    <w:rsid w:val="00FE7978"/>
    <w:rsid w:val="00FE7B28"/>
    <w:rsid w:val="00FF0D53"/>
    <w:rsid w:val="00FF291F"/>
    <w:rsid w:val="00FF2C26"/>
    <w:rsid w:val="00FF4A41"/>
    <w:rsid w:val="00FF642D"/>
    <w:rsid w:val="00FF67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AAA1"/>
  <w15:docId w15:val="{594DAFE1-B22E-44C3-BB17-1D72B6E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432"/>
    <w:pPr>
      <w:spacing w:before="100" w:after="200" w:line="276" w:lineRule="auto"/>
    </w:pPr>
    <w:rPr>
      <w:rFonts w:eastAsiaTheme="minorEastAsia"/>
      <w:sz w:val="20"/>
      <w:szCs w:val="20"/>
    </w:rPr>
  </w:style>
  <w:style w:type="paragraph" w:styleId="Heading1">
    <w:name w:val="heading 1"/>
    <w:basedOn w:val="Normal"/>
    <w:next w:val="Normal"/>
    <w:link w:val="Heading1Char"/>
    <w:qFormat/>
    <w:rsid w:val="007A1ED0"/>
    <w:pPr>
      <w:keepNext/>
      <w:pBdr>
        <w:top w:val="single" w:sz="24" w:space="0" w:color="002C47" w:themeColor="accent1"/>
        <w:left w:val="single" w:sz="24" w:space="0" w:color="002C47" w:themeColor="accent1"/>
        <w:bottom w:val="single" w:sz="24" w:space="0" w:color="002C47" w:themeColor="accent1"/>
        <w:right w:val="single" w:sz="24" w:space="0" w:color="002C47" w:themeColor="accent1"/>
      </w:pBdr>
      <w:shd w:val="clear" w:color="auto" w:fill="002C47" w:themeFill="accent1"/>
      <w:spacing w:after="0"/>
      <w:outlineLvl w:val="0"/>
    </w:pPr>
    <w:rPr>
      <w:b/>
      <w:smallCaps/>
      <w:color w:val="FFFFFF" w:themeColor="background1"/>
      <w:spacing w:val="15"/>
      <w:sz w:val="22"/>
      <w:szCs w:val="22"/>
    </w:rPr>
  </w:style>
  <w:style w:type="paragraph" w:styleId="Heading2">
    <w:name w:val="heading 2"/>
    <w:basedOn w:val="Normal"/>
    <w:next w:val="Normal"/>
    <w:link w:val="Heading2Char"/>
    <w:unhideWhenUsed/>
    <w:qFormat/>
    <w:rsid w:val="007A1ED0"/>
    <w:pPr>
      <w:keepNext/>
      <w:pBdr>
        <w:top w:val="single" w:sz="24" w:space="1" w:color="002C47" w:themeColor="accent1"/>
        <w:left w:val="single" w:sz="24" w:space="0" w:color="002C47" w:themeColor="accent1"/>
        <w:bottom w:val="single" w:sz="24" w:space="1" w:color="002C47" w:themeColor="accent1"/>
        <w:right w:val="single" w:sz="24" w:space="0" w:color="002C47" w:themeColor="accent1"/>
      </w:pBdr>
      <w:shd w:val="clear" w:color="auto" w:fill="002C47" w:themeFill="accent1"/>
      <w:spacing w:after="0"/>
      <w:outlineLvl w:val="1"/>
    </w:pPr>
    <w:rPr>
      <w:b/>
      <w:i/>
      <w:smallCaps/>
      <w:color w:val="FFFFFF" w:themeColor="background1"/>
      <w:spacing w:val="15"/>
    </w:rPr>
  </w:style>
  <w:style w:type="paragraph" w:styleId="Heading3">
    <w:name w:val="heading 3"/>
    <w:basedOn w:val="Normal"/>
    <w:next w:val="Normal"/>
    <w:link w:val="Heading3Char"/>
    <w:unhideWhenUsed/>
    <w:qFormat/>
    <w:rsid w:val="00984444"/>
    <w:pPr>
      <w:keepNext/>
      <w:pBdr>
        <w:top w:val="single" w:sz="6" w:space="1" w:color="002C47" w:themeColor="accent1"/>
      </w:pBdr>
      <w:spacing w:before="300" w:after="0"/>
      <w:outlineLvl w:val="2"/>
    </w:pPr>
    <w:rPr>
      <w:b/>
      <w:smallCaps/>
      <w:color w:val="002C47" w:themeColor="accent1"/>
      <w:spacing w:val="15"/>
    </w:rPr>
  </w:style>
  <w:style w:type="paragraph" w:styleId="Heading4">
    <w:name w:val="heading 4"/>
    <w:basedOn w:val="Normal"/>
    <w:next w:val="Normal"/>
    <w:link w:val="Heading4Char"/>
    <w:unhideWhenUsed/>
    <w:qFormat/>
    <w:rsid w:val="00984444"/>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984444"/>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984444"/>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4F4893"/>
    <w:pPr>
      <w:spacing w:after="0"/>
      <w:outlineLvl w:val="6"/>
    </w:pPr>
    <w:rPr>
      <w:b/>
      <w:i/>
      <w:color w:val="002C47" w:themeColor="accent1"/>
    </w:rPr>
  </w:style>
  <w:style w:type="paragraph" w:styleId="Heading8">
    <w:name w:val="heading 8"/>
    <w:basedOn w:val="TableMainHeading"/>
    <w:next w:val="Normal"/>
    <w:link w:val="Heading8Char"/>
    <w:uiPriority w:val="9"/>
    <w:unhideWhenUsed/>
    <w:qFormat/>
    <w:rsid w:val="00052197"/>
    <w:pPr>
      <w:numPr>
        <w:numId w:val="45"/>
      </w:numPr>
    </w:pPr>
    <w:rPr>
      <w:bCs/>
    </w:rPr>
  </w:style>
  <w:style w:type="paragraph" w:styleId="Heading9">
    <w:name w:val="heading 9"/>
    <w:basedOn w:val="ChartMainHeading"/>
    <w:next w:val="Normal"/>
    <w:link w:val="Heading9Char"/>
    <w:uiPriority w:val="9"/>
    <w:unhideWhenUsed/>
    <w:qFormat/>
    <w:rsid w:val="00462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ED0"/>
    <w:rPr>
      <w:rFonts w:eastAsiaTheme="minorEastAsia"/>
      <w:b/>
      <w:smallCaps/>
      <w:color w:val="FFFFFF" w:themeColor="background1"/>
      <w:spacing w:val="15"/>
      <w:shd w:val="clear" w:color="auto" w:fill="002C47" w:themeFill="accent1"/>
    </w:rPr>
  </w:style>
  <w:style w:type="character" w:customStyle="1" w:styleId="Heading2Char">
    <w:name w:val="Heading 2 Char"/>
    <w:basedOn w:val="DefaultParagraphFont"/>
    <w:link w:val="Heading2"/>
    <w:rsid w:val="007A1ED0"/>
    <w:rPr>
      <w:rFonts w:eastAsiaTheme="minorEastAsia"/>
      <w:b/>
      <w:i/>
      <w:smallCaps/>
      <w:color w:val="FFFFFF" w:themeColor="background1"/>
      <w:spacing w:val="15"/>
      <w:sz w:val="20"/>
      <w:szCs w:val="20"/>
      <w:shd w:val="clear" w:color="auto" w:fill="002C47" w:themeFill="accent1"/>
    </w:rPr>
  </w:style>
  <w:style w:type="character" w:customStyle="1" w:styleId="Heading3Char">
    <w:name w:val="Heading 3 Char"/>
    <w:basedOn w:val="DefaultParagraphFont"/>
    <w:link w:val="Heading3"/>
    <w:rsid w:val="00984444"/>
    <w:rPr>
      <w:rFonts w:eastAsiaTheme="minorEastAsia"/>
      <w:b/>
      <w:smallCaps/>
      <w:color w:val="002C47" w:themeColor="accent1"/>
      <w:spacing w:val="15"/>
      <w:sz w:val="20"/>
      <w:szCs w:val="20"/>
    </w:rPr>
  </w:style>
  <w:style w:type="character" w:customStyle="1" w:styleId="Heading4Char">
    <w:name w:val="Heading 4 Char"/>
    <w:basedOn w:val="DefaultParagraphFont"/>
    <w:link w:val="Heading4"/>
    <w:rsid w:val="00984444"/>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984444"/>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984444"/>
    <w:rPr>
      <w:rFonts w:eastAsiaTheme="minorEastAsia"/>
      <w:i/>
      <w:smallCaps/>
      <w:color w:val="002C47" w:themeColor="accent1"/>
      <w:spacing w:val="10"/>
      <w:sz w:val="20"/>
      <w:szCs w:val="20"/>
    </w:rPr>
  </w:style>
  <w:style w:type="paragraph" w:customStyle="1" w:styleId="ChartGraphic">
    <w:name w:val="Chart Graphic"/>
    <w:basedOn w:val="Normal"/>
    <w:next w:val="Normal"/>
    <w:rsid w:val="00AB575C"/>
    <w:pPr>
      <w:keepNext/>
      <w:spacing w:before="0" w:after="0"/>
      <w:jc w:val="center"/>
    </w:pPr>
    <w:rPr>
      <w:color w:val="004A7F"/>
    </w:rPr>
  </w:style>
  <w:style w:type="paragraph" w:customStyle="1" w:styleId="AlphaParagraph">
    <w:name w:val="Alpha Paragraph"/>
    <w:basedOn w:val="Normal"/>
    <w:rsid w:val="00AB575C"/>
    <w:pPr>
      <w:numPr>
        <w:ilvl w:val="1"/>
        <w:numId w:val="36"/>
      </w:numPr>
      <w:spacing w:before="0"/>
    </w:pPr>
  </w:style>
  <w:style w:type="paragraph" w:customStyle="1" w:styleId="BoxBullet">
    <w:name w:val="Box Bullet"/>
    <w:basedOn w:val="Normal"/>
    <w:link w:val="BoxBulletChar"/>
    <w:rsid w:val="003702EE"/>
    <w:pPr>
      <w:numPr>
        <w:numId w:val="40"/>
      </w:numPr>
      <w:spacing w:before="40" w:after="40"/>
      <w:jc w:val="both"/>
    </w:pPr>
    <w:rPr>
      <w:rFonts w:cs="Times New Roman"/>
      <w:bdr w:val="none" w:sz="0" w:space="0" w:color="auto" w:frame="1"/>
      <w:lang w:eastAsia="en-AU"/>
    </w:rPr>
  </w:style>
  <w:style w:type="paragraph" w:customStyle="1" w:styleId="BoxDash">
    <w:name w:val="Box Dash"/>
    <w:basedOn w:val="Normal"/>
    <w:link w:val="BoxDashChar"/>
    <w:rsid w:val="003702EE"/>
    <w:pPr>
      <w:numPr>
        <w:ilvl w:val="1"/>
        <w:numId w:val="40"/>
      </w:numPr>
      <w:spacing w:before="40" w:after="40"/>
      <w:jc w:val="both"/>
    </w:pPr>
    <w:rPr>
      <w:rFonts w:cs="Times New Roman"/>
      <w:bdr w:val="none" w:sz="0" w:space="0" w:color="auto" w:frame="1"/>
      <w:lang w:eastAsia="en-AU"/>
    </w:rPr>
  </w:style>
  <w:style w:type="paragraph" w:customStyle="1" w:styleId="BoxDoubleDot">
    <w:name w:val="Box Double Dot"/>
    <w:basedOn w:val="Normal"/>
    <w:rsid w:val="00AB575C"/>
    <w:pPr>
      <w:numPr>
        <w:ilvl w:val="2"/>
        <w:numId w:val="40"/>
      </w:numPr>
      <w:spacing w:before="0"/>
    </w:pPr>
  </w:style>
  <w:style w:type="paragraph" w:customStyle="1" w:styleId="BoxHeading">
    <w:name w:val="Box Heading"/>
    <w:basedOn w:val="Heading3"/>
    <w:next w:val="BoxText"/>
    <w:qFormat/>
    <w:rsid w:val="00C86E09"/>
    <w:pPr>
      <w:numPr>
        <w:numId w:val="44"/>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B575C"/>
    <w:pPr>
      <w:jc w:val="both"/>
    </w:pPr>
    <w:rPr>
      <w:rFonts w:cstheme="minorHAnsi"/>
      <w:lang w:eastAsia="en-AU"/>
    </w:rPr>
  </w:style>
  <w:style w:type="paragraph" w:customStyle="1" w:styleId="Normalbullet">
    <w:name w:val="Normal bullet"/>
    <w:basedOn w:val="Normal"/>
    <w:link w:val="NormalbulletChar"/>
    <w:qFormat/>
    <w:rsid w:val="00AB575C"/>
    <w:pPr>
      <w:numPr>
        <w:numId w:val="24"/>
      </w:numPr>
      <w:spacing w:before="0"/>
    </w:pPr>
  </w:style>
  <w:style w:type="paragraph" w:customStyle="1" w:styleId="ChartandTableFootnoteAlpha">
    <w:name w:val="Chart and Table Footnote Alpha"/>
    <w:rsid w:val="00AB575C"/>
    <w:pPr>
      <w:numPr>
        <w:numId w:val="22"/>
      </w:numPr>
      <w:spacing w:before="100"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4626A0"/>
    <w:pPr>
      <w:keepNext/>
      <w:numPr>
        <w:numId w:val="43"/>
      </w:numPr>
      <w:pBdr>
        <w:top w:val="dashed" w:sz="4" w:space="1" w:color="002C47" w:themeColor="accent1"/>
      </w:pBdr>
      <w:tabs>
        <w:tab w:val="left" w:pos="993"/>
      </w:tabs>
      <w:spacing w:before="120" w:after="120" w:line="240" w:lineRule="auto"/>
      <w:ind w:left="992" w:hanging="992"/>
      <w:outlineLvl w:val="8"/>
    </w:pPr>
    <w:rPr>
      <w:b/>
      <w:smallCaps/>
      <w:color w:val="002C47" w:themeColor="accent1"/>
      <w:spacing w:val="15"/>
    </w:rPr>
  </w:style>
  <w:style w:type="paragraph" w:customStyle="1" w:styleId="ChartorTableNote">
    <w:name w:val="Chart or Table Note"/>
    <w:next w:val="Normal"/>
    <w:rsid w:val="00AB575C"/>
    <w:pPr>
      <w:spacing w:before="100"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B575C"/>
    <w:rPr>
      <w:color w:val="277F98" w:themeColor="accent6"/>
    </w:rPr>
  </w:style>
  <w:style w:type="paragraph" w:customStyle="1" w:styleId="ReportDate">
    <w:name w:val="Report Date"/>
    <w:basedOn w:val="Normal"/>
    <w:link w:val="ReportDateChar"/>
    <w:rsid w:val="00AB575C"/>
    <w:pPr>
      <w:keepNext/>
      <w:spacing w:before="0" w:after="360"/>
    </w:pPr>
    <w:rPr>
      <w:color w:val="FFFFFF" w:themeColor="background1"/>
      <w:sz w:val="44"/>
    </w:rPr>
  </w:style>
  <w:style w:type="paragraph" w:customStyle="1" w:styleId="Normaldash">
    <w:name w:val="Normal dash"/>
    <w:basedOn w:val="Normal"/>
    <w:link w:val="NormaldashChar"/>
    <w:qFormat/>
    <w:rsid w:val="00AB575C"/>
    <w:pPr>
      <w:numPr>
        <w:ilvl w:val="1"/>
        <w:numId w:val="24"/>
      </w:numPr>
      <w:spacing w:before="0"/>
    </w:pPr>
  </w:style>
  <w:style w:type="paragraph" w:customStyle="1" w:styleId="Normaldoubledot">
    <w:name w:val="Normal double dot"/>
    <w:basedOn w:val="Normal"/>
    <w:qFormat/>
    <w:rsid w:val="0025563B"/>
    <w:pPr>
      <w:numPr>
        <w:ilvl w:val="2"/>
        <w:numId w:val="24"/>
      </w:numPr>
      <w:spacing w:before="0"/>
    </w:pPr>
  </w:style>
  <w:style w:type="paragraph" w:customStyle="1" w:styleId="TableMainHeading">
    <w:name w:val="Table Main Heading"/>
    <w:basedOn w:val="Normal"/>
    <w:next w:val="Normal"/>
    <w:rsid w:val="004626A0"/>
    <w:pPr>
      <w:keepNext/>
      <w:numPr>
        <w:numId w:val="42"/>
      </w:numPr>
      <w:pBdr>
        <w:top w:val="dashed" w:sz="4" w:space="1" w:color="002C47" w:themeColor="accent1"/>
      </w:pBdr>
      <w:tabs>
        <w:tab w:val="left" w:pos="993"/>
      </w:tabs>
      <w:spacing w:before="120" w:after="120" w:line="240" w:lineRule="auto"/>
      <w:ind w:left="992" w:hanging="992"/>
      <w:outlineLvl w:val="7"/>
    </w:pPr>
    <w:rPr>
      <w:b/>
      <w:smallCaps/>
      <w:color w:val="002C47" w:themeColor="accent1"/>
      <w:spacing w:val="15"/>
    </w:rPr>
  </w:style>
  <w:style w:type="paragraph" w:customStyle="1" w:styleId="FooterEven">
    <w:name w:val="Footer Even"/>
    <w:basedOn w:val="Footer"/>
    <w:rsid w:val="000B1E3F"/>
    <w:pPr>
      <w:keepNext/>
      <w:tabs>
        <w:tab w:val="clear" w:pos="4513"/>
        <w:tab w:val="clear" w:pos="9026"/>
      </w:tabs>
      <w:jc w:val="left"/>
    </w:pPr>
    <w:rPr>
      <w:noProof/>
      <w:color w:val="002C47" w:themeColor="accent1"/>
    </w:rPr>
  </w:style>
  <w:style w:type="paragraph" w:customStyle="1" w:styleId="FooterOdd">
    <w:name w:val="Footer Odd"/>
    <w:basedOn w:val="Footer"/>
    <w:rsid w:val="000B1E3F"/>
    <w:pPr>
      <w:keepNext/>
      <w:tabs>
        <w:tab w:val="clear" w:pos="4513"/>
        <w:tab w:val="clear" w:pos="9026"/>
      </w:tabs>
      <w:jc w:val="right"/>
    </w:pPr>
    <w:rPr>
      <w:color w:val="002C47" w:themeColor="accent1"/>
    </w:rPr>
  </w:style>
  <w:style w:type="character" w:styleId="Hyperlink">
    <w:name w:val="Hyperlink"/>
    <w:basedOn w:val="DefaultParagraphFont"/>
    <w:uiPriority w:val="99"/>
    <w:rsid w:val="00AB575C"/>
    <w:rPr>
      <w:color w:val="0563C1"/>
      <w:u w:val="none"/>
    </w:rPr>
  </w:style>
  <w:style w:type="paragraph" w:customStyle="1" w:styleId="OutlineNumbered1">
    <w:name w:val="Outline Numbered 1"/>
    <w:basedOn w:val="Normal"/>
    <w:rsid w:val="00AB575C"/>
    <w:pPr>
      <w:numPr>
        <w:numId w:val="35"/>
      </w:numPr>
      <w:spacing w:before="0"/>
    </w:pPr>
  </w:style>
  <w:style w:type="paragraph" w:customStyle="1" w:styleId="OneLevelNumberedParagraph">
    <w:name w:val="One Level Numbered Paragraph"/>
    <w:basedOn w:val="Normal"/>
    <w:rsid w:val="00AB575C"/>
    <w:pPr>
      <w:numPr>
        <w:numId w:val="31"/>
      </w:numPr>
      <w:spacing w:before="0"/>
    </w:pPr>
  </w:style>
  <w:style w:type="paragraph" w:customStyle="1" w:styleId="OutlineNumbered2">
    <w:name w:val="Outline Numbered 2"/>
    <w:basedOn w:val="Normal"/>
    <w:rsid w:val="00AB575C"/>
    <w:pPr>
      <w:numPr>
        <w:ilvl w:val="1"/>
        <w:numId w:val="35"/>
      </w:numPr>
      <w:spacing w:before="0"/>
    </w:pPr>
  </w:style>
  <w:style w:type="paragraph" w:customStyle="1" w:styleId="OutlineNumbered3">
    <w:name w:val="Outline Numbered 3"/>
    <w:basedOn w:val="Normal"/>
    <w:rsid w:val="00AB575C"/>
    <w:pPr>
      <w:numPr>
        <w:ilvl w:val="2"/>
        <w:numId w:val="35"/>
      </w:numPr>
      <w:spacing w:before="0"/>
    </w:pPr>
  </w:style>
  <w:style w:type="paragraph" w:customStyle="1" w:styleId="Romannumeral">
    <w:name w:val="Roman numeral"/>
    <w:basedOn w:val="Normal"/>
    <w:rsid w:val="00AB575C"/>
    <w:pPr>
      <w:numPr>
        <w:numId w:val="36"/>
      </w:numPr>
      <w:tabs>
        <w:tab w:val="clear" w:pos="720"/>
        <w:tab w:val="num" w:pos="851"/>
      </w:tabs>
      <w:spacing w:before="0"/>
    </w:pPr>
  </w:style>
  <w:style w:type="paragraph" w:customStyle="1" w:styleId="SingleParagraph">
    <w:name w:val="Single Paragraph"/>
    <w:basedOn w:val="Normal"/>
    <w:link w:val="SingleParagraphChar"/>
    <w:rsid w:val="00AB575C"/>
    <w:pPr>
      <w:spacing w:before="0" w:after="0"/>
    </w:pPr>
  </w:style>
  <w:style w:type="paragraph" w:customStyle="1" w:styleId="TableSecondHeading">
    <w:name w:val="Table Second Heading"/>
    <w:basedOn w:val="Normal"/>
    <w:next w:val="Normal"/>
    <w:qFormat/>
    <w:rsid w:val="00366630"/>
    <w:pPr>
      <w:keepNext/>
      <w:spacing w:before="40" w:after="40"/>
      <w:jc w:val="right"/>
    </w:pPr>
    <w:rPr>
      <w:rFonts w:cs="Times New Roman"/>
      <w:b/>
      <w:smallCaps/>
      <w:color w:val="002C47" w:themeColor="accent1"/>
      <w:bdr w:val="none" w:sz="0" w:space="0" w:color="auto" w:frame="1"/>
      <w:lang w:eastAsia="en-AU"/>
    </w:rPr>
  </w:style>
  <w:style w:type="paragraph" w:customStyle="1" w:styleId="TableColumnHeadingCentred">
    <w:name w:val="Table Column Heading Centred"/>
    <w:basedOn w:val="TableTextLeft"/>
    <w:rsid w:val="00AB575C"/>
    <w:pPr>
      <w:jc w:val="center"/>
    </w:pPr>
    <w:rPr>
      <w:b/>
      <w:color w:val="004A7F"/>
    </w:rPr>
  </w:style>
  <w:style w:type="paragraph" w:customStyle="1" w:styleId="TableColumnHeadingLeft">
    <w:name w:val="Table Column Heading Left"/>
    <w:basedOn w:val="TableTextLeft"/>
    <w:rsid w:val="00AB575C"/>
    <w:rPr>
      <w:b/>
      <w:color w:val="004A7F"/>
    </w:rPr>
  </w:style>
  <w:style w:type="paragraph" w:customStyle="1" w:styleId="TableColumnHeadingRight">
    <w:name w:val="Table Column Heading Right"/>
    <w:basedOn w:val="TableTextLeft"/>
    <w:rsid w:val="00AB575C"/>
    <w:pPr>
      <w:jc w:val="right"/>
    </w:pPr>
    <w:rPr>
      <w:b/>
      <w:color w:val="004A7F"/>
    </w:rPr>
  </w:style>
  <w:style w:type="table" w:styleId="TableGrid">
    <w:name w:val="Table Grid"/>
    <w:basedOn w:val="TableNormal"/>
    <w:uiPriority w:val="39"/>
    <w:rsid w:val="00AB575C"/>
    <w:pPr>
      <w:spacing w:before="100" w:after="240" w:line="260" w:lineRule="exact"/>
      <w:jc w:val="both"/>
    </w:pPr>
    <w:rPr>
      <w:rFonts w:eastAsia="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B1CA2"/>
    <w:pPr>
      <w:jc w:val="center"/>
    </w:pPr>
  </w:style>
  <w:style w:type="paragraph" w:customStyle="1" w:styleId="TableTextLeft">
    <w:name w:val="Table Text Left"/>
    <w:basedOn w:val="TableTextRight"/>
    <w:rsid w:val="00AB575C"/>
    <w:pPr>
      <w:jc w:val="left"/>
    </w:pPr>
    <w:rPr>
      <w:rFonts w:cs="Times New Roman"/>
      <w:bdr w:val="none" w:sz="0" w:space="0" w:color="auto" w:frame="1"/>
      <w:lang w:eastAsia="en-AU"/>
    </w:rPr>
  </w:style>
  <w:style w:type="paragraph" w:customStyle="1" w:styleId="TableTextRight">
    <w:name w:val="Table Text Right"/>
    <w:basedOn w:val="Normal"/>
    <w:rsid w:val="00AB575C"/>
    <w:pPr>
      <w:spacing w:before="40" w:after="40"/>
      <w:jc w:val="right"/>
    </w:pPr>
    <w:rPr>
      <w:color w:val="000000"/>
    </w:rPr>
  </w:style>
  <w:style w:type="paragraph" w:styleId="TOC1">
    <w:name w:val="toc 1"/>
    <w:basedOn w:val="Normal"/>
    <w:next w:val="Normal"/>
    <w:uiPriority w:val="39"/>
    <w:rsid w:val="00AB575C"/>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B575C"/>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B575C"/>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B575C"/>
    <w:pPr>
      <w:numPr>
        <w:numId w:val="12"/>
      </w:numPr>
    </w:pPr>
  </w:style>
  <w:style w:type="numbering" w:customStyle="1" w:styleId="BulletedList">
    <w:name w:val="Bulleted List"/>
    <w:uiPriority w:val="99"/>
    <w:rsid w:val="00AB575C"/>
    <w:pPr>
      <w:numPr>
        <w:numId w:val="4"/>
      </w:numPr>
    </w:pPr>
  </w:style>
  <w:style w:type="numbering" w:customStyle="1" w:styleId="BoxBulletedList">
    <w:name w:val="Box Bulleted List"/>
    <w:uiPriority w:val="99"/>
    <w:rsid w:val="00AB575C"/>
    <w:pPr>
      <w:numPr>
        <w:numId w:val="1"/>
      </w:numPr>
    </w:pPr>
  </w:style>
  <w:style w:type="numbering" w:customStyle="1" w:styleId="OneLevelList">
    <w:name w:val="OneLevelList"/>
    <w:uiPriority w:val="99"/>
    <w:rsid w:val="00AB575C"/>
    <w:pPr>
      <w:numPr>
        <w:numId w:val="11"/>
      </w:numPr>
    </w:pPr>
  </w:style>
  <w:style w:type="numbering" w:customStyle="1" w:styleId="ChartandTableFootnoteAlphaList">
    <w:name w:val="ChartandTableFootnoteAlphaList"/>
    <w:uiPriority w:val="99"/>
    <w:rsid w:val="00AB575C"/>
    <w:pPr>
      <w:numPr>
        <w:numId w:val="6"/>
      </w:numPr>
    </w:pPr>
  </w:style>
  <w:style w:type="paragraph" w:customStyle="1" w:styleId="Crest">
    <w:name w:val="Crest"/>
    <w:basedOn w:val="Header"/>
    <w:rsid w:val="00AB575C"/>
    <w:pPr>
      <w:spacing w:after="480"/>
      <w:jc w:val="center"/>
    </w:pPr>
    <w:rPr>
      <w:color w:val="000000" w:themeColor="text1"/>
    </w:rPr>
  </w:style>
  <w:style w:type="paragraph" w:customStyle="1" w:styleId="Heading1Numbered">
    <w:name w:val="Heading 1 Numbered"/>
    <w:basedOn w:val="Heading1"/>
    <w:next w:val="Normal"/>
    <w:rsid w:val="00AB575C"/>
    <w:pPr>
      <w:numPr>
        <w:numId w:val="27"/>
      </w:numPr>
    </w:pPr>
  </w:style>
  <w:style w:type="character" w:customStyle="1" w:styleId="SingleParagraphChar">
    <w:name w:val="Single Paragraph Char"/>
    <w:basedOn w:val="DefaultParagraphFont"/>
    <w:link w:val="SingleParagraph"/>
    <w:rsid w:val="00AB575C"/>
    <w:rPr>
      <w:rFonts w:eastAsiaTheme="minorEastAsia"/>
      <w:sz w:val="20"/>
      <w:szCs w:val="20"/>
    </w:rPr>
  </w:style>
  <w:style w:type="paragraph" w:customStyle="1" w:styleId="Heading2Numbered">
    <w:name w:val="Heading 2 Numbered"/>
    <w:basedOn w:val="Heading2"/>
    <w:next w:val="Normal"/>
    <w:rsid w:val="00AB575C"/>
    <w:pPr>
      <w:numPr>
        <w:ilvl w:val="1"/>
        <w:numId w:val="27"/>
      </w:numPr>
    </w:pPr>
  </w:style>
  <w:style w:type="paragraph" w:customStyle="1" w:styleId="Heading3Numbered">
    <w:name w:val="Heading 3 Numbered"/>
    <w:basedOn w:val="Heading3"/>
    <w:qFormat/>
    <w:rsid w:val="00553F5A"/>
    <w:pPr>
      <w:numPr>
        <w:ilvl w:val="2"/>
        <w:numId w:val="27"/>
      </w:numPr>
      <w:ind w:left="0" w:firstLine="0"/>
    </w:pPr>
  </w:style>
  <w:style w:type="paragraph" w:styleId="Title">
    <w:name w:val="Title"/>
    <w:basedOn w:val="Normal"/>
    <w:next w:val="Normal"/>
    <w:link w:val="TitleChar"/>
    <w:uiPriority w:val="10"/>
    <w:qFormat/>
    <w:rsid w:val="001A019C"/>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1A019C"/>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B575C"/>
    <w:pPr>
      <w:spacing w:before="0" w:after="500" w:line="240" w:lineRule="auto"/>
    </w:pPr>
    <w:rPr>
      <w:caps/>
      <w:color w:val="FFFFFF" w:themeColor="background1"/>
      <w:spacing w:val="10"/>
      <w:sz w:val="21"/>
      <w:szCs w:val="21"/>
    </w:rPr>
  </w:style>
  <w:style w:type="character" w:customStyle="1" w:styleId="SubtitleChar">
    <w:name w:val="Subtitle Char"/>
    <w:basedOn w:val="DefaultParagraphFont"/>
    <w:link w:val="Subtitle"/>
    <w:uiPriority w:val="11"/>
    <w:rsid w:val="00AB575C"/>
    <w:rPr>
      <w:rFonts w:eastAsiaTheme="minorEastAsia"/>
      <w:caps/>
      <w:color w:val="FFFFFF" w:themeColor="background1"/>
      <w:spacing w:val="10"/>
      <w:sz w:val="21"/>
      <w:szCs w:val="21"/>
    </w:rPr>
  </w:style>
  <w:style w:type="character" w:styleId="SubtleEmphasis">
    <w:name w:val="Subtle Emphasis"/>
    <w:uiPriority w:val="19"/>
    <w:rsid w:val="00AB575C"/>
    <w:rPr>
      <w:i/>
      <w:iCs/>
      <w:color w:val="001523" w:themeColor="accent1" w:themeShade="7F"/>
    </w:rPr>
  </w:style>
  <w:style w:type="paragraph" w:styleId="Footer">
    <w:name w:val="footer"/>
    <w:basedOn w:val="Normal"/>
    <w:link w:val="FooterChar"/>
    <w:uiPriority w:val="99"/>
    <w:unhideWhenUsed/>
    <w:rsid w:val="00AB575C"/>
    <w:pPr>
      <w:tabs>
        <w:tab w:val="center" w:pos="4513"/>
        <w:tab w:val="right" w:pos="9026"/>
      </w:tabs>
      <w:spacing w:before="0" w:after="0"/>
      <w:jc w:val="center"/>
    </w:pPr>
    <w:rPr>
      <w:color w:val="002C47"/>
    </w:rPr>
  </w:style>
  <w:style w:type="character" w:customStyle="1" w:styleId="FooterChar">
    <w:name w:val="Footer Char"/>
    <w:basedOn w:val="DefaultParagraphFont"/>
    <w:link w:val="Footer"/>
    <w:uiPriority w:val="99"/>
    <w:rsid w:val="00AB575C"/>
    <w:rPr>
      <w:rFonts w:eastAsiaTheme="minorEastAsia"/>
      <w:color w:val="002C47"/>
      <w:sz w:val="20"/>
      <w:szCs w:val="20"/>
    </w:rPr>
  </w:style>
  <w:style w:type="paragraph" w:styleId="Header">
    <w:name w:val="header"/>
    <w:basedOn w:val="Normal"/>
    <w:link w:val="HeaderChar"/>
    <w:uiPriority w:val="99"/>
    <w:unhideWhenUsed/>
    <w:rsid w:val="00AB575C"/>
    <w:pPr>
      <w:keepNext/>
      <w:spacing w:before="0" w:after="0"/>
      <w:jc w:val="right"/>
    </w:pPr>
    <w:rPr>
      <w:color w:val="004A7F"/>
    </w:rPr>
  </w:style>
  <w:style w:type="character" w:customStyle="1" w:styleId="HeaderChar">
    <w:name w:val="Header Char"/>
    <w:basedOn w:val="DefaultParagraphFont"/>
    <w:link w:val="Header"/>
    <w:uiPriority w:val="99"/>
    <w:rsid w:val="00AB575C"/>
    <w:rPr>
      <w:rFonts w:eastAsiaTheme="minorEastAsia"/>
      <w:color w:val="004A7F"/>
      <w:sz w:val="20"/>
      <w:szCs w:val="20"/>
    </w:rPr>
  </w:style>
  <w:style w:type="character" w:styleId="PlaceholderText">
    <w:name w:val="Placeholder Text"/>
    <w:basedOn w:val="DefaultParagraphFont"/>
    <w:uiPriority w:val="99"/>
    <w:semiHidden/>
    <w:rsid w:val="00AB575C"/>
    <w:rPr>
      <w:color w:val="808080"/>
    </w:rPr>
  </w:style>
  <w:style w:type="paragraph" w:customStyle="1" w:styleId="AppendixHeading">
    <w:name w:val="Appendix Heading"/>
    <w:basedOn w:val="Normal"/>
    <w:next w:val="Normal"/>
    <w:rsid w:val="00AB575C"/>
    <w:pPr>
      <w:keepNext/>
      <w:spacing w:before="720" w:after="360"/>
    </w:pPr>
    <w:rPr>
      <w:rFonts w:ascii="Arial Bold" w:hAnsi="Arial Bold"/>
      <w:b/>
      <w:smallCaps/>
      <w:color w:val="004A7F"/>
      <w:sz w:val="36"/>
      <w:szCs w:val="36"/>
    </w:rPr>
  </w:style>
  <w:style w:type="paragraph" w:customStyle="1" w:styleId="HeadingBase">
    <w:name w:val="Heading Base"/>
    <w:rsid w:val="004F4893"/>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B575C"/>
    <w:rPr>
      <w:rFonts w:eastAsiaTheme="minorEastAsia"/>
      <w:color w:val="FFFFFF" w:themeColor="background1"/>
      <w:sz w:val="44"/>
      <w:szCs w:val="20"/>
    </w:rPr>
  </w:style>
  <w:style w:type="paragraph" w:customStyle="1" w:styleId="Disclaimer">
    <w:name w:val="Disclaimer"/>
    <w:basedOn w:val="ReportDate"/>
    <w:rsid w:val="00AB575C"/>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B575C"/>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B575C"/>
    <w:pPr>
      <w:spacing w:after="1800"/>
    </w:pPr>
    <w:rPr>
      <w:rFonts w:ascii="Rockwell" w:hAnsi="Rockwell"/>
      <w:sz w:val="24"/>
    </w:rPr>
  </w:style>
  <w:style w:type="character" w:customStyle="1" w:styleId="FramedFooter">
    <w:name w:val="Framed Footer"/>
    <w:rsid w:val="00AB575C"/>
    <w:rPr>
      <w:rFonts w:ascii="Arial" w:hAnsi="Arial"/>
      <w:color w:val="002C47"/>
      <w:sz w:val="18"/>
    </w:rPr>
  </w:style>
  <w:style w:type="character" w:customStyle="1" w:styleId="FramedHeader">
    <w:name w:val="Framed Header"/>
    <w:basedOn w:val="DefaultParagraphFont"/>
    <w:rsid w:val="00AB575C"/>
    <w:rPr>
      <w:rFonts w:ascii="Arial" w:hAnsi="Arial"/>
      <w:dstrike w:val="0"/>
      <w:color w:val="auto"/>
      <w:sz w:val="18"/>
      <w:vertAlign w:val="baseline"/>
    </w:rPr>
  </w:style>
  <w:style w:type="paragraph" w:customStyle="1" w:styleId="TableTextIndented">
    <w:name w:val="Table Text Indented"/>
    <w:basedOn w:val="TableTextLeft"/>
    <w:rsid w:val="00AB575C"/>
    <w:pPr>
      <w:ind w:left="284"/>
    </w:pPr>
  </w:style>
  <w:style w:type="paragraph" w:customStyle="1" w:styleId="TableHeadingContinued">
    <w:name w:val="Table Heading Continued"/>
    <w:basedOn w:val="TableMainHeading"/>
    <w:next w:val="TableGraphic"/>
    <w:qFormat/>
    <w:rsid w:val="00AB575C"/>
    <w:pPr>
      <w:numPr>
        <w:numId w:val="38"/>
      </w:numPr>
    </w:pPr>
  </w:style>
  <w:style w:type="paragraph" w:customStyle="1" w:styleId="TableGraphic">
    <w:name w:val="Table Graphic"/>
    <w:basedOn w:val="HeadingBase"/>
    <w:next w:val="Normal"/>
    <w:rsid w:val="00AB575C"/>
    <w:pPr>
      <w:spacing w:after="0"/>
    </w:pPr>
    <w:rPr>
      <w:color w:val="auto"/>
      <w:sz w:val="22"/>
    </w:rPr>
  </w:style>
  <w:style w:type="paragraph" w:customStyle="1" w:styleId="HeaderEven">
    <w:name w:val="Header Even"/>
    <w:basedOn w:val="Header"/>
    <w:rsid w:val="004F4893"/>
    <w:pPr>
      <w:jc w:val="left"/>
    </w:pPr>
    <w:rPr>
      <w:color w:val="002C47" w:themeColor="accent1"/>
    </w:rPr>
  </w:style>
  <w:style w:type="paragraph" w:customStyle="1" w:styleId="HeaderOdd">
    <w:name w:val="Header Odd"/>
    <w:basedOn w:val="Header"/>
    <w:rsid w:val="004F4893"/>
    <w:rPr>
      <w:color w:val="002C47" w:themeColor="accent1"/>
    </w:rPr>
  </w:style>
  <w:style w:type="paragraph" w:styleId="FootnoteText">
    <w:name w:val="footnote text"/>
    <w:basedOn w:val="CommentText"/>
    <w:link w:val="FootnoteTextChar"/>
    <w:uiPriority w:val="99"/>
    <w:rsid w:val="00AB575C"/>
    <w:pPr>
      <w:tabs>
        <w:tab w:val="left" w:pos="284"/>
      </w:tabs>
      <w:ind w:left="284" w:hanging="284"/>
    </w:pPr>
  </w:style>
  <w:style w:type="character" w:customStyle="1" w:styleId="FootnoteTextChar">
    <w:name w:val="Footnote Text Char"/>
    <w:basedOn w:val="DefaultParagraphFont"/>
    <w:link w:val="FootnoteText"/>
    <w:uiPriority w:val="99"/>
    <w:rsid w:val="00AB575C"/>
    <w:rPr>
      <w:rFonts w:eastAsiaTheme="minorEastAsia"/>
      <w:sz w:val="20"/>
      <w:szCs w:val="20"/>
    </w:rPr>
  </w:style>
  <w:style w:type="character" w:styleId="FootnoteReference">
    <w:name w:val="footnote reference"/>
    <w:basedOn w:val="DefaultParagraphFont"/>
    <w:uiPriority w:val="99"/>
    <w:rsid w:val="00AB575C"/>
    <w:rPr>
      <w:rFonts w:ascii="Calibri" w:hAnsi="Calibri"/>
      <w:sz w:val="20"/>
      <w:vertAlign w:val="superscript"/>
    </w:rPr>
  </w:style>
  <w:style w:type="paragraph" w:styleId="BalloonText">
    <w:name w:val="Balloon Text"/>
    <w:basedOn w:val="Normal"/>
    <w:link w:val="BalloonTextChar"/>
    <w:uiPriority w:val="99"/>
    <w:semiHidden/>
    <w:unhideWhenUsed/>
    <w:rsid w:val="00AB575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5C"/>
    <w:rPr>
      <w:rFonts w:ascii="Tahoma" w:eastAsiaTheme="minorEastAsia" w:hAnsi="Tahoma" w:cs="Tahoma"/>
      <w:sz w:val="16"/>
      <w:szCs w:val="16"/>
    </w:rPr>
  </w:style>
  <w:style w:type="paragraph" w:styleId="NoSpacing">
    <w:name w:val="No Spacing"/>
    <w:link w:val="NoSpacingChar"/>
    <w:uiPriority w:val="1"/>
    <w:rsid w:val="00AB575C"/>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B575C"/>
    <w:rPr>
      <w:rFonts w:eastAsiaTheme="minorEastAsia"/>
      <w:sz w:val="20"/>
      <w:szCs w:val="20"/>
    </w:rPr>
  </w:style>
  <w:style w:type="character" w:styleId="CommentReference">
    <w:name w:val="annotation reference"/>
    <w:basedOn w:val="DefaultParagraphFont"/>
    <w:uiPriority w:val="99"/>
    <w:semiHidden/>
    <w:unhideWhenUsed/>
    <w:rsid w:val="00AB575C"/>
    <w:rPr>
      <w:sz w:val="16"/>
      <w:szCs w:val="16"/>
    </w:rPr>
  </w:style>
  <w:style w:type="paragraph" w:styleId="CommentText">
    <w:name w:val="annotation text"/>
    <w:basedOn w:val="Normal"/>
    <w:link w:val="CommentTextChar"/>
    <w:uiPriority w:val="99"/>
    <w:unhideWhenUsed/>
    <w:rsid w:val="00AB575C"/>
  </w:style>
  <w:style w:type="character" w:customStyle="1" w:styleId="CommentTextChar">
    <w:name w:val="Comment Text Char"/>
    <w:basedOn w:val="DefaultParagraphFont"/>
    <w:link w:val="CommentText"/>
    <w:uiPriority w:val="99"/>
    <w:rsid w:val="00AB575C"/>
    <w:rPr>
      <w:rFonts w:eastAsiaTheme="minorEastAsia"/>
      <w:sz w:val="20"/>
      <w:szCs w:val="20"/>
    </w:rPr>
  </w:style>
  <w:style w:type="paragraph" w:customStyle="1" w:styleId="PreparedBy">
    <w:name w:val="PreparedBy"/>
    <w:basedOn w:val="Subtitle"/>
    <w:qFormat/>
    <w:rsid w:val="00AB575C"/>
  </w:style>
  <w:style w:type="character" w:styleId="BookTitle">
    <w:name w:val="Book Title"/>
    <w:uiPriority w:val="33"/>
    <w:rsid w:val="00AB575C"/>
    <w:rPr>
      <w:b/>
      <w:bCs/>
      <w:i/>
      <w:iCs/>
      <w:spacing w:val="0"/>
    </w:rPr>
  </w:style>
  <w:style w:type="character" w:customStyle="1" w:styleId="NormalbulletChar">
    <w:name w:val="Normal bullet Char"/>
    <w:basedOn w:val="DefaultParagraphFont"/>
    <w:link w:val="Normalbullet"/>
    <w:locked/>
    <w:rsid w:val="00AB575C"/>
    <w:rPr>
      <w:rFonts w:eastAsiaTheme="minorEastAsia"/>
      <w:sz w:val="20"/>
      <w:szCs w:val="20"/>
    </w:rPr>
  </w:style>
  <w:style w:type="paragraph" w:styleId="Caption">
    <w:name w:val="caption"/>
    <w:basedOn w:val="Normal"/>
    <w:next w:val="Normal"/>
    <w:uiPriority w:val="35"/>
    <w:semiHidden/>
    <w:unhideWhenUsed/>
    <w:qFormat/>
    <w:rsid w:val="00AB575C"/>
    <w:rPr>
      <w:b/>
      <w:bCs/>
      <w:color w:val="002035" w:themeColor="accent1" w:themeShade="BF"/>
      <w:sz w:val="16"/>
      <w:szCs w:val="16"/>
    </w:rPr>
  </w:style>
  <w:style w:type="paragraph" w:styleId="CommentSubject">
    <w:name w:val="annotation subject"/>
    <w:basedOn w:val="CommentText"/>
    <w:next w:val="CommentText"/>
    <w:link w:val="CommentSubjectChar"/>
    <w:uiPriority w:val="99"/>
    <w:semiHidden/>
    <w:unhideWhenUsed/>
    <w:rsid w:val="00AB575C"/>
    <w:rPr>
      <w:b/>
      <w:bCs/>
    </w:rPr>
  </w:style>
  <w:style w:type="character" w:customStyle="1" w:styleId="CommentSubjectChar">
    <w:name w:val="Comment Subject Char"/>
    <w:basedOn w:val="CommentTextChar"/>
    <w:link w:val="CommentSubject"/>
    <w:uiPriority w:val="99"/>
    <w:semiHidden/>
    <w:rsid w:val="00AB575C"/>
    <w:rPr>
      <w:rFonts w:eastAsiaTheme="minorEastAsia"/>
      <w:b/>
      <w:bCs/>
      <w:sz w:val="20"/>
      <w:szCs w:val="20"/>
    </w:rPr>
  </w:style>
  <w:style w:type="character" w:customStyle="1" w:styleId="NormaldashChar">
    <w:name w:val="Normal dash Char"/>
    <w:basedOn w:val="DefaultParagraphFont"/>
    <w:link w:val="Normaldash"/>
    <w:locked/>
    <w:rsid w:val="00AB575C"/>
    <w:rPr>
      <w:rFonts w:eastAsiaTheme="minorEastAsia"/>
      <w:sz w:val="20"/>
      <w:szCs w:val="20"/>
    </w:rPr>
  </w:style>
  <w:style w:type="paragraph" w:customStyle="1" w:styleId="Default">
    <w:name w:val="Default"/>
    <w:rsid w:val="00AB575C"/>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character" w:styleId="Emphasis">
    <w:name w:val="Emphasis"/>
    <w:uiPriority w:val="20"/>
    <w:rsid w:val="00AB575C"/>
    <w:rPr>
      <w:caps/>
      <w:color w:val="001523" w:themeColor="accent1" w:themeShade="7F"/>
      <w:spacing w:val="5"/>
    </w:rPr>
  </w:style>
  <w:style w:type="character" w:customStyle="1" w:styleId="Heading7Char">
    <w:name w:val="Heading 7 Char"/>
    <w:basedOn w:val="DefaultParagraphFont"/>
    <w:link w:val="Heading7"/>
    <w:uiPriority w:val="9"/>
    <w:rsid w:val="004F4893"/>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052197"/>
    <w:rPr>
      <w:rFonts w:eastAsiaTheme="minorEastAsia"/>
      <w:b/>
      <w:bCs/>
      <w:smallCaps/>
      <w:color w:val="002C47" w:themeColor="accent1"/>
      <w:spacing w:val="15"/>
      <w:sz w:val="20"/>
      <w:szCs w:val="20"/>
    </w:rPr>
  </w:style>
  <w:style w:type="character" w:customStyle="1" w:styleId="Heading9Char">
    <w:name w:val="Heading 9 Char"/>
    <w:basedOn w:val="DefaultParagraphFont"/>
    <w:link w:val="Heading9"/>
    <w:uiPriority w:val="9"/>
    <w:rsid w:val="004626A0"/>
    <w:rPr>
      <w:rFonts w:eastAsiaTheme="minorEastAsia"/>
      <w:b/>
      <w:smallCaps/>
      <w:color w:val="002C47" w:themeColor="accent1"/>
      <w:spacing w:val="15"/>
      <w:sz w:val="20"/>
      <w:szCs w:val="20"/>
    </w:rPr>
  </w:style>
  <w:style w:type="character" w:styleId="IntenseEmphasis">
    <w:name w:val="Intense Emphasis"/>
    <w:uiPriority w:val="21"/>
    <w:rsid w:val="00AB575C"/>
    <w:rPr>
      <w:b/>
      <w:bCs/>
      <w:caps/>
      <w:color w:val="001523" w:themeColor="accent1" w:themeShade="7F"/>
      <w:spacing w:val="10"/>
    </w:rPr>
  </w:style>
  <w:style w:type="paragraph" w:styleId="IntenseQuote">
    <w:name w:val="Intense Quote"/>
    <w:basedOn w:val="Normal"/>
    <w:next w:val="Normal"/>
    <w:link w:val="IntenseQuoteChar"/>
    <w:uiPriority w:val="30"/>
    <w:rsid w:val="00AB575C"/>
    <w:pPr>
      <w:spacing w:before="240" w:after="240" w:line="240" w:lineRule="auto"/>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B575C"/>
    <w:rPr>
      <w:rFonts w:eastAsiaTheme="minorEastAsia"/>
      <w:color w:val="002C47" w:themeColor="accent1"/>
      <w:sz w:val="24"/>
      <w:szCs w:val="24"/>
    </w:rPr>
  </w:style>
  <w:style w:type="character" w:styleId="IntenseReference">
    <w:name w:val="Intense Reference"/>
    <w:uiPriority w:val="32"/>
    <w:rsid w:val="00AB575C"/>
    <w:rPr>
      <w:b/>
      <w:bCs/>
      <w:i/>
      <w:iCs/>
      <w:caps/>
      <w:color w:val="002C47" w:themeColor="accent1"/>
    </w:rPr>
  </w:style>
  <w:style w:type="paragraph" w:styleId="ListParagraph">
    <w:name w:val="List Paragraph"/>
    <w:basedOn w:val="Normal"/>
    <w:uiPriority w:val="34"/>
    <w:rsid w:val="00AB575C"/>
    <w:pPr>
      <w:ind w:left="720"/>
      <w:contextualSpacing/>
    </w:pPr>
  </w:style>
  <w:style w:type="paragraph" w:styleId="NormalWeb">
    <w:name w:val="Normal (Web)"/>
    <w:basedOn w:val="Normal"/>
    <w:uiPriority w:val="99"/>
    <w:unhideWhenUsed/>
    <w:rsid w:val="00AB575C"/>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B575C"/>
    <w:rPr>
      <w:i/>
      <w:iCs/>
      <w:sz w:val="24"/>
      <w:szCs w:val="24"/>
    </w:rPr>
  </w:style>
  <w:style w:type="character" w:customStyle="1" w:styleId="QuoteChar">
    <w:name w:val="Quote Char"/>
    <w:basedOn w:val="DefaultParagraphFont"/>
    <w:link w:val="Quote"/>
    <w:uiPriority w:val="29"/>
    <w:rsid w:val="00AB575C"/>
    <w:rPr>
      <w:rFonts w:eastAsiaTheme="minorEastAsia"/>
      <w:i/>
      <w:iCs/>
      <w:sz w:val="24"/>
      <w:szCs w:val="24"/>
    </w:rPr>
  </w:style>
  <w:style w:type="character" w:styleId="Strong">
    <w:name w:val="Strong"/>
    <w:uiPriority w:val="22"/>
    <w:rsid w:val="00AB575C"/>
    <w:rPr>
      <w:b/>
      <w:bCs/>
    </w:rPr>
  </w:style>
  <w:style w:type="character" w:styleId="SubtleReference">
    <w:name w:val="Subtle Reference"/>
    <w:uiPriority w:val="31"/>
    <w:rsid w:val="00AB575C"/>
    <w:rPr>
      <w:b/>
      <w:bCs/>
      <w:color w:val="002C47" w:themeColor="accent1"/>
    </w:rPr>
  </w:style>
  <w:style w:type="paragraph" w:styleId="TOCHeading">
    <w:name w:val="TOC Heading"/>
    <w:basedOn w:val="Heading1"/>
    <w:next w:val="Normal"/>
    <w:uiPriority w:val="39"/>
    <w:semiHidden/>
    <w:unhideWhenUsed/>
    <w:qFormat/>
    <w:rsid w:val="00AB575C"/>
    <w:pPr>
      <w:outlineLvl w:val="9"/>
    </w:pPr>
  </w:style>
  <w:style w:type="character" w:customStyle="1" w:styleId="value">
    <w:name w:val="value"/>
    <w:basedOn w:val="DefaultParagraphFont"/>
    <w:rsid w:val="00AB575C"/>
  </w:style>
  <w:style w:type="paragraph" w:styleId="BodyText">
    <w:name w:val="Body Text"/>
    <w:basedOn w:val="Normal"/>
    <w:link w:val="BodyTextChar"/>
    <w:uiPriority w:val="99"/>
    <w:semiHidden/>
    <w:unhideWhenUsed/>
    <w:rsid w:val="00AB575C"/>
    <w:pPr>
      <w:spacing w:after="120"/>
    </w:pPr>
  </w:style>
  <w:style w:type="character" w:customStyle="1" w:styleId="BodyTextChar">
    <w:name w:val="Body Text Char"/>
    <w:basedOn w:val="DefaultParagraphFont"/>
    <w:link w:val="BodyText"/>
    <w:uiPriority w:val="99"/>
    <w:semiHidden/>
    <w:rsid w:val="00AB575C"/>
    <w:rPr>
      <w:rFonts w:eastAsiaTheme="minorEastAsia"/>
      <w:sz w:val="20"/>
      <w:szCs w:val="20"/>
    </w:rPr>
  </w:style>
  <w:style w:type="character" w:customStyle="1" w:styleId="BoxBulletChar">
    <w:name w:val="Box Bullet Char"/>
    <w:basedOn w:val="DefaultParagraphFont"/>
    <w:link w:val="BoxBullet"/>
    <w:rsid w:val="00AB575C"/>
    <w:rPr>
      <w:rFonts w:eastAsiaTheme="minorEastAsia" w:cs="Times New Roman"/>
      <w:sz w:val="20"/>
      <w:szCs w:val="20"/>
      <w:bdr w:val="none" w:sz="0" w:space="0" w:color="auto" w:frame="1"/>
      <w:lang w:eastAsia="en-AU"/>
    </w:rPr>
  </w:style>
  <w:style w:type="character" w:customStyle="1" w:styleId="BoxDashChar">
    <w:name w:val="Box Dash Char"/>
    <w:basedOn w:val="DefaultParagraphFont"/>
    <w:link w:val="BoxDash"/>
    <w:rsid w:val="00AB575C"/>
    <w:rPr>
      <w:rFonts w:eastAsiaTheme="minorEastAsia" w:cs="Times New Roman"/>
      <w:sz w:val="20"/>
      <w:szCs w:val="20"/>
      <w:bdr w:val="none" w:sz="0" w:space="0" w:color="auto" w:frame="1"/>
      <w:lang w:eastAsia="en-AU"/>
    </w:rPr>
  </w:style>
  <w:style w:type="paragraph" w:customStyle="1" w:styleId="Source">
    <w:name w:val="Source"/>
    <w:basedOn w:val="Normaldash"/>
    <w:link w:val="SourceChar"/>
    <w:qFormat/>
    <w:rsid w:val="00B8467F"/>
    <w:pPr>
      <w:numPr>
        <w:ilvl w:val="0"/>
        <w:numId w:val="0"/>
      </w:numPr>
      <w:pBdr>
        <w:bottom w:val="dashed" w:sz="4" w:space="1" w:color="002C47" w:themeColor="accent1"/>
      </w:pBdr>
      <w:tabs>
        <w:tab w:val="left" w:pos="0"/>
      </w:tabs>
      <w:spacing w:before="40"/>
    </w:pPr>
    <w:rPr>
      <w:sz w:val="18"/>
      <w:bdr w:val="none" w:sz="0" w:space="0" w:color="auto" w:frame="1"/>
    </w:rPr>
  </w:style>
  <w:style w:type="character" w:customStyle="1" w:styleId="SourceChar">
    <w:name w:val="Source Char"/>
    <w:basedOn w:val="NormaldashChar"/>
    <w:link w:val="Source"/>
    <w:rsid w:val="00B8467F"/>
    <w:rPr>
      <w:rFonts w:eastAsiaTheme="minorEastAsia"/>
      <w:sz w:val="18"/>
      <w:szCs w:val="20"/>
      <w:bdr w:val="none" w:sz="0" w:space="0" w:color="auto" w:frame="1"/>
    </w:rPr>
  </w:style>
  <w:style w:type="paragraph" w:customStyle="1" w:styleId="Tabledash">
    <w:name w:val="Table dash"/>
    <w:basedOn w:val="BoxDash"/>
    <w:link w:val="TabledashChar"/>
    <w:qFormat/>
    <w:rsid w:val="00AB575C"/>
    <w:pPr>
      <w:tabs>
        <w:tab w:val="clear" w:pos="567"/>
        <w:tab w:val="num" w:pos="283"/>
      </w:tabs>
      <w:ind w:left="568" w:hanging="283"/>
    </w:pPr>
  </w:style>
  <w:style w:type="character" w:customStyle="1" w:styleId="TabledashChar">
    <w:name w:val="Table dash Char"/>
    <w:basedOn w:val="BoxDashChar"/>
    <w:link w:val="Tabledash"/>
    <w:rsid w:val="00AB575C"/>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qFormat/>
    <w:rsid w:val="00AB575C"/>
    <w:pPr>
      <w:numPr>
        <w:numId w:val="0"/>
      </w:numPr>
    </w:pPr>
  </w:style>
  <w:style w:type="character" w:customStyle="1" w:styleId="TabledotChar">
    <w:name w:val="Table dot Char"/>
    <w:basedOn w:val="BoxBulletChar"/>
    <w:link w:val="Tabledot"/>
    <w:rsid w:val="00AB575C"/>
    <w:rPr>
      <w:rFonts w:eastAsiaTheme="minorEastAsia" w:cs="Times New Roman"/>
      <w:sz w:val="20"/>
      <w:szCs w:val="20"/>
      <w:bdr w:val="none" w:sz="0" w:space="0" w:color="auto" w:frame="1"/>
      <w:lang w:eastAsia="en-AU"/>
    </w:rPr>
  </w:style>
  <w:style w:type="table" w:customStyle="1" w:styleId="CPOPTable">
    <w:name w:val="CPOP Table"/>
    <w:basedOn w:val="TableNormal"/>
    <w:uiPriority w:val="99"/>
    <w:rsid w:val="005A7C81"/>
    <w:pPr>
      <w:spacing w:after="0" w:line="240" w:lineRule="auto"/>
    </w:pPr>
    <w:tblPr>
      <w:tblBorders>
        <w:bottom w:val="single" w:sz="8" w:space="0" w:color="000000" w:themeColor="text1"/>
      </w:tblBorders>
    </w:tblPr>
    <w:tcPr>
      <w:shd w:val="clear" w:color="auto" w:fill="auto"/>
    </w:tcPr>
    <w:tblStylePr w:type="fir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lastRow">
      <w:tblPr/>
      <w:tcPr>
        <w:tcBorders>
          <w:bottom w:val="nil"/>
        </w:tcBorders>
      </w:tcPr>
    </w:tblStylePr>
  </w:style>
  <w:style w:type="paragraph" w:customStyle="1" w:styleId="Bullet">
    <w:name w:val="Bullet"/>
    <w:aliases w:val="b,b + line,b1,Body,Bullet + line,level 1,BodyNum"/>
    <w:basedOn w:val="Normal"/>
    <w:link w:val="BulletChar"/>
    <w:autoRedefine/>
    <w:qFormat/>
    <w:rsid w:val="00002852"/>
    <w:pPr>
      <w:tabs>
        <w:tab w:val="left" w:pos="720"/>
      </w:tabs>
      <w:spacing w:before="0" w:after="0" w:line="259" w:lineRule="auto"/>
    </w:pPr>
    <w:rPr>
      <w:rFonts w:eastAsiaTheme="minorHAnsi"/>
      <w:szCs w:val="22"/>
    </w:rPr>
  </w:style>
  <w:style w:type="character" w:customStyle="1" w:styleId="BulletChar">
    <w:name w:val="Bullet Char"/>
    <w:aliases w:val="b + line Char Char,b Char,b Char Char,Body Char,Bullet + line Char,b + line Char,b1 Char,level 1 Char,Number Char,Bullets Char,L Char,List Paragraph Char,List Paragraph1 Char,List Paragraph11 Char,Recommendation Char,List Paragraph2 Char"/>
    <w:basedOn w:val="DefaultParagraphFont"/>
    <w:link w:val="Bullet"/>
    <w:locked/>
    <w:rsid w:val="00002852"/>
    <w:rPr>
      <w:sz w:val="20"/>
    </w:rPr>
  </w:style>
  <w:style w:type="table" w:styleId="PlainTable3">
    <w:name w:val="Plain Table 3"/>
    <w:basedOn w:val="TableNormal"/>
    <w:uiPriority w:val="43"/>
    <w:rsid w:val="00F71D98"/>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CD4B96"/>
    <w:pPr>
      <w:spacing w:after="0" w:line="240" w:lineRule="auto"/>
    </w:pPr>
    <w:rPr>
      <w:rFonts w:eastAsiaTheme="minorEastAsia"/>
      <w:sz w:val="20"/>
      <w:szCs w:val="20"/>
    </w:rPr>
  </w:style>
  <w:style w:type="character" w:styleId="FollowedHyperlink">
    <w:name w:val="FollowedHyperlink"/>
    <w:basedOn w:val="DefaultParagraphFont"/>
    <w:uiPriority w:val="99"/>
    <w:semiHidden/>
    <w:unhideWhenUsed/>
    <w:rsid w:val="00C97DF6"/>
    <w:rPr>
      <w:color w:val="954F72" w:themeColor="followedHyperlink"/>
      <w:u w:val="single"/>
    </w:rPr>
  </w:style>
  <w:style w:type="character" w:styleId="Mention">
    <w:name w:val="Mention"/>
    <w:basedOn w:val="DefaultParagraphFont"/>
    <w:uiPriority w:val="99"/>
    <w:unhideWhenUsed/>
    <w:rsid w:val="00A74691"/>
    <w:rPr>
      <w:color w:val="2B579A"/>
      <w:shd w:val="clear" w:color="auto" w:fill="E1DFDD"/>
    </w:rPr>
  </w:style>
  <w:style w:type="character" w:styleId="UnresolvedMention">
    <w:name w:val="Unresolved Mention"/>
    <w:basedOn w:val="DefaultParagraphFont"/>
    <w:uiPriority w:val="99"/>
    <w:semiHidden/>
    <w:unhideWhenUsed/>
    <w:rsid w:val="00D4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267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ulation.gov.au/publications/statements/2023-population-statemen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ulation.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Centre%20for%20Population\Centre%20for%20Population%20Internal.dotx" TargetMode="External"/></Relationships>
</file>

<file path=word/theme/theme1.xml><?xml version="1.0" encoding="utf-8"?>
<a:theme xmlns:a="http://schemas.openxmlformats.org/drawingml/2006/main" name="Corporat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571B34DE557A49A844A497C42917F5" ma:contentTypeVersion="14" ma:contentTypeDescription="Create a new document." ma:contentTypeScope="" ma:versionID="7546faf18f3a2daba0123406678dc456">
  <xsd:schema xmlns:xsd="http://www.w3.org/2001/XMLSchema" xmlns:xs="http://www.w3.org/2001/XMLSchema" xmlns:p="http://schemas.microsoft.com/office/2006/metadata/properties" xmlns:ns2="fe39d773-a83d-4623-ae74-f25711a76616" xmlns:ns3="8a0f7cc3-c266-472c-a05b-c6f864bb8450" xmlns:ns4="42f9a59b-0137-452b-8ae7-8982314ddc2f" targetNamespace="http://schemas.microsoft.com/office/2006/metadata/properties" ma:root="true" ma:fieldsID="c68d97ee0f6327429178a13b8317157f" ns2:_="" ns3:_="" ns4:_="">
    <xsd:import namespace="fe39d773-a83d-4623-ae74-f25711a76616"/>
    <xsd:import namespace="8a0f7cc3-c266-472c-a05b-c6f864bb8450"/>
    <xsd:import namespace="42f9a59b-0137-452b-8ae7-8982314ddc2f"/>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de4344074cba4e98bbe1fa5c4b47b5e2"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Population|dfc189bb-46ec-4771-b471-77807c301c0c"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d30ce89a-1134-4700-94d0-04c364853b4b"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becd10e0-8510-4710-9b20-d817c2b0e527"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e1836263-94d0-4953-b054-95b6ac1c6edf"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7cc3-c266-472c-a05b-c6f864bb84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da8ad6-4f00-43fc-8358-94d0f8dade0d}" ma:internalName="TaxCatchAll" ma:showField="CatchAllData"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1da8ad6-4f00-43fc-8358-94d0f8dade0d}" ma:internalName="TaxCatchAllLabel" ma:readOnly="true" ma:showField="CatchAllDataLabel" ma:web="8a0f7cc3-c266-472c-a05b-c6f864bb8450">
      <xsd:complexType>
        <xsd:complexContent>
          <xsd:extension base="dms:MultiChoiceLookup">
            <xsd:sequence>
              <xsd:element name="Value" type="dms:Lookup" maxOccurs="unbounded" minOccurs="0" nillable="true"/>
            </xsd:sequence>
          </xsd:extension>
        </xsd:complexContent>
      </xsd:complexType>
    </xsd:element>
    <xsd:element name="de4344074cba4e98bbe1fa5c4b47b5e2" ma:index="24" nillable="true" ma:taxonomy="true" ma:internalName="de4344074cba4e98bbe1fa5c4b47b5e2" ma:taxonomyFieldName="Project" ma:displayName="Project" ma:default="" ma:fieldId="{de434407-4cba-4e98-bbe1-fa5c4b47b5e2}" ma:taxonomyMulti="true" ma:sspId="218240cd-c75f-40bd-87f4-262ac964b25b" ma:termSetId="649ad160-e6c3-41d9-a3c9-274de9f4b258" ma:anchorId="00000000-0000-0000-0000-000000000000" ma:open="tru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9a59b-0137-452b-8ae7-8982314ddc2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67a4a183-437d-4a4a-b607-df3f133a25c1</TermId>
        </TermInfo>
      </Terms>
    </kfc39f3e4e2747ae990d3c8bb74a5a64>
    <de4344074cba4e98bbe1fa5c4b47b5e2 xmlns="8a0f7cc3-c266-472c-a05b-c6f864bb8450">
      <Terms xmlns="http://schemas.microsoft.com/office/infopath/2007/PartnerControls"/>
    </de4344074cba4e98bbe1fa5c4b47b5e2>
    <ge25bdd0d6464e36b066695d9e81d63d xmlns="fe39d773-a83d-4623-ae74-f25711a76616">
      <Terms xmlns="http://schemas.microsoft.com/office/infopath/2007/PartnerControls"/>
    </ge25bdd0d6464e36b066695d9e81d63d>
    <TaxCatchAll xmlns="8a0f7cc3-c266-472c-a05b-c6f864bb8450">
      <Value>95</Value>
      <Value>111</Value>
      <Value>127</Value>
      <Value>123</Value>
      <Value>1</Value>
      <Value>119</Value>
    </TaxCatchAl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Population</TermName>
          <TermId xmlns="http://schemas.microsoft.com/office/infopath/2007/PartnerControls">dfc189bb-46ec-4771-b471-77807c301c0c</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6c3274b6-b69c-4e3d-aaf0-e8ca3b4e977b</TermId>
        </TermInfo>
        <TermInfo xmlns="http://schemas.microsoft.com/office/infopath/2007/PartnerControls">
          <TermName xmlns="http://schemas.microsoft.com/office/infopath/2007/PartnerControls">Natural increase - mortality</TermName>
          <TermId xmlns="http://schemas.microsoft.com/office/infopath/2007/PartnerControls">8d2fcadb-1b14-467f-8683-2d6ffbe56b5a</TermId>
        </TermInfo>
        <TermInfo xmlns="http://schemas.microsoft.com/office/infopath/2007/PartnerControls">
          <TermName xmlns="http://schemas.microsoft.com/office/infopath/2007/PartnerControls">Natural Increase</TermName>
          <TermId xmlns="http://schemas.microsoft.com/office/infopath/2007/PartnerControls">5c96779d-7897-4d8a-9262-8d6cc225874f</TermId>
        </TermInfo>
      </Terms>
    </gfba5f33532c49208d2320ce38cc3c2b>
    <_dlc_DocId xmlns="fe39d773-a83d-4623-ae74-f25711a76616">KFKJJFZ4YKUM-1581742123-1644</_dlc_DocId>
    <_dlc_DocIdUrl xmlns="fe39d773-a83d-4623-ae74-f25711a76616">
      <Url>https://austreasury.sharepoint.com/sites/cenpop-function/_layouts/15/DocIdRedir.aspx?ID=KFKJJFZ4YKUM-1581742123-1644</Url>
      <Description>KFKJJFZ4YKUM-1581742123-1644</Description>
    </_dlc_DocIdUrl>
    <SharedWithUsers xmlns="8a0f7cc3-c266-472c-a05b-c6f864bb8450">
      <UserInfo>
        <DisplayName>Latimer, Nick</DisplayName>
        <AccountId>398</AccountId>
        <AccountType/>
      </UserInfo>
      <UserInfo>
        <DisplayName>Bathgate, Michael</DisplayName>
        <AccountId>355</AccountId>
        <AccountType/>
      </UserInfo>
      <UserInfo>
        <DisplayName>Chia, Nick</DisplayName>
        <AccountId>31</AccountId>
        <AccountType/>
      </UserInfo>
      <UserInfo>
        <DisplayName>Phal, Elijah</DisplayName>
        <AccountId>692</AccountId>
        <AccountType/>
      </UserInfo>
      <UserInfo>
        <DisplayName>Cleland, Alexander</DisplayName>
        <AccountId>49</AccountId>
        <AccountType/>
      </UserInfo>
      <UserInfo>
        <DisplayName>Bursill, Seth</DisplayName>
        <AccountId>627</AccountId>
        <AccountType/>
      </UserInfo>
      <UserInfo>
        <DisplayName>Jia, Dongwen</DisplayName>
        <AccountId>24</AccountId>
        <AccountType/>
      </UserInfo>
      <UserInfo>
        <DisplayName>McAndrew, Krispin</DisplayName>
        <AccountId>21</AccountId>
        <AccountType/>
      </UserInfo>
    </SharedWithUsers>
    <lcf76f155ced4ddcb4097134ff3c332f xmlns="42f9a59b-0137-452b-8ae7-8982314ddc2f">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3A87A-A7F4-4DE3-B968-792923FD0728}">
  <ds:schemaRefs>
    <ds:schemaRef ds:uri="http://schemas.openxmlformats.org/officeDocument/2006/bibliography"/>
  </ds:schemaRefs>
</ds:datastoreItem>
</file>

<file path=customXml/itemProps2.xml><?xml version="1.0" encoding="utf-8"?>
<ds:datastoreItem xmlns:ds="http://schemas.openxmlformats.org/officeDocument/2006/customXml" ds:itemID="{5282EB52-732C-4C37-A185-2C78206DBAE0}"/>
</file>

<file path=customXml/itemProps3.xml><?xml version="1.0" encoding="utf-8"?>
<ds:datastoreItem xmlns:ds="http://schemas.openxmlformats.org/officeDocument/2006/customXml" ds:itemID="{156B7935-E897-4CEF-A9CB-ECA416D0C1D2}">
  <ds:schemaRefs>
    <ds:schemaRef ds:uri="http://schemas.microsoft.com/office/2006/metadata/properties"/>
    <ds:schemaRef ds:uri="http://schemas.microsoft.com/office/infopath/2007/PartnerControls"/>
    <ds:schemaRef ds:uri="fe39d773-a83d-4623-ae74-f25711a76616"/>
    <ds:schemaRef ds:uri="8a0f7cc3-c266-472c-a05b-c6f864bb8450"/>
  </ds:schemaRefs>
</ds:datastoreItem>
</file>

<file path=customXml/itemProps4.xml><?xml version="1.0" encoding="utf-8"?>
<ds:datastoreItem xmlns:ds="http://schemas.openxmlformats.org/officeDocument/2006/customXml" ds:itemID="{E685E852-B78B-4398-9E53-1DA0168D081D}">
  <ds:schemaRefs>
    <ds:schemaRef ds:uri="http://schemas.microsoft.com/sharepoint/events"/>
  </ds:schemaRefs>
</ds:datastoreItem>
</file>

<file path=customXml/itemProps5.xml><?xml version="1.0" encoding="utf-8"?>
<ds:datastoreItem xmlns:ds="http://schemas.openxmlformats.org/officeDocument/2006/customXml" ds:itemID="{772A7AA2-07B2-4CAF-B398-DAD609B52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Centre for Population Internal.dotx</Template>
  <TotalTime>43</TotalTime>
  <Pages>7</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10960</CharactersWithSpaces>
  <SharedDoc>false</SharedDoc>
  <HLinks>
    <vt:vector size="18" baseType="variant">
      <vt:variant>
        <vt:i4>3342380</vt:i4>
      </vt:variant>
      <vt:variant>
        <vt:i4>3</vt:i4>
      </vt:variant>
      <vt:variant>
        <vt:i4>0</vt:i4>
      </vt:variant>
      <vt:variant>
        <vt:i4>5</vt:i4>
      </vt:variant>
      <vt:variant>
        <vt:lpwstr>https://population.gov.au/publications/statements/2023-population-statement</vt:lpwstr>
      </vt:variant>
      <vt:variant>
        <vt:lpwstr/>
      </vt:variant>
      <vt:variant>
        <vt:i4>3276845</vt:i4>
      </vt:variant>
      <vt:variant>
        <vt:i4>0</vt:i4>
      </vt:variant>
      <vt:variant>
        <vt:i4>0</vt:i4>
      </vt:variant>
      <vt:variant>
        <vt:i4>5</vt:i4>
      </vt:variant>
      <vt:variant>
        <vt:lpwstr>https://population.gov.au/</vt:lpwstr>
      </vt:variant>
      <vt:variant>
        <vt:lpwstr/>
      </vt:variant>
      <vt:variant>
        <vt:i4>3145769</vt:i4>
      </vt:variant>
      <vt:variant>
        <vt:i4>0</vt:i4>
      </vt:variant>
      <vt:variant>
        <vt:i4>0</vt:i4>
      </vt:variant>
      <vt:variant>
        <vt:i4>5</vt:i4>
      </vt:variant>
      <vt:variant>
        <vt:lpwstr>https://www.spectator.co.uk/article/sweden-covid-and-excess-deaths-a-look-at-the-data/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Nick</dc:creator>
  <cp:keywords/>
  <cp:lastModifiedBy>Butler, Lachlan</cp:lastModifiedBy>
  <cp:revision>6</cp:revision>
  <cp:lastPrinted>2024-06-07T05:39:00Z</cp:lastPrinted>
  <dcterms:created xsi:type="dcterms:W3CDTF">2024-06-07T05:36:00Z</dcterms:created>
  <dcterms:modified xsi:type="dcterms:W3CDTF">2024-10-10T23:36:00Z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0x010100CC571B34DE557A49A844A497C42917F5</vt:lpwstr>
  </property>
  <property fmtid="{D5CDD505-2E9C-101B-9397-08002B2CF9AE}" pid="3" name="Project">
    <vt:lpwstr/>
  </property>
  <property fmtid="{D5CDD505-2E9C-101B-9397-08002B2CF9AE}" pid="4" name="TSYStatus">
    <vt:lpwstr/>
  </property>
  <property fmtid="{D5CDD505-2E9C-101B-9397-08002B2CF9AE}" pid="5" name="eTheme">
    <vt:lpwstr>1;#Population|dfc189bb-46ec-4771-b471-77807c301c0c</vt:lpwstr>
  </property>
  <property fmtid="{D5CDD505-2E9C-101B-9397-08002B2CF9AE}" pid="6" name="eDocumentType">
    <vt:lpwstr>123;#Submission|67a4a183-437d-4a4a-b607-df3f133a25c1</vt:lpwstr>
  </property>
  <property fmtid="{D5CDD505-2E9C-101B-9397-08002B2CF9AE}" pid="7" name="eTopic">
    <vt:lpwstr>119;#COVID-19|6c3274b6-b69c-4e3d-aaf0-e8ca3b4e977b;#127;#Natural increase - mortality|8d2fcadb-1b14-467f-8683-2d6ffbe56b5a;#111;#Natural Increase|5c96779d-7897-4d8a-9262-8d6cc225874f</vt:lpwstr>
  </property>
  <property fmtid="{D5CDD505-2E9C-101B-9397-08002B2CF9AE}" pid="8" name="eActivity">
    <vt:lpwstr>95;#Analysis|1c05f84f-a96d-4b64-970a-14a4c22445cc</vt:lpwstr>
  </property>
  <property fmtid="{D5CDD505-2E9C-101B-9397-08002B2CF9AE}" pid="9" name="_dlc_DocIdItemGuid">
    <vt:lpwstr>7ca158d1-4f25-4bf6-be8a-55139762f68e</vt:lpwstr>
  </property>
  <property fmtid="{D5CDD505-2E9C-101B-9397-08002B2CF9AE}" pid="10" name="MSIP_Label_4f932d64-9ab1-4d9b-81d2-a3a8b82dd47d_Enabled">
    <vt:lpwstr>true</vt:lpwstr>
  </property>
  <property fmtid="{D5CDD505-2E9C-101B-9397-08002B2CF9AE}" pid="11" name="MSIP_Label_4f932d64-9ab1-4d9b-81d2-a3a8b82dd47d_SetDate">
    <vt:lpwstr>2024-10-10T23:36:26Z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2e942b80-22cf-416d-931d-b3e658ab5885</vt:lpwstr>
  </property>
  <property fmtid="{D5CDD505-2E9C-101B-9397-08002B2CF9AE}" pid="16" name="MSIP_Label_4f932d64-9ab1-4d9b-81d2-a3a8b82dd47d_ContentBits">
    <vt:lpwstr>0</vt:lpwstr>
  </property>
  <property fmtid="{D5CDD505-2E9C-101B-9397-08002B2CF9AE}" pid="17" name="MediaServiceImageTags">
    <vt:lpwstr/>
  </property>
</Properties>
</file>