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A92C" w14:textId="393FBDC1" w:rsidR="00986A46" w:rsidRPr="008312DB" w:rsidRDefault="0042015A" w:rsidP="008312DB">
      <w:pPr>
        <w:pStyle w:val="Factsheettitle"/>
      </w:pPr>
      <w:r w:rsidRPr="56378164">
        <w:rPr>
          <w:b/>
          <w:bCs/>
        </w:rPr>
        <w:t xml:space="preserve">Mortality trends - </w:t>
      </w:r>
      <w:r w:rsidR="6900F783" w:rsidRPr="56378164">
        <w:rPr>
          <w:b/>
          <w:bCs/>
        </w:rPr>
        <w:t>d</w:t>
      </w:r>
      <w:r w:rsidR="00FA2C17" w:rsidRPr="56378164">
        <w:rPr>
          <w:b/>
          <w:bCs/>
        </w:rPr>
        <w:t>eaths of despair</w:t>
      </w:r>
    </w:p>
    <w:p w14:paraId="6E9BEDAD" w14:textId="135C1E6C" w:rsidR="009D2BC3" w:rsidRDefault="00FA2C17" w:rsidP="0057435B">
      <w:pPr>
        <w:pStyle w:val="Introtext"/>
        <w:rPr>
          <w:b/>
          <w:bCs/>
        </w:rPr>
      </w:pPr>
      <w:r w:rsidRPr="4BB70943">
        <w:rPr>
          <w:b/>
          <w:bCs/>
        </w:rPr>
        <w:t>A comparison of data from Australia, the U</w:t>
      </w:r>
      <w:r w:rsidR="5098EE1D" w:rsidRPr="4BB70943">
        <w:rPr>
          <w:b/>
          <w:bCs/>
        </w:rPr>
        <w:t xml:space="preserve">nited </w:t>
      </w:r>
      <w:r w:rsidRPr="4BB70943">
        <w:rPr>
          <w:b/>
          <w:bCs/>
        </w:rPr>
        <w:t>K</w:t>
      </w:r>
      <w:r w:rsidR="579EE91F" w:rsidRPr="4BB70943">
        <w:rPr>
          <w:b/>
          <w:bCs/>
        </w:rPr>
        <w:t>ingdom</w:t>
      </w:r>
      <w:r w:rsidRPr="4BB70943">
        <w:rPr>
          <w:b/>
          <w:bCs/>
        </w:rPr>
        <w:t xml:space="preserve"> and the U</w:t>
      </w:r>
      <w:r w:rsidR="7BBFB384" w:rsidRPr="4BB70943">
        <w:rPr>
          <w:b/>
          <w:bCs/>
        </w:rPr>
        <w:t xml:space="preserve">nited </w:t>
      </w:r>
      <w:r w:rsidRPr="4BB70943">
        <w:rPr>
          <w:b/>
          <w:bCs/>
        </w:rPr>
        <w:t>S</w:t>
      </w:r>
      <w:r w:rsidR="11D7EA8C" w:rsidRPr="4BB70943">
        <w:rPr>
          <w:b/>
          <w:bCs/>
        </w:rPr>
        <w:t>tates</w:t>
      </w:r>
    </w:p>
    <w:p w14:paraId="6EF9E6E1" w14:textId="0C976A57" w:rsidR="00952F2F" w:rsidRPr="0057435B" w:rsidRDefault="008C1B59" w:rsidP="0057435B">
      <w:pPr>
        <w:pStyle w:val="Heading1"/>
      </w:pPr>
      <w:r>
        <w:t>Key findings</w:t>
      </w:r>
    </w:p>
    <w:p w14:paraId="65F9C345" w14:textId="31246D4B" w:rsidR="00A277AD" w:rsidRDefault="00A277AD" w:rsidP="00A277AD">
      <w:pPr>
        <w:pStyle w:val="NoSpacing"/>
        <w:numPr>
          <w:ilvl w:val="0"/>
          <w:numId w:val="13"/>
        </w:numPr>
        <w:tabs>
          <w:tab w:val="clear" w:pos="720"/>
          <w:tab w:val="num" w:pos="360"/>
        </w:tabs>
        <w:ind w:left="360"/>
      </w:pPr>
      <w:r w:rsidRPr="00A277AD">
        <w:t>In 2021, deaths of despair accounted for 3.4 per cent of all deaths in Australia</w:t>
      </w:r>
      <w:r>
        <w:t>.</w:t>
      </w:r>
    </w:p>
    <w:p w14:paraId="5D28914C" w14:textId="77777777" w:rsidR="00F80F10" w:rsidRDefault="00F80F10" w:rsidP="00F80F10">
      <w:pPr>
        <w:pStyle w:val="NoSpacing"/>
      </w:pPr>
    </w:p>
    <w:p w14:paraId="35FF475D" w14:textId="6BECC9C5" w:rsidR="00A277AD" w:rsidRDefault="00A277AD" w:rsidP="00F80F10">
      <w:pPr>
        <w:pStyle w:val="NoSpacing"/>
        <w:numPr>
          <w:ilvl w:val="0"/>
          <w:numId w:val="13"/>
        </w:numPr>
        <w:tabs>
          <w:tab w:val="clear" w:pos="720"/>
          <w:tab w:val="num" w:pos="360"/>
        </w:tabs>
        <w:ind w:left="360"/>
      </w:pPr>
      <w:r w:rsidRPr="00A277AD">
        <w:t>Suicide is the leading cause of death for Australians aged 15 to 44</w:t>
      </w:r>
      <w:r w:rsidRPr="00F80F10">
        <w:t>.</w:t>
      </w:r>
    </w:p>
    <w:p w14:paraId="5E9A78ED" w14:textId="77777777" w:rsidR="00F80F10" w:rsidRPr="00A277AD" w:rsidRDefault="00F80F10" w:rsidP="00F80F10">
      <w:pPr>
        <w:pStyle w:val="NoSpacing"/>
      </w:pPr>
    </w:p>
    <w:p w14:paraId="39D5E447" w14:textId="193595D0" w:rsidR="00A277AD" w:rsidRDefault="00A277AD" w:rsidP="00F80F10">
      <w:pPr>
        <w:pStyle w:val="NoSpacing"/>
        <w:numPr>
          <w:ilvl w:val="0"/>
          <w:numId w:val="13"/>
        </w:numPr>
        <w:tabs>
          <w:tab w:val="clear" w:pos="720"/>
          <w:tab w:val="num" w:pos="360"/>
        </w:tabs>
        <w:ind w:left="360"/>
      </w:pPr>
      <w:r w:rsidRPr="00A277AD">
        <w:t>Historically, male suicide rates have been 3 to 4 times higher than for females</w:t>
      </w:r>
      <w:r w:rsidR="00F80F10">
        <w:t>.</w:t>
      </w:r>
    </w:p>
    <w:p w14:paraId="3F091CE4" w14:textId="77777777" w:rsidR="00F80F10" w:rsidRPr="00A277AD" w:rsidRDefault="00F80F10" w:rsidP="00F80F10">
      <w:pPr>
        <w:pStyle w:val="NoSpacing"/>
      </w:pPr>
    </w:p>
    <w:p w14:paraId="33A49F19" w14:textId="0D9CD250" w:rsidR="00A277AD" w:rsidRDefault="00A277AD" w:rsidP="00F80F10">
      <w:pPr>
        <w:pStyle w:val="NoSpacing"/>
        <w:numPr>
          <w:ilvl w:val="0"/>
          <w:numId w:val="13"/>
        </w:numPr>
        <w:tabs>
          <w:tab w:val="clear" w:pos="720"/>
          <w:tab w:val="num" w:pos="360"/>
        </w:tabs>
        <w:ind w:left="360"/>
      </w:pPr>
      <w:r>
        <w:t>Unintentional drug</w:t>
      </w:r>
      <w:r w:rsidR="000B4FE6">
        <w:noBreakHyphen/>
      </w:r>
      <w:r>
        <w:t>induced deaths are the second leading cause of death for Australians aged 25 to 44</w:t>
      </w:r>
      <w:r w:rsidR="00F80F10">
        <w:t>.</w:t>
      </w:r>
    </w:p>
    <w:p w14:paraId="015D19E2" w14:textId="77777777" w:rsidR="00F80F10" w:rsidRPr="00A277AD" w:rsidRDefault="00F80F10" w:rsidP="00F80F10">
      <w:pPr>
        <w:pStyle w:val="NoSpacing"/>
      </w:pPr>
    </w:p>
    <w:p w14:paraId="074673B3" w14:textId="25930B7B" w:rsidR="00F80F10" w:rsidRPr="00A277AD" w:rsidRDefault="00A277AD" w:rsidP="5D15EB85">
      <w:pPr>
        <w:pStyle w:val="NoSpacing"/>
        <w:numPr>
          <w:ilvl w:val="0"/>
          <w:numId w:val="13"/>
        </w:numPr>
        <w:tabs>
          <w:tab w:val="clear" w:pos="720"/>
          <w:tab w:val="num" w:pos="360"/>
        </w:tabs>
        <w:ind w:left="360"/>
      </w:pPr>
      <w:r>
        <w:t>In Australia, 65 per cent of drug-induced deaths were unintentional in 2021.</w:t>
      </w:r>
    </w:p>
    <w:p w14:paraId="1E2EA250" w14:textId="1F5DD10C" w:rsidR="00F80F10" w:rsidRPr="00A277AD" w:rsidRDefault="00A277AD" w:rsidP="5D15EB85">
      <w:pPr>
        <w:pStyle w:val="NoSpacing"/>
        <w:tabs>
          <w:tab w:val="num" w:pos="360"/>
        </w:tabs>
        <w:ind w:left="360"/>
      </w:pPr>
      <w:r>
        <w:t xml:space="preserve"> </w:t>
      </w:r>
    </w:p>
    <w:p w14:paraId="5321EF9A" w14:textId="77B37BC8" w:rsidR="00A277AD" w:rsidRPr="00A277AD" w:rsidRDefault="1A40B7E9" w:rsidP="00F80F10">
      <w:pPr>
        <w:pStyle w:val="NoSpacing"/>
        <w:numPr>
          <w:ilvl w:val="0"/>
          <w:numId w:val="13"/>
        </w:numPr>
        <w:tabs>
          <w:tab w:val="clear" w:pos="720"/>
          <w:tab w:val="num" w:pos="360"/>
        </w:tabs>
        <w:ind w:left="360"/>
      </w:pPr>
      <w:r>
        <w:t xml:space="preserve">In 2021, </w:t>
      </w:r>
      <w:r w:rsidR="00F80F10">
        <w:t>91 per cent of alcohol‐induced deaths in Australia were the result of chronic conditions.</w:t>
      </w:r>
    </w:p>
    <w:p w14:paraId="094DD8E7" w14:textId="6EFE9625" w:rsidR="00A277AD" w:rsidRPr="00A277AD" w:rsidRDefault="00A277AD" w:rsidP="4519BFDC">
      <w:pPr>
        <w:pStyle w:val="NoSpacing"/>
        <w:ind w:left="360"/>
        <w:rPr>
          <w:vertAlign w:val="subscript"/>
        </w:rPr>
      </w:pPr>
    </w:p>
    <w:p w14:paraId="103D7796" w14:textId="77777777" w:rsidR="004E073B" w:rsidRPr="0057435B" w:rsidRDefault="004E073B" w:rsidP="00415814">
      <w:pPr>
        <w:pStyle w:val="NoSpacing"/>
      </w:pPr>
    </w:p>
    <w:tbl>
      <w:tblPr>
        <w:tblStyle w:val="BlueBox"/>
        <w:tblW w:w="5000" w:type="pct"/>
        <w:tblLook w:val="01E0" w:firstRow="1" w:lastRow="1" w:firstColumn="1" w:lastColumn="1" w:noHBand="0" w:noVBand="0"/>
      </w:tblPr>
      <w:tblGrid>
        <w:gridCol w:w="9070"/>
      </w:tblGrid>
      <w:tr w:rsidR="008312DB" w14:paraId="1D428D34" w14:textId="77777777" w:rsidTr="00D9782A">
        <w:tc>
          <w:tcPr>
            <w:tcW w:w="5000" w:type="pct"/>
          </w:tcPr>
          <w:p w14:paraId="7F373AE6" w14:textId="0D6A8B3B" w:rsidR="008312DB" w:rsidRPr="0057435B" w:rsidRDefault="008C1B59" w:rsidP="00D9782A">
            <w:pPr>
              <w:pStyle w:val="BoxHeading"/>
            </w:pPr>
            <w:r>
              <w:t>D</w:t>
            </w:r>
            <w:r w:rsidR="00770EB3">
              <w:rPr>
                <w:caps w:val="0"/>
              </w:rPr>
              <w:t>isclaimer</w:t>
            </w:r>
          </w:p>
          <w:p w14:paraId="75C0CE20" w14:textId="77777777" w:rsidR="008C1B59" w:rsidRDefault="008C1B59" w:rsidP="008C1B59">
            <w:pPr>
              <w:pStyle w:val="Dash"/>
              <w:numPr>
                <w:ilvl w:val="0"/>
                <w:numId w:val="0"/>
              </w:numPr>
              <w:ind w:left="284"/>
              <w:rPr>
                <w:rFonts w:eastAsiaTheme="minorEastAsia"/>
              </w:rPr>
            </w:pPr>
            <w:r w:rsidRPr="00FA2C17">
              <w:rPr>
                <w:rFonts w:eastAsiaTheme="minorEastAsia"/>
              </w:rPr>
              <w:t>This document discusses suicide and presents material that some people may find distressing. If this raises any issues for you, these services can help:</w:t>
            </w:r>
            <w:r>
              <w:rPr>
                <w:rFonts w:eastAsiaTheme="minorEastAsia"/>
              </w:rPr>
              <w:t xml:space="preserve"> </w:t>
            </w:r>
          </w:p>
          <w:p w14:paraId="00B09159" w14:textId="3E5B3D67" w:rsidR="008C1B59" w:rsidRDefault="008C1B59" w:rsidP="008C1B59">
            <w:pPr>
              <w:pStyle w:val="Bullet"/>
            </w:pPr>
            <w:r>
              <w:t xml:space="preserve">Lifeline 13 11 14 </w:t>
            </w:r>
          </w:p>
          <w:p w14:paraId="61733EF1" w14:textId="12436632" w:rsidR="008312DB" w:rsidRPr="00BA123B" w:rsidRDefault="00520464" w:rsidP="008C1B59">
            <w:pPr>
              <w:pStyle w:val="Bullet"/>
            </w:pPr>
            <w:r>
              <w:t xml:space="preserve">Suicide </w:t>
            </w:r>
            <w:r w:rsidR="008C1B59">
              <w:t>Call Back Service 1300 659 467</w:t>
            </w:r>
          </w:p>
        </w:tc>
      </w:tr>
    </w:tbl>
    <w:p w14:paraId="7FC36271" w14:textId="77777777" w:rsidR="00F80F10" w:rsidRDefault="00F80F10">
      <w:pPr>
        <w:autoSpaceDE/>
        <w:autoSpaceDN/>
        <w:adjustRightInd/>
        <w:spacing w:before="0" w:after="0"/>
        <w:rPr>
          <w:rFonts w:ascii="Calibri" w:hAnsi="Calibri" w:cs="Arial"/>
          <w:b/>
          <w:caps/>
          <w:color w:val="2F8361" w:themeColor="accent4"/>
          <w:kern w:val="32"/>
          <w:sz w:val="26"/>
          <w:szCs w:val="26"/>
        </w:rPr>
      </w:pPr>
      <w:r>
        <w:br w:type="page"/>
      </w:r>
    </w:p>
    <w:p w14:paraId="1BC1E957" w14:textId="1350BA60" w:rsidR="007F53C0" w:rsidRDefault="00F80F10" w:rsidP="0057435B">
      <w:pPr>
        <w:pStyle w:val="Heading3"/>
      </w:pPr>
      <w:r>
        <w:rPr>
          <w:caps w:val="0"/>
        </w:rPr>
        <w:lastRenderedPageBreak/>
        <w:t>Introduction</w:t>
      </w:r>
    </w:p>
    <w:p w14:paraId="79216C32" w14:textId="6EA556BE" w:rsidR="00045C24" w:rsidRDefault="004E073B" w:rsidP="00F25CF8">
      <w:pPr>
        <w:pStyle w:val="Heading4"/>
      </w:pPr>
      <w:r>
        <w:t>C</w:t>
      </w:r>
      <w:r w:rsidR="00F80F10">
        <w:rPr>
          <w:caps w:val="0"/>
        </w:rPr>
        <w:t>ontext</w:t>
      </w:r>
    </w:p>
    <w:p w14:paraId="71ED3A64" w14:textId="33D4B98F" w:rsidR="004E073B" w:rsidRPr="00876D99" w:rsidRDefault="004E073B" w:rsidP="004E073B">
      <w:r w:rsidRPr="004E073B">
        <w:t xml:space="preserve">The term “deaths of despair” refers to deaths by suicide and those induced by drug or alcohol consumption, whether accidental or intentional. The </w:t>
      </w:r>
      <w:r w:rsidR="00A83585">
        <w:t>term</w:t>
      </w:r>
      <w:r w:rsidRPr="004E073B">
        <w:t xml:space="preserve"> of deaths of despair does not include euthanasia. Deaths of despair have been of recent interest in economic policy, particularly in the United States.</w:t>
      </w:r>
      <w:r w:rsidRPr="004E073B">
        <w:rPr>
          <w:vertAlign w:val="superscript"/>
        </w:rPr>
        <w:t>1</w:t>
      </w:r>
    </w:p>
    <w:p w14:paraId="7FD04570" w14:textId="77777777" w:rsidR="004E073B" w:rsidRPr="00876D99" w:rsidRDefault="004E073B" w:rsidP="004E073B">
      <w:r w:rsidRPr="004E073B">
        <w:t>In 2021, deaths of despair accounted for 3.4 per cent of all deaths in Australia. Research in the United States identified deaths of despair as a phenomenon that had emerged over a number of years, under very specific circumstances.</w:t>
      </w:r>
      <w:r w:rsidRPr="004E073B">
        <w:rPr>
          <w:vertAlign w:val="superscript"/>
        </w:rPr>
        <w:t>2</w:t>
      </w:r>
      <w:r w:rsidRPr="004E073B">
        <w:t xml:space="preserve"> </w:t>
      </w:r>
    </w:p>
    <w:p w14:paraId="66324776" w14:textId="4E51135D" w:rsidR="004E073B" w:rsidRDefault="004E073B" w:rsidP="004E073B">
      <w:r w:rsidRPr="004E073B">
        <w:t>Deaths of despair have also received attention in Australia, as mortality rates for these causes of death have not improved at the same rate as for other causes. There has been growing focus on the interaction between mental health and policy responses to improve outcomes.</w:t>
      </w:r>
    </w:p>
    <w:p w14:paraId="1559A6AE" w14:textId="14A4D5EA" w:rsidR="004E073B" w:rsidRDefault="004E073B" w:rsidP="004E073B">
      <w:pPr>
        <w:pStyle w:val="Heading4"/>
      </w:pPr>
      <w:r>
        <w:t>s</w:t>
      </w:r>
      <w:r w:rsidR="00F80F10">
        <w:rPr>
          <w:caps w:val="0"/>
        </w:rPr>
        <w:t xml:space="preserve">cope </w:t>
      </w:r>
    </w:p>
    <w:p w14:paraId="2D712522" w14:textId="7F0FC753" w:rsidR="004E073B" w:rsidRPr="004E073B" w:rsidRDefault="004E073B" w:rsidP="004E073B">
      <w:r w:rsidRPr="004E073B">
        <w:t xml:space="preserve">This </w:t>
      </w:r>
      <w:r w:rsidR="00767E31">
        <w:t>analysis</w:t>
      </w:r>
      <w:r w:rsidRPr="004E073B">
        <w:t xml:space="preserve"> compares the recent history of such deaths in Australia, the U</w:t>
      </w:r>
      <w:r w:rsidR="00767E31">
        <w:t xml:space="preserve">nited </w:t>
      </w:r>
      <w:r w:rsidRPr="004E073B">
        <w:t>K</w:t>
      </w:r>
      <w:r w:rsidR="00767E31">
        <w:t>ingdom</w:t>
      </w:r>
      <w:r w:rsidRPr="004E073B">
        <w:t xml:space="preserve"> (or parts of)</w:t>
      </w:r>
      <w:r w:rsidR="00922757">
        <w:rPr>
          <w:rStyle w:val="EndnoteReference"/>
        </w:rPr>
        <w:endnoteReference w:id="2"/>
      </w:r>
      <w:r w:rsidRPr="004E073B">
        <w:t xml:space="preserve"> and the U</w:t>
      </w:r>
      <w:r w:rsidR="00767E31">
        <w:t xml:space="preserve">nited </w:t>
      </w:r>
      <w:r w:rsidRPr="004E073B">
        <w:t>S</w:t>
      </w:r>
      <w:r w:rsidR="00767E31">
        <w:t>tates</w:t>
      </w:r>
      <w:r w:rsidRPr="004E073B">
        <w:t>, looking at historical trends and the first two years of the COVID-19 pandemic. These countries were selected due to cultural similarities and the availability of comparable data. </w:t>
      </w:r>
    </w:p>
    <w:p w14:paraId="68AA6463" w14:textId="3F2F8C3F" w:rsidR="004E073B" w:rsidRPr="004E073B" w:rsidRDefault="004E073B" w:rsidP="004E073B">
      <w:r w:rsidRPr="004E073B">
        <w:t xml:space="preserve">This </w:t>
      </w:r>
      <w:r w:rsidR="006760BF">
        <w:t>analysis</w:t>
      </w:r>
      <w:r w:rsidRPr="004E073B">
        <w:t xml:space="preserve"> uses age-standardised death rates to account for differences in size and age structure of the populations, allowing for the comparison of mortality experiences across time and countries. </w:t>
      </w:r>
    </w:p>
    <w:p w14:paraId="6BDA1E67" w14:textId="73AA9786" w:rsidR="004E073B" w:rsidRPr="004E073B" w:rsidRDefault="004E073B" w:rsidP="004E073B">
      <w:r w:rsidRPr="004E073B">
        <w:t xml:space="preserve">This </w:t>
      </w:r>
      <w:r w:rsidR="00D36602">
        <w:t>analysis</w:t>
      </w:r>
      <w:r w:rsidRPr="004E073B">
        <w:t xml:space="preserve"> only considers historical data, which often lag. Lead indicators could provide a more complete picture of deaths of despair, but these are not within the scope of this analysis. The data within this </w:t>
      </w:r>
      <w:r w:rsidR="00FC6D40">
        <w:t>analysis</w:t>
      </w:r>
      <w:r w:rsidRPr="004E073B">
        <w:t xml:space="preserve"> was current as at September 2023.</w:t>
      </w:r>
    </w:p>
    <w:p w14:paraId="12B801F5" w14:textId="22E38489" w:rsidR="00A277AD" w:rsidRDefault="00A277AD" w:rsidP="00A277AD">
      <w:r w:rsidRPr="00A277AD">
        <w:t xml:space="preserve">This </w:t>
      </w:r>
      <w:r w:rsidR="00FC6D40">
        <w:t>analys</w:t>
      </w:r>
      <w:r w:rsidR="003F7BBA">
        <w:t>is</w:t>
      </w:r>
      <w:r w:rsidRPr="00A277AD">
        <w:t xml:space="preserve"> </w:t>
      </w:r>
      <w:r w:rsidR="003F7BBA">
        <w:t>looks at</w:t>
      </w:r>
      <w:r w:rsidRPr="00A277AD">
        <w:t xml:space="preserve"> trends for the overall population, as well as by age and sex. Underneath the overall trends, there may be differences between people of different characteristics, for example by income, education, race, indigenous status and for the LGBTIQA+ community. </w:t>
      </w:r>
    </w:p>
    <w:p w14:paraId="73A3502C" w14:textId="3DB9CD52" w:rsidR="00EE562A" w:rsidRPr="00A277AD" w:rsidRDefault="0058606A" w:rsidP="00EE562A">
      <w:pPr>
        <w:pStyle w:val="Heading4"/>
      </w:pPr>
      <w:r>
        <w:t>s</w:t>
      </w:r>
      <w:r>
        <w:rPr>
          <w:caps w:val="0"/>
        </w:rPr>
        <w:t>ummary</w:t>
      </w:r>
    </w:p>
    <w:p w14:paraId="609356B7" w14:textId="096072C1" w:rsidR="00F80F10" w:rsidRDefault="008C1B59" w:rsidP="00F80F10">
      <w:pPr>
        <w:pStyle w:val="NoSpacing"/>
        <w:numPr>
          <w:ilvl w:val="0"/>
          <w:numId w:val="13"/>
        </w:numPr>
        <w:tabs>
          <w:tab w:val="clear" w:pos="720"/>
          <w:tab w:val="num" w:pos="360"/>
        </w:tabs>
        <w:ind w:left="360"/>
      </w:pPr>
      <w:r w:rsidRPr="008C1B59">
        <w:rPr>
          <w:b/>
          <w:bCs/>
        </w:rPr>
        <w:t>U</w:t>
      </w:r>
      <w:r w:rsidR="00D86C7D">
        <w:rPr>
          <w:b/>
          <w:bCs/>
        </w:rPr>
        <w:t xml:space="preserve">nited </w:t>
      </w:r>
      <w:r w:rsidRPr="008C1B59">
        <w:rPr>
          <w:b/>
          <w:bCs/>
        </w:rPr>
        <w:t>S</w:t>
      </w:r>
      <w:r w:rsidR="00D86C7D">
        <w:rPr>
          <w:b/>
          <w:bCs/>
        </w:rPr>
        <w:t>tates</w:t>
      </w:r>
      <w:r w:rsidRPr="008C1B59">
        <w:rPr>
          <w:b/>
          <w:bCs/>
        </w:rPr>
        <w:t>:</w:t>
      </w:r>
      <w:r w:rsidRPr="008C1B59">
        <w:t xml:space="preserve"> there has been a dramatic rise in rates of suicide, and drug‐ and alcohol-induced deaths since the late 1990s. Synthetic opioid use has driven the significant increase in drug‐induced death rates since the 2010s.</w:t>
      </w:r>
    </w:p>
    <w:p w14:paraId="0F729DCC" w14:textId="77777777" w:rsidR="008C1B59" w:rsidRPr="008C1B59" w:rsidRDefault="008C1B59" w:rsidP="00F80F10">
      <w:pPr>
        <w:pStyle w:val="NoSpacing"/>
        <w:ind w:left="360"/>
      </w:pPr>
    </w:p>
    <w:p w14:paraId="3B1C637E" w14:textId="3C61237E" w:rsidR="00F80F10" w:rsidRDefault="008C1B59" w:rsidP="00F80F10">
      <w:pPr>
        <w:pStyle w:val="NoSpacing"/>
        <w:numPr>
          <w:ilvl w:val="0"/>
          <w:numId w:val="13"/>
        </w:numPr>
        <w:tabs>
          <w:tab w:val="clear" w:pos="720"/>
          <w:tab w:val="num" w:pos="360"/>
        </w:tabs>
        <w:ind w:left="360"/>
      </w:pPr>
      <w:r w:rsidRPr="008C1B59">
        <w:rPr>
          <w:b/>
          <w:bCs/>
        </w:rPr>
        <w:t>Australia:</w:t>
      </w:r>
      <w:r w:rsidRPr="008C1B59">
        <w:t xml:space="preserve"> deaths of despair have been more stable than in the U</w:t>
      </w:r>
      <w:r w:rsidR="00CA0871">
        <w:t xml:space="preserve">nited </w:t>
      </w:r>
      <w:r w:rsidRPr="008C1B59">
        <w:t>S</w:t>
      </w:r>
      <w:r w:rsidR="00CA0871">
        <w:t>tates</w:t>
      </w:r>
      <w:r w:rsidRPr="008C1B59">
        <w:t>, with no evidence of a similar increase in opioid-related deaths, and relatively low rates of alcohol-induced death. While suicide and drug-induced death rates fell in the early 2000s, they have increased in recent years.</w:t>
      </w:r>
    </w:p>
    <w:p w14:paraId="4B219E15" w14:textId="77777777" w:rsidR="008C1B59" w:rsidRPr="008C1B59" w:rsidRDefault="008C1B59" w:rsidP="00F80F10">
      <w:pPr>
        <w:pStyle w:val="NoSpacing"/>
        <w:ind w:left="-360"/>
      </w:pPr>
    </w:p>
    <w:p w14:paraId="63BA6624" w14:textId="71AD3F60" w:rsidR="00F80F10" w:rsidRDefault="008C1B59" w:rsidP="00F80F10">
      <w:pPr>
        <w:pStyle w:val="NoSpacing"/>
        <w:numPr>
          <w:ilvl w:val="0"/>
          <w:numId w:val="13"/>
        </w:numPr>
        <w:tabs>
          <w:tab w:val="clear" w:pos="720"/>
          <w:tab w:val="num" w:pos="360"/>
        </w:tabs>
        <w:ind w:left="360"/>
      </w:pPr>
      <w:r w:rsidRPr="008C1B59">
        <w:rPr>
          <w:b/>
          <w:bCs/>
        </w:rPr>
        <w:t>U</w:t>
      </w:r>
      <w:r w:rsidR="00D86C7D">
        <w:rPr>
          <w:b/>
          <w:bCs/>
        </w:rPr>
        <w:t xml:space="preserve">nited </w:t>
      </w:r>
      <w:r w:rsidRPr="008C1B59">
        <w:rPr>
          <w:b/>
          <w:bCs/>
        </w:rPr>
        <w:t>K</w:t>
      </w:r>
      <w:r w:rsidR="00D86C7D">
        <w:rPr>
          <w:b/>
          <w:bCs/>
        </w:rPr>
        <w:t>ingdom</w:t>
      </w:r>
      <w:r w:rsidRPr="008C1B59">
        <w:rPr>
          <w:b/>
          <w:bCs/>
        </w:rPr>
        <w:t>:</w:t>
      </w:r>
      <w:r w:rsidRPr="008C1B59">
        <w:t xml:space="preserve"> in England and Wales, suicide rates have fallen over the past 40 years and drug‐related deaths remain lower than in the U</w:t>
      </w:r>
      <w:r w:rsidR="00CA0871">
        <w:t xml:space="preserve">nited </w:t>
      </w:r>
      <w:r w:rsidRPr="008C1B59">
        <w:t>S</w:t>
      </w:r>
      <w:r w:rsidR="00CA0871">
        <w:t>tates</w:t>
      </w:r>
      <w:r w:rsidRPr="008C1B59">
        <w:t>. However, alcohol-induced death rates remain high.</w:t>
      </w:r>
    </w:p>
    <w:p w14:paraId="00ED5D1B" w14:textId="77777777" w:rsidR="008C1B59" w:rsidRPr="008C1B59" w:rsidRDefault="008C1B59" w:rsidP="00F80F10">
      <w:pPr>
        <w:pStyle w:val="NoSpacing"/>
        <w:ind w:left="-360"/>
      </w:pPr>
    </w:p>
    <w:p w14:paraId="2D19891C" w14:textId="77777777" w:rsidR="00F80F10" w:rsidRDefault="008C1B59" w:rsidP="00F80F10">
      <w:pPr>
        <w:pStyle w:val="NoSpacing"/>
        <w:numPr>
          <w:ilvl w:val="0"/>
          <w:numId w:val="13"/>
        </w:numPr>
        <w:tabs>
          <w:tab w:val="clear" w:pos="720"/>
          <w:tab w:val="num" w:pos="360"/>
        </w:tabs>
        <w:ind w:left="360"/>
      </w:pPr>
      <w:r w:rsidRPr="008C1B59">
        <w:rPr>
          <w:b/>
          <w:bCs/>
        </w:rPr>
        <w:t xml:space="preserve">Age and sex: </w:t>
      </w:r>
      <w:r w:rsidRPr="008C1B59">
        <w:t>deaths of despair remain significantly higher for men than women across all three countries. While suicide is a leading cause of death for younger people, rates remain highest for those in middle age.</w:t>
      </w:r>
    </w:p>
    <w:p w14:paraId="47ADC8C5" w14:textId="77777777" w:rsidR="008C1B59" w:rsidRPr="008C1B59" w:rsidRDefault="008C1B59" w:rsidP="00F80F10">
      <w:pPr>
        <w:pStyle w:val="NoSpacing"/>
        <w:ind w:left="-360"/>
      </w:pPr>
    </w:p>
    <w:p w14:paraId="70FC0B7D" w14:textId="2622CE31" w:rsidR="008C1B59" w:rsidRPr="008C1B59" w:rsidRDefault="008C1B59" w:rsidP="00F80F10">
      <w:pPr>
        <w:pStyle w:val="NoSpacing"/>
        <w:numPr>
          <w:ilvl w:val="0"/>
          <w:numId w:val="13"/>
        </w:numPr>
        <w:tabs>
          <w:tab w:val="clear" w:pos="720"/>
          <w:tab w:val="num" w:pos="360"/>
        </w:tabs>
        <w:ind w:left="360"/>
      </w:pPr>
      <w:r w:rsidRPr="008C1B59">
        <w:rPr>
          <w:b/>
          <w:bCs/>
        </w:rPr>
        <w:t>The first two years of the pandemic</w:t>
      </w:r>
      <w:r w:rsidR="007670BB">
        <w:rPr>
          <w:b/>
          <w:bCs/>
        </w:rPr>
        <w:t>:</w:t>
      </w:r>
      <w:r w:rsidRPr="008C1B59">
        <w:rPr>
          <w:b/>
          <w:bCs/>
        </w:rPr>
        <w:t xml:space="preserve"> </w:t>
      </w:r>
      <w:r w:rsidR="00145CA1" w:rsidRPr="00884999">
        <w:t>L</w:t>
      </w:r>
      <w:r w:rsidRPr="00884999">
        <w:t>ong</w:t>
      </w:r>
      <w:r w:rsidR="00884999" w:rsidRPr="00884999">
        <w:t xml:space="preserve"> </w:t>
      </w:r>
      <w:r w:rsidRPr="00884999">
        <w:t>term trends in Australia</w:t>
      </w:r>
      <w:r w:rsidR="00884999" w:rsidRPr="00884999">
        <w:t xml:space="preserve"> did not accelerate</w:t>
      </w:r>
      <w:r w:rsidRPr="008C1B59">
        <w:t>. The U</w:t>
      </w:r>
      <w:r w:rsidR="00D70423">
        <w:t xml:space="preserve">nited </w:t>
      </w:r>
      <w:r w:rsidRPr="008C1B59">
        <w:t>S</w:t>
      </w:r>
      <w:r w:rsidR="00D70423">
        <w:t>tates</w:t>
      </w:r>
      <w:r w:rsidRPr="008C1B59">
        <w:t xml:space="preserve"> and U</w:t>
      </w:r>
      <w:r w:rsidR="00D70423">
        <w:t xml:space="preserve">nited </w:t>
      </w:r>
      <w:r w:rsidRPr="008C1B59">
        <w:t>K</w:t>
      </w:r>
      <w:r w:rsidR="00D70423">
        <w:t>ingdom</w:t>
      </w:r>
      <w:r w:rsidRPr="008C1B59">
        <w:t xml:space="preserve"> experienced increases in deaths induced by drugs (U</w:t>
      </w:r>
      <w:r w:rsidR="00646B40">
        <w:t xml:space="preserve">nited </w:t>
      </w:r>
      <w:r w:rsidRPr="008C1B59">
        <w:t>S</w:t>
      </w:r>
      <w:r w:rsidR="00646B40">
        <w:t>tates</w:t>
      </w:r>
      <w:r w:rsidRPr="008C1B59">
        <w:t>) and alcohol (U</w:t>
      </w:r>
      <w:r w:rsidR="00646B40">
        <w:t xml:space="preserve">nited </w:t>
      </w:r>
      <w:r w:rsidRPr="008C1B59">
        <w:t>S</w:t>
      </w:r>
      <w:r w:rsidR="00646B40">
        <w:t>tates</w:t>
      </w:r>
      <w:r w:rsidRPr="008C1B59">
        <w:t xml:space="preserve"> and U</w:t>
      </w:r>
      <w:r w:rsidR="00646B40">
        <w:t xml:space="preserve">nited </w:t>
      </w:r>
      <w:r w:rsidRPr="008C1B59">
        <w:t>K</w:t>
      </w:r>
      <w:r w:rsidR="00646B40">
        <w:t>ingdom</w:t>
      </w:r>
      <w:r w:rsidRPr="008C1B59">
        <w:t>).</w:t>
      </w:r>
    </w:p>
    <w:p w14:paraId="1EBD3F3C" w14:textId="3FBF2A09" w:rsidR="00510941" w:rsidRDefault="00510941">
      <w:pPr>
        <w:autoSpaceDE/>
        <w:autoSpaceDN/>
        <w:adjustRightInd/>
        <w:spacing w:before="0" w:after="0"/>
      </w:pPr>
      <w:r>
        <w:br w:type="page"/>
      </w:r>
    </w:p>
    <w:p w14:paraId="6A493EC7" w14:textId="75156052" w:rsidR="00510941" w:rsidRDefault="00510941" w:rsidP="00510941">
      <w:pPr>
        <w:pStyle w:val="Heading3"/>
      </w:pPr>
      <w:r>
        <w:rPr>
          <w:caps w:val="0"/>
        </w:rPr>
        <w:lastRenderedPageBreak/>
        <w:t xml:space="preserve">Suicide – </w:t>
      </w:r>
      <w:r w:rsidR="00622B74">
        <w:rPr>
          <w:caps w:val="0"/>
        </w:rPr>
        <w:t>r</w:t>
      </w:r>
      <w:r>
        <w:rPr>
          <w:caps w:val="0"/>
        </w:rPr>
        <w:t>ecent trends</w:t>
      </w:r>
    </w:p>
    <w:p w14:paraId="4DFB3E6D" w14:textId="0635A9CF" w:rsidR="00510941" w:rsidRDefault="00510941" w:rsidP="00510941">
      <w:pPr>
        <w:pStyle w:val="Heading4"/>
      </w:pPr>
      <w:r>
        <w:t>A</w:t>
      </w:r>
      <w:r>
        <w:rPr>
          <w:caps w:val="0"/>
        </w:rPr>
        <w:t>ustralia</w:t>
      </w:r>
    </w:p>
    <w:p w14:paraId="7DA02A8F" w14:textId="77777777" w:rsidR="00510941" w:rsidRDefault="00510941" w:rsidP="00510941">
      <w:r w:rsidRPr="00510941">
        <w:t xml:space="preserve">Following a peak in the 1990s, suicide rates decreased significantly for all age groups in the early 2000s. Rates rose steadily between 2006 and 2015, at which point they stabilised. </w:t>
      </w:r>
    </w:p>
    <w:p w14:paraId="25B3A467" w14:textId="5D4A11F7" w:rsidR="00510941" w:rsidRPr="00510941" w:rsidRDefault="00510941" w:rsidP="00510941">
      <w:r w:rsidRPr="00510941">
        <w:t>This rise was relatively consistent across age groups.</w:t>
      </w:r>
      <w:r w:rsidRPr="00510941">
        <w:rPr>
          <w:vertAlign w:val="superscript"/>
        </w:rPr>
        <w:t>3</w:t>
      </w:r>
      <w:r w:rsidRPr="00510941">
        <w:t xml:space="preserve"> Over the period 2019-2021, suicide was the leading cause of death for Australians aged 15-44.</w:t>
      </w:r>
      <w:r w:rsidRPr="00510941">
        <w:rPr>
          <w:vertAlign w:val="superscript"/>
        </w:rPr>
        <w:t>4</w:t>
      </w:r>
      <w:r w:rsidRPr="00510941">
        <w:t xml:space="preserve"> </w:t>
      </w:r>
    </w:p>
    <w:p w14:paraId="5DE18BF2" w14:textId="441B7B55" w:rsidR="00510941" w:rsidRDefault="00510941" w:rsidP="00510941">
      <w:pPr>
        <w:pStyle w:val="Heading4"/>
        <w:rPr>
          <w:caps w:val="0"/>
        </w:rPr>
      </w:pPr>
      <w:r>
        <w:t>E</w:t>
      </w:r>
      <w:r>
        <w:rPr>
          <w:caps w:val="0"/>
        </w:rPr>
        <w:t>ngland and Wales</w:t>
      </w:r>
    </w:p>
    <w:p w14:paraId="55E2F04D" w14:textId="77777777" w:rsidR="00510941" w:rsidRDefault="00510941" w:rsidP="00510941">
      <w:r w:rsidRPr="00510941">
        <w:t>Suicide rates have declined by about 30 per cent over the past 40 years.</w:t>
      </w:r>
      <w:r w:rsidRPr="00510941">
        <w:rPr>
          <w:vertAlign w:val="superscript"/>
        </w:rPr>
        <w:t>5</w:t>
      </w:r>
      <w:r w:rsidRPr="00510941">
        <w:t xml:space="preserve"> This has almost entirely been driven by large decreases among people aged 65 and over. </w:t>
      </w:r>
    </w:p>
    <w:p w14:paraId="7120C0A4" w14:textId="77777777" w:rsidR="00510941" w:rsidRDefault="00510941" w:rsidP="00510941">
      <w:r w:rsidRPr="00510941">
        <w:t>While these age groups had some of the highest suicide rates in the early 1980s, they are now lower than all but the youngest age groups</w:t>
      </w:r>
      <w:r w:rsidRPr="00510941">
        <w:rPr>
          <w:vertAlign w:val="superscript"/>
        </w:rPr>
        <w:t>6, 7</w:t>
      </w:r>
      <w:r w:rsidRPr="00510941">
        <w:t xml:space="preserve">. </w:t>
      </w:r>
    </w:p>
    <w:p w14:paraId="2610A454" w14:textId="7A963FF6" w:rsidR="00510941" w:rsidRDefault="00510941" w:rsidP="00510941">
      <w:r w:rsidRPr="00510941">
        <w:t xml:space="preserve">England and Wales experienced a low in suicide rates in the mid-2000s, with rates only slightly higher in recent years. </w:t>
      </w:r>
    </w:p>
    <w:p w14:paraId="089FC201" w14:textId="0B09BAFE" w:rsidR="0021452D" w:rsidRDefault="0021452D" w:rsidP="0021452D">
      <w:pPr>
        <w:pStyle w:val="Heading4"/>
        <w:rPr>
          <w:caps w:val="0"/>
        </w:rPr>
      </w:pPr>
      <w:r>
        <w:t>U</w:t>
      </w:r>
      <w:r>
        <w:rPr>
          <w:caps w:val="0"/>
        </w:rPr>
        <w:t xml:space="preserve">nited </w:t>
      </w:r>
      <w:r w:rsidR="00EF217B">
        <w:rPr>
          <w:caps w:val="0"/>
        </w:rPr>
        <w:t>S</w:t>
      </w:r>
      <w:r>
        <w:rPr>
          <w:caps w:val="0"/>
        </w:rPr>
        <w:t>tates</w:t>
      </w:r>
    </w:p>
    <w:p w14:paraId="59938F9F" w14:textId="2B59A8A3" w:rsidR="0021452D" w:rsidRDefault="0021452D" w:rsidP="0021452D">
      <w:r w:rsidRPr="0021452D">
        <w:t>Suicide rates for all age groups have steadily increased from the early 2000s to the late 2010s, except for males aged 75+.</w:t>
      </w:r>
      <w:r w:rsidRPr="0021452D">
        <w:rPr>
          <w:vertAlign w:val="superscript"/>
        </w:rPr>
        <w:t>8</w:t>
      </w:r>
      <w:r w:rsidRPr="0021452D">
        <w:t xml:space="preserve"> </w:t>
      </w:r>
    </w:p>
    <w:p w14:paraId="2CED90A8" w14:textId="7CF92419" w:rsidR="00472BD1" w:rsidRDefault="0021452D" w:rsidP="00510941">
      <w:pPr>
        <w:rPr>
          <w:vertAlign w:val="superscript"/>
        </w:rPr>
      </w:pPr>
      <w:r w:rsidRPr="0021452D">
        <w:t xml:space="preserve">This rise has predominantly been driven by a significant increase in rates for the non-Hispanic white population, a group often associated with deaths of despair in academic literature. </w:t>
      </w:r>
      <w:r w:rsidRPr="0021452D">
        <w:rPr>
          <w:vertAlign w:val="superscript"/>
        </w:rPr>
        <w:t>9,10,11</w:t>
      </w:r>
    </w:p>
    <w:p w14:paraId="50F888FB" w14:textId="77777777" w:rsidR="00107C0A" w:rsidRDefault="00107C0A" w:rsidP="00510941">
      <w:pPr>
        <w:rPr>
          <w:vertAlign w:val="superscript"/>
        </w:rPr>
      </w:pPr>
    </w:p>
    <w:p w14:paraId="6010F83D" w14:textId="77777777" w:rsidR="00472BD1" w:rsidRDefault="00472BD1" w:rsidP="00472BD1">
      <w:pPr>
        <w:pStyle w:val="TableChartFigureHeading"/>
      </w:pPr>
      <w:r>
        <w:t>Table 1: Summary statistics, suicide deaths, 2021</w:t>
      </w:r>
    </w:p>
    <w:tbl>
      <w:tblPr>
        <w:tblStyle w:val="TableGrid"/>
        <w:tblW w:w="0" w:type="auto"/>
        <w:tblLook w:val="04A0" w:firstRow="1" w:lastRow="0" w:firstColumn="1" w:lastColumn="0" w:noHBand="0" w:noVBand="1"/>
      </w:tblPr>
      <w:tblGrid>
        <w:gridCol w:w="2265"/>
        <w:gridCol w:w="2265"/>
        <w:gridCol w:w="2265"/>
        <w:gridCol w:w="2265"/>
      </w:tblGrid>
      <w:tr w:rsidR="00472BD1" w14:paraId="5586324E" w14:textId="77777777" w:rsidTr="00D9782A">
        <w:tc>
          <w:tcPr>
            <w:tcW w:w="2265" w:type="dxa"/>
            <w:shd w:val="clear" w:color="auto" w:fill="002C47" w:themeFill="accent1"/>
          </w:tcPr>
          <w:p w14:paraId="7C03457A" w14:textId="77777777" w:rsidR="00472BD1" w:rsidRPr="00D86C7D" w:rsidRDefault="00472BD1" w:rsidP="00D9782A">
            <w:pPr>
              <w:pStyle w:val="TableChartFigureHeading"/>
              <w:pBdr>
                <w:top w:val="none" w:sz="0" w:space="0" w:color="auto"/>
              </w:pBdr>
              <w:rPr>
                <w:color w:val="FFFFFF" w:themeColor="background1"/>
              </w:rPr>
            </w:pPr>
          </w:p>
        </w:tc>
        <w:tc>
          <w:tcPr>
            <w:tcW w:w="2265" w:type="dxa"/>
            <w:shd w:val="clear" w:color="auto" w:fill="002C47" w:themeFill="accent1"/>
            <w:vAlign w:val="center"/>
          </w:tcPr>
          <w:p w14:paraId="248D6450"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Australia</w:t>
            </w:r>
          </w:p>
        </w:tc>
        <w:tc>
          <w:tcPr>
            <w:tcW w:w="2265" w:type="dxa"/>
            <w:shd w:val="clear" w:color="auto" w:fill="002C47" w:themeFill="accent1"/>
            <w:vAlign w:val="center"/>
          </w:tcPr>
          <w:p w14:paraId="5F4E28CD"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England and Wales</w:t>
            </w:r>
          </w:p>
        </w:tc>
        <w:tc>
          <w:tcPr>
            <w:tcW w:w="2265" w:type="dxa"/>
            <w:shd w:val="clear" w:color="auto" w:fill="002C47" w:themeFill="accent1"/>
            <w:vAlign w:val="center"/>
          </w:tcPr>
          <w:p w14:paraId="54803536"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United States</w:t>
            </w:r>
          </w:p>
        </w:tc>
      </w:tr>
      <w:tr w:rsidR="00472BD1" w14:paraId="07601183" w14:textId="77777777" w:rsidTr="00D9782A">
        <w:tc>
          <w:tcPr>
            <w:tcW w:w="2265" w:type="dxa"/>
            <w:shd w:val="clear" w:color="auto" w:fill="16578B" w:themeFill="accent2" w:themeFillShade="BF"/>
            <w:vAlign w:val="center"/>
          </w:tcPr>
          <w:p w14:paraId="1844C470" w14:textId="77777777" w:rsidR="00472BD1" w:rsidRPr="00D86C7D" w:rsidRDefault="00472BD1" w:rsidP="00D9782A">
            <w:pPr>
              <w:pStyle w:val="TableChartFigureHeading"/>
              <w:pBdr>
                <w:top w:val="none" w:sz="0" w:space="0" w:color="auto"/>
              </w:pBdr>
              <w:rPr>
                <w:color w:val="FFFFFF" w:themeColor="background1"/>
              </w:rPr>
            </w:pPr>
            <w:r w:rsidRPr="00D86C7D">
              <w:rPr>
                <w:color w:val="FFFFFF" w:themeColor="background1"/>
              </w:rPr>
              <w:t>Age-standardised death rate (per 100,000)</w:t>
            </w:r>
          </w:p>
        </w:tc>
        <w:tc>
          <w:tcPr>
            <w:tcW w:w="2265" w:type="dxa"/>
            <w:vAlign w:val="center"/>
          </w:tcPr>
          <w:p w14:paraId="2130B7F5" w14:textId="77777777" w:rsidR="00472BD1" w:rsidRDefault="00472BD1" w:rsidP="00D9782A">
            <w:pPr>
              <w:pStyle w:val="TableChartFigureHeading"/>
              <w:pBdr>
                <w:top w:val="none" w:sz="0" w:space="0" w:color="auto"/>
              </w:pBdr>
              <w:jc w:val="center"/>
            </w:pPr>
            <w:r>
              <w:t>12.0</w:t>
            </w:r>
          </w:p>
        </w:tc>
        <w:tc>
          <w:tcPr>
            <w:tcW w:w="2265" w:type="dxa"/>
            <w:vAlign w:val="center"/>
          </w:tcPr>
          <w:p w14:paraId="650DFF7A" w14:textId="77777777" w:rsidR="00472BD1" w:rsidRDefault="00472BD1" w:rsidP="00D9782A">
            <w:pPr>
              <w:pStyle w:val="TableChartFigureHeading"/>
              <w:pBdr>
                <w:top w:val="none" w:sz="0" w:space="0" w:color="auto"/>
              </w:pBdr>
              <w:jc w:val="center"/>
            </w:pPr>
            <w:r>
              <w:t>10.7</w:t>
            </w:r>
          </w:p>
        </w:tc>
        <w:tc>
          <w:tcPr>
            <w:tcW w:w="2265" w:type="dxa"/>
            <w:vAlign w:val="center"/>
          </w:tcPr>
          <w:p w14:paraId="650EE47A" w14:textId="77777777" w:rsidR="00472BD1" w:rsidRDefault="00472BD1" w:rsidP="00D9782A">
            <w:pPr>
              <w:pStyle w:val="TableChartFigureHeading"/>
              <w:pBdr>
                <w:top w:val="none" w:sz="0" w:space="0" w:color="auto"/>
              </w:pBdr>
              <w:jc w:val="center"/>
            </w:pPr>
            <w:r>
              <w:t>14.1</w:t>
            </w:r>
          </w:p>
        </w:tc>
      </w:tr>
      <w:tr w:rsidR="00472BD1" w14:paraId="1CA459D1" w14:textId="77777777" w:rsidTr="00D9782A">
        <w:tc>
          <w:tcPr>
            <w:tcW w:w="2265" w:type="dxa"/>
            <w:shd w:val="clear" w:color="auto" w:fill="16578B" w:themeFill="accent2" w:themeFillShade="BF"/>
            <w:vAlign w:val="center"/>
          </w:tcPr>
          <w:p w14:paraId="0B8C855E" w14:textId="77777777" w:rsidR="00472BD1" w:rsidRPr="00D86C7D" w:rsidRDefault="00472BD1" w:rsidP="00D9782A">
            <w:pPr>
              <w:pStyle w:val="TableChartFigureHeading"/>
              <w:pBdr>
                <w:top w:val="none" w:sz="0" w:space="0" w:color="auto"/>
              </w:pBdr>
              <w:rPr>
                <w:color w:val="FFFFFF" w:themeColor="background1"/>
              </w:rPr>
            </w:pPr>
            <w:r w:rsidRPr="00D86C7D">
              <w:rPr>
                <w:color w:val="FFFFFF" w:themeColor="background1"/>
              </w:rPr>
              <w:t>Number of deaths</w:t>
            </w:r>
          </w:p>
        </w:tc>
        <w:tc>
          <w:tcPr>
            <w:tcW w:w="2265" w:type="dxa"/>
            <w:vAlign w:val="center"/>
          </w:tcPr>
          <w:p w14:paraId="28E51229" w14:textId="77777777" w:rsidR="00472BD1" w:rsidRDefault="00472BD1" w:rsidP="00D9782A">
            <w:pPr>
              <w:pStyle w:val="TableChartFigureHeading"/>
              <w:pBdr>
                <w:top w:val="none" w:sz="0" w:space="0" w:color="auto"/>
              </w:pBdr>
              <w:jc w:val="center"/>
            </w:pPr>
            <w:r>
              <w:t>3,144</w:t>
            </w:r>
          </w:p>
        </w:tc>
        <w:tc>
          <w:tcPr>
            <w:tcW w:w="2265" w:type="dxa"/>
            <w:vAlign w:val="center"/>
          </w:tcPr>
          <w:p w14:paraId="76F66C68" w14:textId="77777777" w:rsidR="00472BD1" w:rsidRDefault="00472BD1" w:rsidP="00D9782A">
            <w:pPr>
              <w:pStyle w:val="TableChartFigureHeading"/>
              <w:pBdr>
                <w:top w:val="none" w:sz="0" w:space="0" w:color="auto"/>
              </w:pBdr>
              <w:jc w:val="center"/>
            </w:pPr>
            <w:r>
              <w:t>5,583</w:t>
            </w:r>
          </w:p>
        </w:tc>
        <w:tc>
          <w:tcPr>
            <w:tcW w:w="2265" w:type="dxa"/>
            <w:vAlign w:val="center"/>
          </w:tcPr>
          <w:p w14:paraId="66A9D6DA" w14:textId="77777777" w:rsidR="00472BD1" w:rsidRDefault="00472BD1" w:rsidP="00D9782A">
            <w:pPr>
              <w:pStyle w:val="TableChartFigureHeading"/>
              <w:pBdr>
                <w:top w:val="none" w:sz="0" w:space="0" w:color="auto"/>
              </w:pBdr>
              <w:jc w:val="center"/>
            </w:pPr>
            <w:r>
              <w:t>47,646</w:t>
            </w:r>
          </w:p>
        </w:tc>
      </w:tr>
    </w:tbl>
    <w:p w14:paraId="6091BC40" w14:textId="639E9790" w:rsidR="00472BD1" w:rsidRPr="00EA4BD2" w:rsidRDefault="00107C0A" w:rsidP="00472BD1">
      <w:pPr>
        <w:pStyle w:val="TableChartFigureSource"/>
      </w:pPr>
      <w:r>
        <w:t>Source: ABS 2022, ONS 2022, CDC 2022</w:t>
      </w:r>
    </w:p>
    <w:p w14:paraId="09A520DE" w14:textId="27358AA0" w:rsidR="0021452D" w:rsidRDefault="0021452D" w:rsidP="0021452D">
      <w:pPr>
        <w:pStyle w:val="Heading4"/>
        <w:rPr>
          <w:caps w:val="0"/>
        </w:rPr>
      </w:pPr>
      <w:r>
        <w:rPr>
          <w:caps w:val="0"/>
        </w:rPr>
        <w:t>First two years of the pandemic</w:t>
      </w:r>
    </w:p>
    <w:p w14:paraId="30317E06" w14:textId="0BF7A6B8" w:rsidR="0021452D" w:rsidRDefault="0021452D" w:rsidP="0021452D">
      <w:r w:rsidRPr="0021452D">
        <w:t>Suicide rates in Australia, England and Wales, and the U</w:t>
      </w:r>
      <w:r w:rsidR="002F03BB">
        <w:t xml:space="preserve">nited </w:t>
      </w:r>
      <w:r w:rsidRPr="0021452D">
        <w:t>S</w:t>
      </w:r>
      <w:r w:rsidR="002F03BB">
        <w:t>tates</w:t>
      </w:r>
      <w:r w:rsidRPr="0021452D">
        <w:t xml:space="preserve"> all declined in 2020. However, </w:t>
      </w:r>
      <w:r w:rsidR="002F03BB">
        <w:t xml:space="preserve">in Australia </w:t>
      </w:r>
      <w:r w:rsidRPr="0021452D">
        <w:t>the use of mental health services increased in 2020, and there were pressures on mental health over this period.</w:t>
      </w:r>
      <w:r w:rsidRPr="0021452D">
        <w:rPr>
          <w:vertAlign w:val="superscript"/>
        </w:rPr>
        <w:t>12</w:t>
      </w:r>
      <w:r w:rsidRPr="0021452D">
        <w:t xml:space="preserve"> </w:t>
      </w:r>
    </w:p>
    <w:p w14:paraId="3A2CDD89" w14:textId="7C00D473" w:rsidR="0021452D" w:rsidRPr="0021452D" w:rsidRDefault="0021452D" w:rsidP="0021452D">
      <w:r w:rsidRPr="0021452D">
        <w:t>In 2021, suicide rates remained lower in Australia, while there was a slight increase in suicide rates in England and Wales and the U</w:t>
      </w:r>
      <w:r w:rsidR="00F32DCB">
        <w:t xml:space="preserve">nited </w:t>
      </w:r>
      <w:r w:rsidRPr="0021452D">
        <w:t>S</w:t>
      </w:r>
      <w:r w:rsidR="00F32DCB">
        <w:t>tates</w:t>
      </w:r>
      <w:r w:rsidRPr="0021452D">
        <w:t>.</w:t>
      </w:r>
    </w:p>
    <w:p w14:paraId="64235E69" w14:textId="48E31E5C" w:rsidR="0021452D" w:rsidRDefault="0021452D" w:rsidP="0021452D">
      <w:pPr>
        <w:pStyle w:val="TableChartFigureHeading"/>
      </w:pPr>
      <w:r>
        <w:lastRenderedPageBreak/>
        <w:t>Chart</w:t>
      </w:r>
      <w:r w:rsidR="00F32DCB">
        <w:t xml:space="preserve"> </w:t>
      </w:r>
      <w:r>
        <w:t>1: Age-standardised suicides</w:t>
      </w:r>
    </w:p>
    <w:p w14:paraId="4DD87705" w14:textId="3AAA03F0" w:rsidR="003744DC" w:rsidRPr="003744DC" w:rsidRDefault="0021452D" w:rsidP="00B45C0A">
      <w:pPr>
        <w:pStyle w:val="TableChartFigureHeading"/>
        <w:jc w:val="center"/>
      </w:pPr>
      <w:r w:rsidRPr="0021452D">
        <w:rPr>
          <w:noProof/>
        </w:rPr>
        <w:drawing>
          <wp:inline distT="0" distB="0" distL="0" distR="0" wp14:anchorId="31F07931" wp14:editId="15CD86DA">
            <wp:extent cx="4068000" cy="1984713"/>
            <wp:effectExtent l="0" t="0" r="8890" b="0"/>
            <wp:docPr id="287892571" name="Chart 1" descr="Chart 1 shows age-standardised suicide deaths per 100,000 from 1999 to 2021 for the United States, Australia, England and Wales.&#10;&#10;The United States deaths have increased from 10 per 100,000 to 14 per 100,000 deaths from 1999 to 2021.&#10;&#10;Australia deaths have declined from 13 per 100,000 to 12 per 100,000 deaths from 1999 to 2021.&#10;&#10;England and Wales deaths have declined from slightly below 12 per 100,000 to slightly above 10 per 100,000 deaths from 1999 to 202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A1F686" w14:textId="3438E7F2" w:rsidR="0021452D" w:rsidRPr="00EA4BD2" w:rsidRDefault="0021452D" w:rsidP="0021452D">
      <w:pPr>
        <w:pStyle w:val="TableChartFigureSource"/>
      </w:pPr>
      <w:r w:rsidRPr="0033326C">
        <w:t>Source</w:t>
      </w:r>
      <w:r>
        <w:t>: ABS 2021, ONS 2021, CDC 202</w:t>
      </w:r>
      <w:r w:rsidR="00BD241A">
        <w:t>2</w:t>
      </w:r>
    </w:p>
    <w:p w14:paraId="1137D62C" w14:textId="53D2A88E" w:rsidR="004E073B" w:rsidRDefault="00520464" w:rsidP="00520464">
      <w:pPr>
        <w:pStyle w:val="Heading3"/>
      </w:pPr>
      <w:r>
        <w:t>S</w:t>
      </w:r>
      <w:r>
        <w:rPr>
          <w:caps w:val="0"/>
        </w:rPr>
        <w:t>uicide – by age and sex</w:t>
      </w:r>
    </w:p>
    <w:p w14:paraId="4925812F" w14:textId="07788425" w:rsidR="00520464" w:rsidRDefault="00520464" w:rsidP="00520464">
      <w:pPr>
        <w:pStyle w:val="Heading4"/>
      </w:pPr>
      <w:r>
        <w:t>B</w:t>
      </w:r>
      <w:r>
        <w:rPr>
          <w:caps w:val="0"/>
        </w:rPr>
        <w:t>y age</w:t>
      </w:r>
    </w:p>
    <w:p w14:paraId="24265D44" w14:textId="77777777" w:rsidR="00520464" w:rsidRPr="00520464" w:rsidRDefault="00520464" w:rsidP="00520464">
      <w:r w:rsidRPr="00520464">
        <w:t>As mortality rates for other causes of death for younger age groups have reduced over time, suicide has emerged as the leading cause of death for Australians aged 15 to 44.</w:t>
      </w:r>
      <w:r w:rsidRPr="00520464">
        <w:rPr>
          <w:vertAlign w:val="superscript"/>
        </w:rPr>
        <w:t>17</w:t>
      </w:r>
    </w:p>
    <w:p w14:paraId="6ED4B711" w14:textId="3365C554" w:rsidR="00520464" w:rsidRPr="00520464" w:rsidRDefault="00520464" w:rsidP="00520464">
      <w:r w:rsidRPr="00520464">
        <w:rPr>
          <w:noProof/>
        </w:rPr>
        <mc:AlternateContent>
          <mc:Choice Requires="wpg">
            <w:drawing>
              <wp:anchor distT="0" distB="0" distL="114300" distR="114300" simplePos="0" relativeHeight="251658240" behindDoc="0" locked="0" layoutInCell="1" allowOverlap="1" wp14:anchorId="71D5202B" wp14:editId="3EC94FD1">
                <wp:simplePos x="0" y="0"/>
                <wp:positionH relativeFrom="margin">
                  <wp:align>right</wp:align>
                </wp:positionH>
                <wp:positionV relativeFrom="paragraph">
                  <wp:posOffset>382270</wp:posOffset>
                </wp:positionV>
                <wp:extent cx="1813015" cy="451159"/>
                <wp:effectExtent l="0" t="0" r="0" b="6350"/>
                <wp:wrapNone/>
                <wp:docPr id="10" name="Group 9">
                  <a:extLst xmlns:a="http://schemas.openxmlformats.org/drawingml/2006/main">
                    <a:ext uri="{FF2B5EF4-FFF2-40B4-BE49-F238E27FC236}">
                      <a16:creationId xmlns:a16="http://schemas.microsoft.com/office/drawing/2014/main" id="{700CB90A-EAF6-8140-BC1F-16693E7AE834}"/>
                    </a:ext>
                  </a:extLst>
                </wp:docPr>
                <wp:cNvGraphicFramePr/>
                <a:graphic xmlns:a="http://schemas.openxmlformats.org/drawingml/2006/main">
                  <a:graphicData uri="http://schemas.microsoft.com/office/word/2010/wordprocessingGroup">
                    <wpg:wgp>
                      <wpg:cNvGrpSpPr/>
                      <wpg:grpSpPr>
                        <a:xfrm>
                          <a:off x="0" y="0"/>
                          <a:ext cx="1813015" cy="451159"/>
                          <a:chOff x="0" y="0"/>
                          <a:chExt cx="1813015" cy="451159"/>
                        </a:xfrm>
                      </wpg:grpSpPr>
                      <wps:wsp>
                        <wps:cNvPr id="375825579" name="TextBox 3">
                          <a:extLst>
                            <a:ext uri="{FF2B5EF4-FFF2-40B4-BE49-F238E27FC236}">
                              <a16:creationId xmlns:a16="http://schemas.microsoft.com/office/drawing/2014/main" id="{0C4CD010-4A6F-4392-85AE-23BA45B0BFAE}"/>
                            </a:ext>
                          </a:extLst>
                        </wps:cNvPr>
                        <wps:cNvSpPr txBox="1"/>
                        <wps:spPr>
                          <a:xfrm>
                            <a:off x="0" y="0"/>
                            <a:ext cx="760095" cy="367665"/>
                          </a:xfrm>
                          <a:prstGeom prst="rect">
                            <a:avLst/>
                          </a:prstGeom>
                          <a:noFill/>
                        </wps:spPr>
                        <wps:txbx>
                          <w:txbxContent>
                            <w:p w14:paraId="77A4B867" w14:textId="77777777" w:rsidR="00520464" w:rsidRPr="00520464" w:rsidRDefault="00520464" w:rsidP="00520464">
                              <w:pPr>
                                <w:rPr>
                                  <w:rFonts w:hAnsi="Calibri" w:cstheme="minorBidi"/>
                                  <w:color w:val="000000" w:themeColor="text1"/>
                                  <w:kern w:val="24"/>
                                  <w:sz w:val="16"/>
                                  <w:szCs w:val="16"/>
                                </w:rPr>
                              </w:pPr>
                              <w:r w:rsidRPr="00520464">
                                <w:rPr>
                                  <w:rFonts w:hAnsi="Calibri" w:cstheme="minorBidi"/>
                                  <w:color w:val="000000" w:themeColor="text1"/>
                                  <w:kern w:val="24"/>
                                  <w:sz w:val="16"/>
                                  <w:szCs w:val="16"/>
                                </w:rPr>
                                <w:t>Highest (26.3)</w:t>
                              </w:r>
                            </w:p>
                          </w:txbxContent>
                        </wps:txbx>
                        <wps:bodyPr wrap="none" rtlCol="0">
                          <a:spAutoFit/>
                        </wps:bodyPr>
                      </wps:wsp>
                      <wps:wsp>
                        <wps:cNvPr id="63068216" name="TextBox 23">
                          <a:extLst>
                            <a:ext uri="{FF2B5EF4-FFF2-40B4-BE49-F238E27FC236}">
                              <a16:creationId xmlns:a16="http://schemas.microsoft.com/office/drawing/2014/main" id="{129C3585-87BD-4515-A66C-8ECB242EF25F}"/>
                            </a:ext>
                          </a:extLst>
                        </wps:cNvPr>
                        <wps:cNvSpPr txBox="1"/>
                        <wps:spPr>
                          <a:xfrm>
                            <a:off x="1123405" y="5018"/>
                            <a:ext cx="689610" cy="367665"/>
                          </a:xfrm>
                          <a:prstGeom prst="rect">
                            <a:avLst/>
                          </a:prstGeom>
                          <a:noFill/>
                        </wps:spPr>
                        <wps:txbx>
                          <w:txbxContent>
                            <w:p w14:paraId="7EDACAA1" w14:textId="77777777" w:rsidR="00520464" w:rsidRPr="00520464" w:rsidRDefault="00520464" w:rsidP="00520464">
                              <w:pPr>
                                <w:rPr>
                                  <w:rFonts w:hAnsi="Calibri" w:cstheme="minorBidi"/>
                                  <w:color w:val="000000" w:themeColor="text1"/>
                                  <w:kern w:val="24"/>
                                  <w:sz w:val="16"/>
                                  <w:szCs w:val="16"/>
                                </w:rPr>
                              </w:pPr>
                              <w:r w:rsidRPr="00520464">
                                <w:rPr>
                                  <w:rFonts w:hAnsi="Calibri" w:cstheme="minorBidi"/>
                                  <w:color w:val="000000" w:themeColor="text1"/>
                                  <w:kern w:val="24"/>
                                  <w:sz w:val="16"/>
                                  <w:szCs w:val="16"/>
                                </w:rPr>
                                <w:t>Lowest (5.7)</w:t>
                              </w:r>
                            </w:p>
                          </w:txbxContent>
                        </wps:txbx>
                        <wps:bodyPr wrap="none" rtlCol="0">
                          <a:spAutoFit/>
                        </wps:bodyPr>
                      </wps:wsp>
                      <pic:pic xmlns:pic="http://schemas.openxmlformats.org/drawingml/2006/picture">
                        <pic:nvPicPr>
                          <pic:cNvPr id="1714651928" name="Picture 1714651928">
                            <a:extLst>
                              <a:ext uri="{FF2B5EF4-FFF2-40B4-BE49-F238E27FC236}">
                                <a16:creationId xmlns:a16="http://schemas.microsoft.com/office/drawing/2014/main" id="{B0006AA9-32B3-4590-B8FC-26027484718D}"/>
                              </a:ext>
                            </a:extLst>
                          </pic:cNvPr>
                          <pic:cNvPicPr>
                            <a:picLocks noChangeAspect="1"/>
                          </pic:cNvPicPr>
                        </pic:nvPicPr>
                        <pic:blipFill>
                          <a:blip r:embed="rId12"/>
                          <a:stretch>
                            <a:fillRect/>
                          </a:stretch>
                        </pic:blipFill>
                        <pic:spPr>
                          <a:xfrm>
                            <a:off x="237903" y="223239"/>
                            <a:ext cx="1522918" cy="227920"/>
                          </a:xfrm>
                          <a:prstGeom prst="rect">
                            <a:avLst/>
                          </a:prstGeom>
                        </pic:spPr>
                      </pic:pic>
                      <wps:wsp>
                        <wps:cNvPr id="643909844" name="Straight Connector 643909844">
                          <a:extLst>
                            <a:ext uri="{FF2B5EF4-FFF2-40B4-BE49-F238E27FC236}">
                              <a16:creationId xmlns:a16="http://schemas.microsoft.com/office/drawing/2014/main" id="{4C996852-977E-4492-A9A0-A374C09D1B1B}"/>
                            </a:ext>
                          </a:extLst>
                        </wps:cNvPr>
                        <wps:cNvCnPr/>
                        <wps:spPr>
                          <a:xfrm>
                            <a:off x="316149" y="214447"/>
                            <a:ext cx="0" cy="227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1215127" name="Straight Connector 1801215127">
                          <a:extLst>
                            <a:ext uri="{FF2B5EF4-FFF2-40B4-BE49-F238E27FC236}">
                              <a16:creationId xmlns:a16="http://schemas.microsoft.com/office/drawing/2014/main" id="{52BE9C3B-3D5A-44F8-995E-9C346E5C75AF}"/>
                            </a:ext>
                          </a:extLst>
                        </wps:cNvPr>
                        <wps:cNvCnPr>
                          <a:cxnSpLocks/>
                        </wps:cNvCnPr>
                        <wps:spPr>
                          <a:xfrm>
                            <a:off x="1694312" y="212605"/>
                            <a:ext cx="0" cy="22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D5202B" id="Group 9" o:spid="_x0000_s1026" style="position:absolute;margin-left:91.55pt;margin-top:30.1pt;width:142.75pt;height:35.5pt;z-index:251658240;mso-position-horizontal:right;mso-position-horizontal-relative:margin" coordsize="18130,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">
                <v:shapetype id="_x0000_t202" coordsize="21600,21600" o:spt="202" path="m,l,21600r21600,l21600,xe">
                  <v:stroke joinstyle="miter"/>
                  <v:path gradientshapeok="t" o:connecttype="rect"/>
                </v:shapetype>
                <v:shape id="TextBox 3" o:spid="_x0000_s1027" type="#_x0000_t202" style="position:absolute;width:7600;height:3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" filled="f" stroked="f">
                  <v:textbox style="mso-fit-shape-to-text:t">
                    <w:txbxContent>
                      <w:p w14:paraId="77A4B867" w14:textId="77777777" w:rsidR="00520464" w:rsidRPr="00520464" w:rsidRDefault="00520464" w:rsidP="00520464">
                        <w:pPr>
                          <w:rPr>
                            <w:rFonts w:hAnsi="Calibri" w:cstheme="minorBidi"/>
                            <w:color w:val="000000" w:themeColor="text1"/>
                            <w:kern w:val="24"/>
                            <w:sz w:val="16"/>
                            <w:szCs w:val="16"/>
                          </w:rPr>
                        </w:pPr>
                        <w:r w:rsidRPr="00520464">
                          <w:rPr>
                            <w:rFonts w:hAnsi="Calibri" w:cstheme="minorBidi"/>
                            <w:color w:val="000000" w:themeColor="text1"/>
                            <w:kern w:val="24"/>
                            <w:sz w:val="16"/>
                            <w:szCs w:val="16"/>
                          </w:rPr>
                          <w:t>Highest (26.3)</w:t>
                        </w:r>
                      </w:p>
                    </w:txbxContent>
                  </v:textbox>
                </v:shape>
                <v:shape id="TextBox 23" o:spid="_x0000_s1028" type="#_x0000_t202" style="position:absolute;left:11234;top:50;width:6896;height:3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" filled="f" stroked="f">
                  <v:textbox style="mso-fit-shape-to-text:t">
                    <w:txbxContent>
                      <w:p w14:paraId="7EDACAA1" w14:textId="77777777" w:rsidR="00520464" w:rsidRPr="00520464" w:rsidRDefault="00520464" w:rsidP="00520464">
                        <w:pPr>
                          <w:rPr>
                            <w:rFonts w:hAnsi="Calibri" w:cstheme="minorBidi"/>
                            <w:color w:val="000000" w:themeColor="text1"/>
                            <w:kern w:val="24"/>
                            <w:sz w:val="16"/>
                            <w:szCs w:val="16"/>
                          </w:rPr>
                        </w:pPr>
                        <w:r w:rsidRPr="00520464">
                          <w:rPr>
                            <w:rFonts w:hAnsi="Calibri" w:cstheme="minorBidi"/>
                            <w:color w:val="000000" w:themeColor="text1"/>
                            <w:kern w:val="24"/>
                            <w:sz w:val="16"/>
                            <w:szCs w:val="16"/>
                          </w:rPr>
                          <w:t>Lowest (5.7)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4651928" o:spid="_x0000_s1029" type="#_x0000_t75" style="position:absolute;left:2379;top:2232;width:15229;height:2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">
                  <v:imagedata r:id="rId13" o:title=""/>
                </v:shape>
                <v:line id="Straight Connector 643909844" o:spid="_x0000_s1030" style="position:absolute;visibility:visible;mso-wrap-style:square" from="3161,2144" to="316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" strokecolor="black [3213]"/>
                <v:line id="Straight Connector 1801215127" o:spid="_x0000_s1031" style="position:absolute;visibility:visible;mso-wrap-style:square" from="16943,2126" to="16943,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" strokecolor="black [3213]">
                  <o:lock v:ext="edit" shapetype="f"/>
                </v:line>
                <w10:wrap anchorx="margin"/>
              </v:group>
            </w:pict>
          </mc:Fallback>
        </mc:AlternateContent>
      </w:r>
      <w:r w:rsidRPr="00520464">
        <w:t xml:space="preserve">Historically, those in middle age have had the highest suicide rates, though there are some exceptions. In the late 1990s, Australians aged 20 to 29 were the age group with the highest suicide rates. </w:t>
      </w:r>
    </w:p>
    <w:p w14:paraId="3CF8484B" w14:textId="03C83A00" w:rsidR="00520464" w:rsidRDefault="00520464" w:rsidP="00520464">
      <w:pPr>
        <w:pStyle w:val="TableChartFigureHeading"/>
      </w:pPr>
      <w:r>
        <w:t>Figure</w:t>
      </w:r>
      <w:r w:rsidRPr="004F0673">
        <w:t xml:space="preserve"> </w:t>
      </w:r>
      <w:r>
        <w:t>1: Age-specific suicide rates by five-year age groups, Australia</w:t>
      </w:r>
      <w:r w:rsidRPr="004F0673">
        <w:t xml:space="preserve"> </w:t>
      </w:r>
    </w:p>
    <w:p w14:paraId="1067D2D1" w14:textId="6309830C" w:rsidR="00520464" w:rsidRPr="00520464" w:rsidRDefault="00520464" w:rsidP="00520464">
      <w:pPr>
        <w:rPr>
          <w:lang w:eastAsia="en-US"/>
        </w:rPr>
      </w:pPr>
      <w:r w:rsidRPr="00520464">
        <w:rPr>
          <w:noProof/>
          <w:lang w:eastAsia="en-US"/>
        </w:rPr>
        <w:drawing>
          <wp:inline distT="0" distB="0" distL="0" distR="0" wp14:anchorId="7EF561E9" wp14:editId="3DF88FA5">
            <wp:extent cx="5759450" cy="1652905"/>
            <wp:effectExtent l="0" t="0" r="0" b="4445"/>
            <wp:docPr id="9" name="Picture 8" descr="This chart shows age-specific suicide rates by five year age groups in Australia and how they have changed overtime.&#10;&#10;The chart highlights that younger age cohorts in 1997 and 1998 had the highest suicide rates.">
              <a:extLst xmlns:a="http://schemas.openxmlformats.org/drawingml/2006/main">
                <a:ext uri="{FF2B5EF4-FFF2-40B4-BE49-F238E27FC236}">
                  <a16:creationId xmlns:a16="http://schemas.microsoft.com/office/drawing/2014/main" id="{73382E77-B56F-0FB9-1C98-B060B5E54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chart shows age-specific suicide rates by five year age groups in Australia and how they have changed overtime.&#10;&#10;The chart highlights that younger age cohorts in 1997 and 1998 had the highest suicide rates.">
                      <a:extLst>
                        <a:ext uri="{FF2B5EF4-FFF2-40B4-BE49-F238E27FC236}">
                          <a16:creationId xmlns:a16="http://schemas.microsoft.com/office/drawing/2014/main" id="{73382E77-B56F-0FB9-1C98-B060B5E54929}"/>
                        </a:ext>
                      </a:extLst>
                    </pic:cNvPr>
                    <pic:cNvPicPr>
                      <a:picLocks noChangeAspect="1"/>
                    </pic:cNvPicPr>
                  </pic:nvPicPr>
                  <pic:blipFill rotWithShape="1">
                    <a:blip r:embed="rId14"/>
                    <a:srcRect b="3309"/>
                    <a:stretch/>
                  </pic:blipFill>
                  <pic:spPr>
                    <a:xfrm>
                      <a:off x="0" y="0"/>
                      <a:ext cx="5759450" cy="1652905"/>
                    </a:xfrm>
                    <a:prstGeom prst="rect">
                      <a:avLst/>
                    </a:prstGeom>
                  </pic:spPr>
                </pic:pic>
              </a:graphicData>
            </a:graphic>
          </wp:inline>
        </w:drawing>
      </w:r>
    </w:p>
    <w:p w14:paraId="1BFA2BD5" w14:textId="602C33AD" w:rsidR="00520464" w:rsidRDefault="00520464" w:rsidP="00520464">
      <w:pPr>
        <w:pStyle w:val="TableChartFigureSource"/>
      </w:pPr>
      <w:r w:rsidRPr="0033326C">
        <w:t>Source</w:t>
      </w:r>
      <w:r>
        <w:t>: AIHW 2021</w:t>
      </w:r>
    </w:p>
    <w:p w14:paraId="10129C06" w14:textId="77777777" w:rsidR="00484082" w:rsidRDefault="00484082" w:rsidP="00484082">
      <w:pPr>
        <w:pStyle w:val="Heading4"/>
      </w:pPr>
      <w:r>
        <w:t>B</w:t>
      </w:r>
      <w:r>
        <w:rPr>
          <w:caps w:val="0"/>
        </w:rPr>
        <w:t>y sex</w:t>
      </w:r>
    </w:p>
    <w:p w14:paraId="34F85B50" w14:textId="77777777" w:rsidR="00484082" w:rsidRDefault="00484082" w:rsidP="00484082">
      <w:r w:rsidRPr="00520464">
        <w:t>Since the mid-1970s male suicide rates have been 3 to 4 times higher than rates for females.</w:t>
      </w:r>
      <w:r w:rsidRPr="00520464">
        <w:rPr>
          <w:vertAlign w:val="superscript"/>
        </w:rPr>
        <w:t>13</w:t>
      </w:r>
      <w:r w:rsidRPr="00520464">
        <w:t xml:space="preserve"> </w:t>
      </w:r>
    </w:p>
    <w:p w14:paraId="36D3CA54" w14:textId="77777777" w:rsidR="00484082" w:rsidRDefault="00484082" w:rsidP="00484082">
      <w:r w:rsidRPr="00520464">
        <w:t xml:space="preserve">Variations in Australia’s overall rate are largely driven by changes in the male suicide rate, as the rate for females is comparatively stable over the period (although there are signs that it might be increasing for younger females). </w:t>
      </w:r>
    </w:p>
    <w:p w14:paraId="7605D02E" w14:textId="77777777" w:rsidR="00484082" w:rsidRDefault="00484082" w:rsidP="00484082">
      <w:r w:rsidRPr="00520464">
        <w:t>Despite this, ambulance attendance data for suicide attempts suggest females are more likely to attempt suicide than males.</w:t>
      </w:r>
      <w:r w:rsidRPr="00520464">
        <w:rPr>
          <w:vertAlign w:val="superscript"/>
        </w:rPr>
        <w:t>14</w:t>
      </w:r>
      <w:r w:rsidRPr="00520464">
        <w:t xml:space="preserve"> </w:t>
      </w:r>
    </w:p>
    <w:p w14:paraId="5810627B" w14:textId="73EA886E" w:rsidR="00484082" w:rsidRPr="00520464" w:rsidRDefault="00484082" w:rsidP="00484082">
      <w:r w:rsidRPr="00520464">
        <w:t>The disparity in suicide rates by sex has been observed in many countries, including England and Wales, and the U</w:t>
      </w:r>
      <w:r>
        <w:t xml:space="preserve">nited </w:t>
      </w:r>
      <w:r w:rsidRPr="00520464">
        <w:t>S</w:t>
      </w:r>
      <w:r>
        <w:t>tates</w:t>
      </w:r>
      <w:r w:rsidRPr="00520464">
        <w:rPr>
          <w:vertAlign w:val="superscript"/>
        </w:rPr>
        <w:t>15,16</w:t>
      </w:r>
      <w:r w:rsidRPr="00520464">
        <w:t>.</w:t>
      </w:r>
    </w:p>
    <w:p w14:paraId="268583D5" w14:textId="38215DAD" w:rsidR="00520464" w:rsidRDefault="00520464" w:rsidP="00520464">
      <w:pPr>
        <w:pStyle w:val="Heading3"/>
      </w:pPr>
      <w:r>
        <w:lastRenderedPageBreak/>
        <w:t>D</w:t>
      </w:r>
      <w:r w:rsidR="00107C0A">
        <w:rPr>
          <w:caps w:val="0"/>
        </w:rPr>
        <w:t>rug-induced deaths – recent trends</w:t>
      </w:r>
    </w:p>
    <w:p w14:paraId="27C7E9A6" w14:textId="66BC957A" w:rsidR="00520464" w:rsidRDefault="00520464" w:rsidP="00520464">
      <w:pPr>
        <w:pStyle w:val="Heading4"/>
      </w:pPr>
      <w:r>
        <w:t>A</w:t>
      </w:r>
      <w:r w:rsidR="00107C0A">
        <w:rPr>
          <w:caps w:val="0"/>
        </w:rPr>
        <w:t>ustralia</w:t>
      </w:r>
    </w:p>
    <w:p w14:paraId="1AB6EBFD" w14:textId="77777777" w:rsidR="00520464" w:rsidRDefault="00520464" w:rsidP="00520464">
      <w:r w:rsidRPr="00520464">
        <w:t xml:space="preserve">Rates for drug-induced deaths declined from the late 1990s through to the mid-2000s. </w:t>
      </w:r>
    </w:p>
    <w:p w14:paraId="5EF688F8" w14:textId="77777777" w:rsidR="00520464" w:rsidRDefault="00520464" w:rsidP="00520464">
      <w:r w:rsidRPr="00520464">
        <w:t>This decline was broadly across all classes of drugs, though was predominantly driven by a significant decrease in illicit use opioid-related deaths.</w:t>
      </w:r>
      <w:r w:rsidRPr="00520464">
        <w:rPr>
          <w:vertAlign w:val="superscript"/>
        </w:rPr>
        <w:t>18</w:t>
      </w:r>
      <w:r w:rsidRPr="00520464">
        <w:t xml:space="preserve"> </w:t>
      </w:r>
    </w:p>
    <w:p w14:paraId="1FA436F4" w14:textId="00B29B25" w:rsidR="00520464" w:rsidRPr="00520464" w:rsidRDefault="00520464" w:rsidP="00520464">
      <w:r w:rsidRPr="00520464">
        <w:t>Death rates rose from the mid-2000s to around 2017, largely driven by pharmaceutical rather than illicit drug use, after which point they have been gradually decreasing.</w:t>
      </w:r>
      <w:r w:rsidRPr="00520464">
        <w:rPr>
          <w:vertAlign w:val="superscript"/>
        </w:rPr>
        <w:t>19</w:t>
      </w:r>
    </w:p>
    <w:p w14:paraId="4CBDFA30" w14:textId="33F3F014" w:rsidR="00520464" w:rsidRDefault="00520464" w:rsidP="00520464">
      <w:pPr>
        <w:pStyle w:val="Heading4"/>
      </w:pPr>
      <w:r>
        <w:t>E</w:t>
      </w:r>
      <w:r w:rsidR="00107C0A">
        <w:rPr>
          <w:caps w:val="0"/>
        </w:rPr>
        <w:t>ngland and Wales</w:t>
      </w:r>
    </w:p>
    <w:p w14:paraId="6B2E92CA" w14:textId="77777777" w:rsidR="00472BD1" w:rsidRDefault="00520464" w:rsidP="00520464">
      <w:r w:rsidRPr="00520464">
        <w:t xml:space="preserve">Drug-induced deaths remained stable from the late 1990s to the early 2010s, before increasing. </w:t>
      </w:r>
    </w:p>
    <w:p w14:paraId="64681ADB" w14:textId="2B5E181D" w:rsidR="00520464" w:rsidRPr="00520464" w:rsidRDefault="00520464" w:rsidP="00520464">
      <w:r w:rsidRPr="00520464">
        <w:t>This trend has primarily been driven by deaths involving natural opioids and cocaine.</w:t>
      </w:r>
      <w:r w:rsidR="00472BD1">
        <w:t xml:space="preserve"> </w:t>
      </w:r>
      <w:r w:rsidRPr="00520464">
        <w:t>Half of all drug-induced deaths involved a natural opioid in 2021, and cocaine-related deaths continued to rise, with a sevenfold increase in the last decade.</w:t>
      </w:r>
      <w:r w:rsidRPr="00520464">
        <w:rPr>
          <w:vertAlign w:val="superscript"/>
        </w:rPr>
        <w:t>20</w:t>
      </w:r>
    </w:p>
    <w:p w14:paraId="646EF4A3" w14:textId="210E2B9E" w:rsidR="00520464" w:rsidRDefault="00520464" w:rsidP="00520464">
      <w:pPr>
        <w:pStyle w:val="Heading4"/>
      </w:pPr>
      <w:r>
        <w:t>U</w:t>
      </w:r>
      <w:r w:rsidR="00107C0A">
        <w:rPr>
          <w:caps w:val="0"/>
        </w:rPr>
        <w:t xml:space="preserve">nited </w:t>
      </w:r>
      <w:r w:rsidR="00EF217B">
        <w:rPr>
          <w:caps w:val="0"/>
        </w:rPr>
        <w:t>S</w:t>
      </w:r>
      <w:r w:rsidR="00107C0A">
        <w:rPr>
          <w:caps w:val="0"/>
        </w:rPr>
        <w:t>tates</w:t>
      </w:r>
    </w:p>
    <w:p w14:paraId="4AFDA5C0" w14:textId="77777777" w:rsidR="00472BD1" w:rsidRDefault="00520464" w:rsidP="00520464">
      <w:r w:rsidRPr="00520464">
        <w:t xml:space="preserve">Drug-induced death rates have increased rapidly in recent years, with a fourfold increase over the past 20 years. </w:t>
      </w:r>
    </w:p>
    <w:p w14:paraId="46DAF277" w14:textId="77777777" w:rsidR="00472BD1" w:rsidRDefault="00520464" w:rsidP="00520464">
      <w:r w:rsidRPr="00520464">
        <w:t xml:space="preserve">This increase has predominantly been driven by the rise in deaths related to opioid use. </w:t>
      </w:r>
      <w:r w:rsidRPr="00520464">
        <w:rPr>
          <w:vertAlign w:val="superscript"/>
        </w:rPr>
        <w:t>21</w:t>
      </w:r>
      <w:r w:rsidRPr="00520464">
        <w:t xml:space="preserve"> Three quarters of drug overdose deaths in 2021 involved opioids.</w:t>
      </w:r>
      <w:r w:rsidRPr="00520464">
        <w:rPr>
          <w:vertAlign w:val="superscript"/>
        </w:rPr>
        <w:t>22</w:t>
      </w:r>
      <w:r w:rsidRPr="00520464">
        <w:t xml:space="preserve"> </w:t>
      </w:r>
    </w:p>
    <w:p w14:paraId="590CDAEF" w14:textId="20F90B63" w:rsidR="00520464" w:rsidRDefault="00520464" w:rsidP="00520464">
      <w:pPr>
        <w:rPr>
          <w:vertAlign w:val="superscript"/>
        </w:rPr>
      </w:pPr>
      <w:r w:rsidRPr="00520464">
        <w:t>The percentage of all deaths in the U</w:t>
      </w:r>
      <w:r w:rsidR="00484082">
        <w:t xml:space="preserve">nited </w:t>
      </w:r>
      <w:r w:rsidRPr="00520464">
        <w:t>S</w:t>
      </w:r>
      <w:r w:rsidR="00484082">
        <w:t>tates</w:t>
      </w:r>
      <w:r w:rsidRPr="00520464">
        <w:t xml:space="preserve"> attributed to overdose has grown from 0.8 per cent in 1999 to 3.2 per cent in 2021. </w:t>
      </w:r>
      <w:r w:rsidRPr="00520464">
        <w:rPr>
          <w:vertAlign w:val="superscript"/>
        </w:rPr>
        <w:t>23,24</w:t>
      </w:r>
    </w:p>
    <w:p w14:paraId="7ECED997" w14:textId="089CB953" w:rsidR="00472BD1" w:rsidRDefault="00472BD1" w:rsidP="00472BD1">
      <w:pPr>
        <w:pStyle w:val="TableChartFigureHeading"/>
      </w:pPr>
      <w:r>
        <w:t>Table 2: Summary statistics, drug-induced deaths, 2021</w:t>
      </w:r>
    </w:p>
    <w:tbl>
      <w:tblPr>
        <w:tblStyle w:val="TableGrid"/>
        <w:tblW w:w="0" w:type="auto"/>
        <w:tblLook w:val="04A0" w:firstRow="1" w:lastRow="0" w:firstColumn="1" w:lastColumn="0" w:noHBand="0" w:noVBand="1"/>
      </w:tblPr>
      <w:tblGrid>
        <w:gridCol w:w="2265"/>
        <w:gridCol w:w="2265"/>
        <w:gridCol w:w="2265"/>
        <w:gridCol w:w="2265"/>
      </w:tblGrid>
      <w:tr w:rsidR="00472BD1" w14:paraId="236A57C3" w14:textId="77777777" w:rsidTr="00D9782A">
        <w:tc>
          <w:tcPr>
            <w:tcW w:w="2265" w:type="dxa"/>
            <w:shd w:val="clear" w:color="auto" w:fill="002C47" w:themeFill="accent1"/>
          </w:tcPr>
          <w:p w14:paraId="7BEDAB77" w14:textId="77777777" w:rsidR="00472BD1" w:rsidRPr="00D86C7D" w:rsidRDefault="00472BD1" w:rsidP="00D9782A">
            <w:pPr>
              <w:pStyle w:val="TableChartFigureHeading"/>
              <w:pBdr>
                <w:top w:val="none" w:sz="0" w:space="0" w:color="auto"/>
              </w:pBdr>
              <w:rPr>
                <w:color w:val="FFFFFF" w:themeColor="background1"/>
              </w:rPr>
            </w:pPr>
          </w:p>
        </w:tc>
        <w:tc>
          <w:tcPr>
            <w:tcW w:w="2265" w:type="dxa"/>
            <w:shd w:val="clear" w:color="auto" w:fill="002C47" w:themeFill="accent1"/>
            <w:vAlign w:val="center"/>
          </w:tcPr>
          <w:p w14:paraId="67D7F99A"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Australia</w:t>
            </w:r>
          </w:p>
        </w:tc>
        <w:tc>
          <w:tcPr>
            <w:tcW w:w="2265" w:type="dxa"/>
            <w:shd w:val="clear" w:color="auto" w:fill="002C47" w:themeFill="accent1"/>
            <w:vAlign w:val="center"/>
          </w:tcPr>
          <w:p w14:paraId="638F6F12"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England and Wales</w:t>
            </w:r>
          </w:p>
        </w:tc>
        <w:tc>
          <w:tcPr>
            <w:tcW w:w="2265" w:type="dxa"/>
            <w:shd w:val="clear" w:color="auto" w:fill="002C47" w:themeFill="accent1"/>
            <w:vAlign w:val="center"/>
          </w:tcPr>
          <w:p w14:paraId="10A4F57C" w14:textId="77777777" w:rsidR="00472BD1" w:rsidRPr="00D86C7D" w:rsidRDefault="00472BD1" w:rsidP="00D9782A">
            <w:pPr>
              <w:pStyle w:val="TableChartFigureHeading"/>
              <w:pBdr>
                <w:top w:val="none" w:sz="0" w:space="0" w:color="auto"/>
              </w:pBdr>
              <w:jc w:val="center"/>
              <w:rPr>
                <w:color w:val="FFFFFF" w:themeColor="background1"/>
              </w:rPr>
            </w:pPr>
            <w:r w:rsidRPr="00D86C7D">
              <w:rPr>
                <w:color w:val="FFFFFF" w:themeColor="background1"/>
              </w:rPr>
              <w:t>United States</w:t>
            </w:r>
          </w:p>
        </w:tc>
      </w:tr>
      <w:tr w:rsidR="00472BD1" w14:paraId="6FBFD606" w14:textId="77777777" w:rsidTr="00D9782A">
        <w:tc>
          <w:tcPr>
            <w:tcW w:w="2265" w:type="dxa"/>
            <w:shd w:val="clear" w:color="auto" w:fill="16578B" w:themeFill="accent2" w:themeFillShade="BF"/>
            <w:vAlign w:val="center"/>
          </w:tcPr>
          <w:p w14:paraId="41B592C8" w14:textId="77777777" w:rsidR="00472BD1" w:rsidRPr="00D86C7D" w:rsidRDefault="00472BD1" w:rsidP="00D9782A">
            <w:pPr>
              <w:pStyle w:val="TableChartFigureHeading"/>
              <w:pBdr>
                <w:top w:val="none" w:sz="0" w:space="0" w:color="auto"/>
              </w:pBdr>
              <w:rPr>
                <w:color w:val="FFFFFF" w:themeColor="background1"/>
              </w:rPr>
            </w:pPr>
            <w:r w:rsidRPr="00D86C7D">
              <w:rPr>
                <w:color w:val="FFFFFF" w:themeColor="background1"/>
              </w:rPr>
              <w:t>Age-standardised death rate (per 100,000)</w:t>
            </w:r>
          </w:p>
        </w:tc>
        <w:tc>
          <w:tcPr>
            <w:tcW w:w="2265" w:type="dxa"/>
            <w:vAlign w:val="center"/>
          </w:tcPr>
          <w:p w14:paraId="6DCCCC4F" w14:textId="34EBBDF7" w:rsidR="00472BD1" w:rsidRDefault="00472BD1" w:rsidP="00D9782A">
            <w:pPr>
              <w:pStyle w:val="TableChartFigureHeading"/>
              <w:pBdr>
                <w:top w:val="none" w:sz="0" w:space="0" w:color="auto"/>
              </w:pBdr>
              <w:jc w:val="center"/>
            </w:pPr>
            <w:r>
              <w:t>6.6</w:t>
            </w:r>
          </w:p>
        </w:tc>
        <w:tc>
          <w:tcPr>
            <w:tcW w:w="2265" w:type="dxa"/>
            <w:vAlign w:val="center"/>
          </w:tcPr>
          <w:p w14:paraId="64C6E1BE" w14:textId="547EB37C" w:rsidR="00472BD1" w:rsidRDefault="00472BD1" w:rsidP="00D9782A">
            <w:pPr>
              <w:pStyle w:val="TableChartFigureHeading"/>
              <w:pBdr>
                <w:top w:val="none" w:sz="0" w:space="0" w:color="auto"/>
              </w:pBdr>
              <w:jc w:val="center"/>
            </w:pPr>
            <w:r>
              <w:t>8.4</w:t>
            </w:r>
          </w:p>
        </w:tc>
        <w:tc>
          <w:tcPr>
            <w:tcW w:w="2265" w:type="dxa"/>
            <w:vAlign w:val="center"/>
          </w:tcPr>
          <w:p w14:paraId="3CCF175B" w14:textId="28AA0FFA" w:rsidR="00472BD1" w:rsidRDefault="00472BD1" w:rsidP="00D9782A">
            <w:pPr>
              <w:pStyle w:val="TableChartFigureHeading"/>
              <w:pBdr>
                <w:top w:val="none" w:sz="0" w:space="0" w:color="auto"/>
              </w:pBdr>
              <w:jc w:val="center"/>
            </w:pPr>
            <w:r>
              <w:t>33.5</w:t>
            </w:r>
          </w:p>
        </w:tc>
      </w:tr>
      <w:tr w:rsidR="00472BD1" w14:paraId="4A27847A" w14:textId="77777777" w:rsidTr="00D9782A">
        <w:tc>
          <w:tcPr>
            <w:tcW w:w="2265" w:type="dxa"/>
            <w:shd w:val="clear" w:color="auto" w:fill="16578B" w:themeFill="accent2" w:themeFillShade="BF"/>
            <w:vAlign w:val="center"/>
          </w:tcPr>
          <w:p w14:paraId="2D828776" w14:textId="77777777" w:rsidR="00472BD1" w:rsidRPr="00D86C7D" w:rsidRDefault="00472BD1" w:rsidP="00D9782A">
            <w:pPr>
              <w:pStyle w:val="TableChartFigureHeading"/>
              <w:pBdr>
                <w:top w:val="none" w:sz="0" w:space="0" w:color="auto"/>
              </w:pBdr>
              <w:rPr>
                <w:color w:val="FFFFFF" w:themeColor="background1"/>
              </w:rPr>
            </w:pPr>
            <w:r w:rsidRPr="00D86C7D">
              <w:rPr>
                <w:color w:val="FFFFFF" w:themeColor="background1"/>
              </w:rPr>
              <w:t>Number of deaths</w:t>
            </w:r>
          </w:p>
        </w:tc>
        <w:tc>
          <w:tcPr>
            <w:tcW w:w="2265" w:type="dxa"/>
            <w:vAlign w:val="center"/>
          </w:tcPr>
          <w:p w14:paraId="03938746" w14:textId="0D416E40" w:rsidR="00472BD1" w:rsidRDefault="00472BD1" w:rsidP="00D9782A">
            <w:pPr>
              <w:pStyle w:val="TableChartFigureHeading"/>
              <w:pBdr>
                <w:top w:val="none" w:sz="0" w:space="0" w:color="auto"/>
              </w:pBdr>
              <w:jc w:val="center"/>
            </w:pPr>
            <w:r>
              <w:t>1,704</w:t>
            </w:r>
          </w:p>
        </w:tc>
        <w:tc>
          <w:tcPr>
            <w:tcW w:w="2265" w:type="dxa"/>
            <w:vAlign w:val="center"/>
          </w:tcPr>
          <w:p w14:paraId="4DB92DE5" w14:textId="20D26431" w:rsidR="00472BD1" w:rsidRDefault="00472BD1" w:rsidP="00D9782A">
            <w:pPr>
              <w:pStyle w:val="TableChartFigureHeading"/>
              <w:pBdr>
                <w:top w:val="none" w:sz="0" w:space="0" w:color="auto"/>
              </w:pBdr>
              <w:jc w:val="center"/>
            </w:pPr>
            <w:r>
              <w:t>4,859</w:t>
            </w:r>
          </w:p>
        </w:tc>
        <w:tc>
          <w:tcPr>
            <w:tcW w:w="2265" w:type="dxa"/>
            <w:vAlign w:val="center"/>
          </w:tcPr>
          <w:p w14:paraId="54227D23" w14:textId="1ACD94C8" w:rsidR="00472BD1" w:rsidRDefault="00472BD1" w:rsidP="00D9782A">
            <w:pPr>
              <w:pStyle w:val="TableChartFigureHeading"/>
              <w:pBdr>
                <w:top w:val="none" w:sz="0" w:space="0" w:color="auto"/>
              </w:pBdr>
              <w:jc w:val="center"/>
            </w:pPr>
            <w:r>
              <w:t>106,699</w:t>
            </w:r>
          </w:p>
        </w:tc>
      </w:tr>
    </w:tbl>
    <w:p w14:paraId="607E72C2" w14:textId="318DEE50" w:rsidR="00472BD1" w:rsidRPr="00EA4BD2" w:rsidRDefault="00472BD1" w:rsidP="00472BD1">
      <w:pPr>
        <w:pStyle w:val="TableChartFigureSource"/>
      </w:pPr>
      <w:r w:rsidRPr="0033326C">
        <w:t>Source</w:t>
      </w:r>
      <w:r>
        <w:t>: ABS 2022, ONS 2022</w:t>
      </w:r>
      <w:r w:rsidR="00630CBC">
        <w:t>, CDC 202</w:t>
      </w:r>
      <w:r w:rsidR="00866AB4">
        <w:t>2</w:t>
      </w:r>
    </w:p>
    <w:p w14:paraId="1BEC4136" w14:textId="48779A7E" w:rsidR="00520464" w:rsidRDefault="00472BD1" w:rsidP="00472BD1">
      <w:pPr>
        <w:pStyle w:val="Heading4"/>
      </w:pPr>
      <w:r>
        <w:t>F</w:t>
      </w:r>
      <w:r w:rsidR="00107C0A">
        <w:rPr>
          <w:caps w:val="0"/>
        </w:rPr>
        <w:t>irst two years of the pandemic</w:t>
      </w:r>
    </w:p>
    <w:p w14:paraId="4B780DB9" w14:textId="77777777" w:rsidR="00107C0A" w:rsidRDefault="00472BD1" w:rsidP="00472BD1">
      <w:r w:rsidRPr="00472BD1">
        <w:t xml:space="preserve">Drug-induced death rates decreased slightly in Australia in 2020 and 2021, while increasing in England and Wales. </w:t>
      </w:r>
    </w:p>
    <w:p w14:paraId="5CA57A67" w14:textId="362A084D" w:rsidR="00107C0A" w:rsidRDefault="00472BD1" w:rsidP="00472BD1">
      <w:r w:rsidRPr="00472BD1">
        <w:t>In 2020 and 2021, drug induced deaths increased substantially in the U</w:t>
      </w:r>
      <w:r w:rsidR="006178AE">
        <w:t xml:space="preserve">nited </w:t>
      </w:r>
      <w:r w:rsidRPr="00472BD1">
        <w:t>S</w:t>
      </w:r>
      <w:r w:rsidR="006178AE">
        <w:t>tates</w:t>
      </w:r>
      <w:r w:rsidRPr="00472BD1">
        <w:t>. In 2020, the U</w:t>
      </w:r>
      <w:r w:rsidR="006178AE">
        <w:t xml:space="preserve">nited </w:t>
      </w:r>
      <w:r w:rsidRPr="00472BD1">
        <w:t>S</w:t>
      </w:r>
      <w:r w:rsidR="006178AE">
        <w:t>tates</w:t>
      </w:r>
      <w:r w:rsidRPr="00472BD1">
        <w:t xml:space="preserve"> experienced the largest single-year increase in drug overdoses on record.</w:t>
      </w:r>
      <w:r w:rsidRPr="00472BD1">
        <w:rPr>
          <w:vertAlign w:val="superscript"/>
        </w:rPr>
        <w:t>25</w:t>
      </w:r>
      <w:r w:rsidRPr="00472BD1">
        <w:t xml:space="preserve"> </w:t>
      </w:r>
    </w:p>
    <w:p w14:paraId="54868B3C" w14:textId="77777777" w:rsidR="00107C0A" w:rsidRDefault="00472BD1" w:rsidP="00472BD1">
      <w:pPr>
        <w:rPr>
          <w:vertAlign w:val="superscript"/>
        </w:rPr>
      </w:pPr>
      <w:r w:rsidRPr="00472BD1">
        <w:t>This was primarily driven by a 56 per cent increase in the number of deaths at least partially attributable to synthetic opioids.</w:t>
      </w:r>
      <w:r w:rsidRPr="00472BD1">
        <w:rPr>
          <w:vertAlign w:val="superscript"/>
        </w:rPr>
        <w:t xml:space="preserve">26 27 </w:t>
      </w:r>
    </w:p>
    <w:p w14:paraId="183057B5" w14:textId="4D586E26" w:rsidR="00472BD1" w:rsidRPr="00472BD1" w:rsidRDefault="00472BD1" w:rsidP="00472BD1">
      <w:r w:rsidRPr="00472BD1">
        <w:t xml:space="preserve">The reduction in Australia is likely due to decisions to restrict access to over-the-counter codeine preparations. </w:t>
      </w:r>
      <w:r w:rsidRPr="00472BD1">
        <w:rPr>
          <w:vertAlign w:val="superscript"/>
        </w:rPr>
        <w:t>28</w:t>
      </w:r>
    </w:p>
    <w:p w14:paraId="727A478E" w14:textId="77777777" w:rsidR="00472BD1" w:rsidRPr="00472BD1" w:rsidRDefault="00472BD1" w:rsidP="00472BD1"/>
    <w:p w14:paraId="6636B31D" w14:textId="25AAD8B4" w:rsidR="00107C0A" w:rsidRDefault="00EF217B" w:rsidP="00107C0A">
      <w:pPr>
        <w:pStyle w:val="TableChartFigureHeading"/>
      </w:pPr>
      <w:r>
        <w:lastRenderedPageBreak/>
        <w:t>Chart 2:</w:t>
      </w:r>
      <w:r w:rsidR="00107C0A" w:rsidRPr="004F0673">
        <w:t xml:space="preserve"> </w:t>
      </w:r>
      <w:r>
        <w:t>Age-standardised death rates for drug-induced deaths</w:t>
      </w:r>
    </w:p>
    <w:p w14:paraId="6B351CC5" w14:textId="11C9C7DC" w:rsidR="00107C0A" w:rsidRPr="00107C0A" w:rsidRDefault="00EF217B" w:rsidP="00BD3BAD">
      <w:pPr>
        <w:jc w:val="center"/>
        <w:rPr>
          <w:lang w:eastAsia="en-US"/>
        </w:rPr>
      </w:pPr>
      <w:r w:rsidRPr="00EF217B">
        <w:rPr>
          <w:noProof/>
          <w:lang w:eastAsia="en-US"/>
        </w:rPr>
        <w:drawing>
          <wp:inline distT="0" distB="0" distL="0" distR="0" wp14:anchorId="05050CBB" wp14:editId="5D3339E5">
            <wp:extent cx="4068000" cy="1471445"/>
            <wp:effectExtent l="0" t="0" r="8890" b="0"/>
            <wp:docPr id="2036752378" name="Chart 1" descr="This chart shows age standardised death rates for drug-induced deaths in the United States, Australia, England and Wales.&#10;&#10;The United States deaths per 100,000 has risen from 5 in 1999 to 35 in 2021. Australia, England and Wales deaths per 100,000 have remained relatively stable over this time.">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8252C6" w14:textId="71446A3B" w:rsidR="00107C0A" w:rsidRPr="00EA4BD2" w:rsidRDefault="00107C0A" w:rsidP="00107C0A">
      <w:pPr>
        <w:pStyle w:val="TableChartFigureSource"/>
      </w:pPr>
      <w:r w:rsidRPr="0033326C">
        <w:t>Source</w:t>
      </w:r>
      <w:r w:rsidR="00EF217B">
        <w:t>: ABS 202</w:t>
      </w:r>
      <w:r w:rsidR="004A370E">
        <w:t>2</w:t>
      </w:r>
      <w:r w:rsidR="00EF217B">
        <w:t>, ONS 202</w:t>
      </w:r>
      <w:r w:rsidR="003F774D">
        <w:t>2</w:t>
      </w:r>
      <w:r w:rsidR="00EF217B">
        <w:t>, CDC 202</w:t>
      </w:r>
      <w:r w:rsidR="008221DA">
        <w:t>2</w:t>
      </w:r>
    </w:p>
    <w:p w14:paraId="06CDE73E" w14:textId="07AEC72F" w:rsidR="00107C0A" w:rsidRDefault="00EF217B" w:rsidP="00EF217B">
      <w:pPr>
        <w:pStyle w:val="Heading3"/>
      </w:pPr>
      <w:r>
        <w:t>D</w:t>
      </w:r>
      <w:r>
        <w:rPr>
          <w:caps w:val="0"/>
        </w:rPr>
        <w:t>rug-induced deaths – by sex, age and drug type</w:t>
      </w:r>
    </w:p>
    <w:p w14:paraId="040F6FE3" w14:textId="36A5EBAC" w:rsidR="00EF217B" w:rsidRDefault="00EF217B" w:rsidP="00EF217B">
      <w:pPr>
        <w:pStyle w:val="Heading4"/>
      </w:pPr>
      <w:r>
        <w:t>A</w:t>
      </w:r>
      <w:r>
        <w:rPr>
          <w:caps w:val="0"/>
        </w:rPr>
        <w:t>ustralia</w:t>
      </w:r>
    </w:p>
    <w:p w14:paraId="6302DA6C" w14:textId="5C927676" w:rsidR="00EF217B" w:rsidRPr="00EF217B" w:rsidRDefault="00EF217B" w:rsidP="00EF217B">
      <w:r w:rsidRPr="00EF217B">
        <w:t>Over the past 10 years, death rates for drug-induced deaths have been 1.5 to 1.8 times higher for men than women. The difference between men and women is higher for younger age groups (15‐34 years), and close to equal for older age groups (65 years and over).</w:t>
      </w:r>
      <w:r w:rsidRPr="00EF217B">
        <w:rPr>
          <w:vertAlign w:val="superscript"/>
        </w:rPr>
        <w:t>33</w:t>
      </w:r>
    </w:p>
    <w:p w14:paraId="7F824B7B" w14:textId="6B823BAF" w:rsidR="00EF217B" w:rsidRPr="00EF217B" w:rsidRDefault="00EF217B" w:rsidP="00EF217B">
      <w:r w:rsidRPr="00EF217B">
        <w:t>In the past 10 years, age-specific drug-induced death rates have been highest for Australians aged 35-54 years, and lowest for those aged 15‐24.</w:t>
      </w:r>
      <w:r w:rsidRPr="00EF217B">
        <w:rPr>
          <w:vertAlign w:val="superscript"/>
        </w:rPr>
        <w:t>34</w:t>
      </w:r>
      <w:r w:rsidRPr="00EF217B">
        <w:t xml:space="preserve"> During this period, drug-induced death rates have been broadly similar in cities and regional</w:t>
      </w:r>
      <w:r w:rsidR="000C0180">
        <w:t xml:space="preserve"> or </w:t>
      </w:r>
      <w:r w:rsidRPr="00EF217B">
        <w:t>remote areas.</w:t>
      </w:r>
      <w:r w:rsidRPr="00EF217B">
        <w:rPr>
          <w:vertAlign w:val="superscript"/>
        </w:rPr>
        <w:t>29</w:t>
      </w:r>
      <w:r w:rsidRPr="00EF217B">
        <w:t xml:space="preserve"> In Australia, over 70 per cent of drug-induced deaths were unintentional in 2021.</w:t>
      </w:r>
      <w:r w:rsidRPr="00EF217B">
        <w:rPr>
          <w:vertAlign w:val="superscript"/>
        </w:rPr>
        <w:t>35</w:t>
      </w:r>
    </w:p>
    <w:p w14:paraId="44969D40" w14:textId="11D97310" w:rsidR="00EF217B" w:rsidRPr="00EF217B" w:rsidRDefault="00EF217B" w:rsidP="00EF217B">
      <w:r w:rsidRPr="00EF217B">
        <w:t>Over the past 20 years, benzodiazepines have remained the most commonly identified single drug type in drug-induced deaths, and opioids the most common drug class.</w:t>
      </w:r>
      <w:r w:rsidRPr="00EF217B">
        <w:rPr>
          <w:vertAlign w:val="superscript"/>
        </w:rPr>
        <w:t>30</w:t>
      </w:r>
      <w:r w:rsidRPr="00EF217B">
        <w:t xml:space="preserve"> In contrast to England and Wales, Australia ha</w:t>
      </w:r>
      <w:r w:rsidR="000C0180">
        <w:t>d</w:t>
      </w:r>
      <w:r w:rsidRPr="00EF217B">
        <w:t xml:space="preserve"> relatively few deaths induced by cocaine use in 2021 (1.5 and 0.3 deaths per 100,000 respectively).</w:t>
      </w:r>
      <w:r w:rsidRPr="00EF217B">
        <w:rPr>
          <w:vertAlign w:val="superscript"/>
        </w:rPr>
        <w:t>31,32</w:t>
      </w:r>
    </w:p>
    <w:p w14:paraId="3A58A024" w14:textId="5E4981B1" w:rsidR="00EF217B" w:rsidRDefault="00EF217B" w:rsidP="00EF217B">
      <w:pPr>
        <w:pStyle w:val="TableChartFigureHeading"/>
      </w:pPr>
      <w:r>
        <w:rPr>
          <w:noProof/>
          <w:bdr w:val="none" w:sz="0" w:space="0" w:color="auto"/>
        </w:rPr>
        <w:drawing>
          <wp:anchor distT="0" distB="0" distL="114300" distR="114300" simplePos="0" relativeHeight="251658241" behindDoc="0" locked="0" layoutInCell="1" allowOverlap="1" wp14:anchorId="3DEE10C0" wp14:editId="73CB5936">
            <wp:simplePos x="0" y="0"/>
            <wp:positionH relativeFrom="margin">
              <wp:align>center</wp:align>
            </wp:positionH>
            <wp:positionV relativeFrom="page">
              <wp:posOffset>6286500</wp:posOffset>
            </wp:positionV>
            <wp:extent cx="4067810" cy="1783080"/>
            <wp:effectExtent l="0" t="0" r="8890" b="7620"/>
            <wp:wrapTopAndBottom/>
            <wp:docPr id="351777449" name="Chart 3" descr="This chart shows age-standardised death rates by drug type in Australia between 1999 and 2021.&#10;&#10;Opioid deaths per 100,000 have decreased from slightly below 7 to slightly below 4. Depressants have risen to from slightly below 3 to slightly below 4. Antidepressants have risen from slightly below 2 to slightly above 2. Stimulants and Antipsychotics have increased from slightly below 1 to 2. Non-opioid analgesics, Cannabinoids and Cocaine have all remained below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t>Chart 3: Age-standardised death rates, by drug, Australia</w:t>
      </w:r>
    </w:p>
    <w:p w14:paraId="750462CF" w14:textId="64D3971B" w:rsidR="00EF217B" w:rsidRPr="00EA4BD2" w:rsidRDefault="00EF217B" w:rsidP="00EF217B">
      <w:pPr>
        <w:pStyle w:val="TableChartFigureSource"/>
      </w:pPr>
      <w:r w:rsidRPr="0033326C">
        <w:t>Source</w:t>
      </w:r>
      <w:r>
        <w:t>: AIHW 2021, AIHW 2023</w:t>
      </w:r>
    </w:p>
    <w:p w14:paraId="1014537A" w14:textId="014845AC" w:rsidR="00EF217B" w:rsidRDefault="00EF217B" w:rsidP="00EF217B">
      <w:pPr>
        <w:pStyle w:val="Heading4"/>
      </w:pPr>
      <w:r>
        <w:t>U</w:t>
      </w:r>
      <w:r>
        <w:rPr>
          <w:caps w:val="0"/>
        </w:rPr>
        <w:t>nited States</w:t>
      </w:r>
    </w:p>
    <w:p w14:paraId="5128B2A4" w14:textId="155E8AF6" w:rsidR="00EF217B" w:rsidRDefault="00EF217B" w:rsidP="00EF217B">
      <w:r w:rsidRPr="00EF217B">
        <w:t>In the U</w:t>
      </w:r>
      <w:r w:rsidR="000B245F">
        <w:t xml:space="preserve">nited </w:t>
      </w:r>
      <w:r w:rsidRPr="00EF217B">
        <w:t>S</w:t>
      </w:r>
      <w:r w:rsidR="000B245F">
        <w:t>tates</w:t>
      </w:r>
      <w:r w:rsidRPr="00EF217B">
        <w:t xml:space="preserve"> the proportion of drug-induced deaths that are unintentional has rapidly increased, from 71 per cent in 1999 to 92 per cent in 2021.</w:t>
      </w:r>
      <w:r w:rsidRPr="00EF217B">
        <w:rPr>
          <w:vertAlign w:val="superscript"/>
        </w:rPr>
        <w:t>36,37</w:t>
      </w:r>
      <w:r w:rsidRPr="00EF217B">
        <w:t xml:space="preserve"> </w:t>
      </w:r>
    </w:p>
    <w:p w14:paraId="27E05FB7" w14:textId="0CD69B6E" w:rsidR="00EF217B" w:rsidRPr="00EF217B" w:rsidRDefault="00EF217B" w:rsidP="00EF217B">
      <w:r w:rsidRPr="00EF217B">
        <w:t>The rise over the last decade has been predominately driven by a significant increase in deaths involving synthetic opioids, such as fentanyl.</w:t>
      </w:r>
      <w:r w:rsidRPr="00EF217B">
        <w:rPr>
          <w:vertAlign w:val="superscript"/>
        </w:rPr>
        <w:t>38</w:t>
      </w:r>
      <w:r w:rsidRPr="00EF217B">
        <w:t xml:space="preserve"> Fentanyl can be used to adulterate other illicit drugs (such as heroin or cocaine) without the user’s knowledge. As fentanyl is significantly (50-100</w:t>
      </w:r>
      <w:r w:rsidR="00F2380A">
        <w:t xml:space="preserve"> times</w:t>
      </w:r>
      <w:r w:rsidRPr="00EF217B">
        <w:t>) more potent than other opioids (such as heroin or morphine), it can lead to overdose.</w:t>
      </w:r>
      <w:r w:rsidRPr="00EF217B">
        <w:rPr>
          <w:vertAlign w:val="superscript"/>
        </w:rPr>
        <w:t>39</w:t>
      </w:r>
    </w:p>
    <w:p w14:paraId="5BD380C4" w14:textId="0AF74911" w:rsidR="00EF217B" w:rsidRDefault="00EF217B" w:rsidP="00B34D34">
      <w:pPr>
        <w:pStyle w:val="TableChartFigureHeading"/>
      </w:pPr>
      <w:r>
        <w:lastRenderedPageBreak/>
        <w:t>Chart 4: Age-standardised death rates, synthetic opioid-induced deaths, Australia and the United States</w:t>
      </w:r>
    </w:p>
    <w:p w14:paraId="71382FD3" w14:textId="61CF854E" w:rsidR="00085087" w:rsidRDefault="00085087" w:rsidP="00A805BF">
      <w:pPr>
        <w:jc w:val="center"/>
        <w:rPr>
          <w:lang w:eastAsia="en-US"/>
        </w:rPr>
      </w:pPr>
      <w:r>
        <w:rPr>
          <w:noProof/>
        </w:rPr>
        <w:drawing>
          <wp:inline distT="0" distB="0" distL="0" distR="0" wp14:anchorId="7139FD6A" wp14:editId="2BC50D28">
            <wp:extent cx="4400550" cy="2190750"/>
            <wp:effectExtent l="0" t="0" r="0" b="0"/>
            <wp:docPr id="1985340623" name="Chart 1" descr="This chart shows age-standardised death rates for synthetic opioid-induced deaths in Australia and the United States between 1999 and 2021.&#10;&#10;US deaths per 100,000 have increased from 0 to 22 whilst deaths per 100,000 in Australia have remained around 1.">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FFC674" w14:textId="5EB17889" w:rsidR="00EF217B" w:rsidRPr="00EA4BD2" w:rsidRDefault="00EF217B" w:rsidP="00EF217B">
      <w:pPr>
        <w:pStyle w:val="TableChartFigureSource"/>
      </w:pPr>
      <w:r w:rsidRPr="0033326C">
        <w:t>Sourc</w:t>
      </w:r>
      <w:r>
        <w:t>e: AIHW 2021</w:t>
      </w:r>
      <w:r w:rsidR="00374E0B">
        <w:t>, NIH</w:t>
      </w:r>
      <w:r w:rsidR="00750651">
        <w:t xml:space="preserve"> 20221</w:t>
      </w:r>
    </w:p>
    <w:p w14:paraId="62346C4D" w14:textId="05E5DDCB" w:rsidR="00EF217B" w:rsidRDefault="004B0025" w:rsidP="004B0025">
      <w:pPr>
        <w:pStyle w:val="Heading3"/>
      </w:pPr>
      <w:r>
        <w:t>a</w:t>
      </w:r>
      <w:r w:rsidR="00887DA1">
        <w:rPr>
          <w:caps w:val="0"/>
        </w:rPr>
        <w:t>lcohol-induced deaths</w:t>
      </w:r>
    </w:p>
    <w:p w14:paraId="1B95BCF9" w14:textId="62A3BD21" w:rsidR="004B0025" w:rsidRDefault="004B0025" w:rsidP="004B0025">
      <w:pPr>
        <w:pStyle w:val="Heading4"/>
      </w:pPr>
      <w:r>
        <w:t>R</w:t>
      </w:r>
      <w:r w:rsidR="00887DA1">
        <w:rPr>
          <w:caps w:val="0"/>
        </w:rPr>
        <w:t>ecent trends</w:t>
      </w:r>
    </w:p>
    <w:p w14:paraId="588FA8A0" w14:textId="4FB40882" w:rsidR="00887DA1" w:rsidRPr="00887DA1" w:rsidRDefault="00887DA1" w:rsidP="00887DA1">
      <w:r w:rsidRPr="00887DA1">
        <w:t>Over the past 20 years, mortality rates for alcohol-induced deaths have been stable in Australia and the U</w:t>
      </w:r>
      <w:r w:rsidR="006717B0">
        <w:t xml:space="preserve">nited </w:t>
      </w:r>
      <w:r w:rsidRPr="00887DA1">
        <w:t>K</w:t>
      </w:r>
      <w:r w:rsidR="006717B0">
        <w:t>ingdom</w:t>
      </w:r>
      <w:r w:rsidRPr="00887DA1">
        <w:t xml:space="preserve"> while in the U</w:t>
      </w:r>
      <w:r w:rsidR="006717B0">
        <w:t xml:space="preserve">nited </w:t>
      </w:r>
      <w:r w:rsidRPr="00887DA1">
        <w:t>S</w:t>
      </w:r>
      <w:r w:rsidR="006717B0">
        <w:t>tates</w:t>
      </w:r>
      <w:r w:rsidRPr="00887DA1">
        <w:t xml:space="preserve"> they increased steadily. The </w:t>
      </w:r>
      <w:r w:rsidR="006717B0" w:rsidRPr="00887DA1">
        <w:t>U</w:t>
      </w:r>
      <w:r w:rsidR="006717B0">
        <w:t xml:space="preserve">nited </w:t>
      </w:r>
      <w:r w:rsidR="006717B0" w:rsidRPr="00887DA1">
        <w:t>K</w:t>
      </w:r>
      <w:r w:rsidR="006717B0">
        <w:t>ingdom</w:t>
      </w:r>
      <w:r w:rsidR="006717B0" w:rsidRPr="00887DA1">
        <w:t xml:space="preserve"> </w:t>
      </w:r>
      <w:r w:rsidRPr="00887DA1">
        <w:t>has historically had higher rates of alcohol-induced death than Australia and the U</w:t>
      </w:r>
      <w:r w:rsidR="006717B0">
        <w:t xml:space="preserve">nited </w:t>
      </w:r>
      <w:r w:rsidRPr="00887DA1">
        <w:t>S</w:t>
      </w:r>
      <w:r w:rsidR="006717B0">
        <w:t>tates</w:t>
      </w:r>
      <w:r w:rsidRPr="00887DA1">
        <w:t xml:space="preserve">, though they were nearly reached in the </w:t>
      </w:r>
      <w:r w:rsidR="006717B0" w:rsidRPr="00887DA1">
        <w:t>U</w:t>
      </w:r>
      <w:r w:rsidR="006717B0">
        <w:t xml:space="preserve">nited </w:t>
      </w:r>
      <w:r w:rsidR="006717B0" w:rsidRPr="00887DA1">
        <w:t>S</w:t>
      </w:r>
      <w:r w:rsidR="006717B0">
        <w:t>tates</w:t>
      </w:r>
      <w:r w:rsidR="006717B0" w:rsidRPr="00887DA1">
        <w:t xml:space="preserve"> </w:t>
      </w:r>
      <w:r w:rsidRPr="00887DA1">
        <w:t xml:space="preserve">by 2021. </w:t>
      </w:r>
    </w:p>
    <w:p w14:paraId="035D2496" w14:textId="5B85C5CB" w:rsidR="00887DA1" w:rsidRDefault="00887DA1" w:rsidP="00887DA1">
      <w:pPr>
        <w:pStyle w:val="Heading4"/>
      </w:pPr>
      <w:r>
        <w:t>F</w:t>
      </w:r>
      <w:r w:rsidR="001F3A01">
        <w:rPr>
          <w:caps w:val="0"/>
        </w:rPr>
        <w:t>irst two years of the pandemic</w:t>
      </w:r>
    </w:p>
    <w:p w14:paraId="7805414A" w14:textId="7ABC73B3" w:rsidR="001F3A01" w:rsidRDefault="001F3A01" w:rsidP="001F3A01">
      <w:r w:rsidRPr="001F3A01">
        <w:t xml:space="preserve">There were large increases in alcohol-induced deaths in the </w:t>
      </w:r>
      <w:r w:rsidR="006717B0" w:rsidRPr="00887DA1">
        <w:t>U</w:t>
      </w:r>
      <w:r w:rsidR="006717B0">
        <w:t xml:space="preserve">nited </w:t>
      </w:r>
      <w:r w:rsidR="006717B0" w:rsidRPr="00887DA1">
        <w:t>S</w:t>
      </w:r>
      <w:r w:rsidR="006717B0">
        <w:t>tates</w:t>
      </w:r>
      <w:r w:rsidR="006717B0" w:rsidRPr="001F3A01">
        <w:t xml:space="preserve"> </w:t>
      </w:r>
      <w:r w:rsidRPr="001F3A01">
        <w:t xml:space="preserve">and </w:t>
      </w:r>
      <w:r w:rsidR="006717B0" w:rsidRPr="006717B0">
        <w:t>United Kingdom</w:t>
      </w:r>
      <w:r w:rsidRPr="001F3A01">
        <w:t xml:space="preserve">, with a smaller increase in Australia. In Australia, the age‐standardised rate of alcohol-induced deaths increased 4 per cent in 2020, and another 5 per cent in 2021. </w:t>
      </w:r>
    </w:p>
    <w:p w14:paraId="5D3C8ECA" w14:textId="70B70318" w:rsidR="001F3A01" w:rsidRPr="001F3A01" w:rsidRDefault="001F3A01" w:rsidP="001F3A01">
      <w:r w:rsidRPr="001F3A01">
        <w:t xml:space="preserve">In the </w:t>
      </w:r>
      <w:r w:rsidR="006717B0" w:rsidRPr="006717B0">
        <w:t>United States</w:t>
      </w:r>
      <w:r w:rsidRPr="001F3A01">
        <w:t xml:space="preserve">, these rates increased by 26 and 10 per cent in 2020 and 2021, while in the </w:t>
      </w:r>
      <w:r w:rsidR="006717B0" w:rsidRPr="006717B0">
        <w:t xml:space="preserve">United Kingdom </w:t>
      </w:r>
      <w:r w:rsidRPr="001F3A01">
        <w:t xml:space="preserve">they increased by 19 and 6 per cent. For both the </w:t>
      </w:r>
      <w:r w:rsidR="006717B0" w:rsidRPr="006717B0">
        <w:t xml:space="preserve">United States </w:t>
      </w:r>
      <w:r w:rsidRPr="001F3A01">
        <w:t xml:space="preserve">and </w:t>
      </w:r>
      <w:r w:rsidR="006717B0" w:rsidRPr="006717B0">
        <w:t>United Kingdom</w:t>
      </w:r>
      <w:r w:rsidRPr="001F3A01">
        <w:t>, these are the highest rates in the period analysed (1999-2021).</w:t>
      </w:r>
    </w:p>
    <w:p w14:paraId="4E7CAF52" w14:textId="076B7944" w:rsidR="00D52BC8" w:rsidRDefault="00D52BC8" w:rsidP="00D52BC8">
      <w:pPr>
        <w:pStyle w:val="TableChartFigureHeading"/>
      </w:pPr>
      <w:r>
        <w:t>Table 3: Summary statistics, alcohol-induced deaths, 2021</w:t>
      </w:r>
    </w:p>
    <w:tbl>
      <w:tblPr>
        <w:tblStyle w:val="TableGrid"/>
        <w:tblW w:w="0" w:type="auto"/>
        <w:tblLook w:val="04A0" w:firstRow="1" w:lastRow="0" w:firstColumn="1" w:lastColumn="0" w:noHBand="0" w:noVBand="1"/>
      </w:tblPr>
      <w:tblGrid>
        <w:gridCol w:w="2265"/>
        <w:gridCol w:w="2265"/>
        <w:gridCol w:w="2265"/>
        <w:gridCol w:w="2265"/>
      </w:tblGrid>
      <w:tr w:rsidR="00D52BC8" w14:paraId="0A24D52A" w14:textId="77777777" w:rsidTr="00D9782A">
        <w:tc>
          <w:tcPr>
            <w:tcW w:w="2265" w:type="dxa"/>
            <w:shd w:val="clear" w:color="auto" w:fill="002C47" w:themeFill="accent1"/>
          </w:tcPr>
          <w:p w14:paraId="205EAB77" w14:textId="77777777" w:rsidR="00D52BC8" w:rsidRPr="00D86C7D" w:rsidRDefault="00D52BC8" w:rsidP="00D9782A">
            <w:pPr>
              <w:pStyle w:val="TableChartFigureHeading"/>
              <w:pBdr>
                <w:top w:val="none" w:sz="0" w:space="0" w:color="auto"/>
              </w:pBdr>
              <w:rPr>
                <w:color w:val="FFFFFF" w:themeColor="background1"/>
              </w:rPr>
            </w:pPr>
          </w:p>
        </w:tc>
        <w:tc>
          <w:tcPr>
            <w:tcW w:w="2265" w:type="dxa"/>
            <w:shd w:val="clear" w:color="auto" w:fill="002C47" w:themeFill="accent1"/>
            <w:vAlign w:val="center"/>
          </w:tcPr>
          <w:p w14:paraId="6AE4C36D" w14:textId="77777777" w:rsidR="00D52BC8" w:rsidRPr="00D86C7D" w:rsidRDefault="00D52BC8" w:rsidP="00D9782A">
            <w:pPr>
              <w:pStyle w:val="TableChartFigureHeading"/>
              <w:pBdr>
                <w:top w:val="none" w:sz="0" w:space="0" w:color="auto"/>
              </w:pBdr>
              <w:jc w:val="center"/>
              <w:rPr>
                <w:color w:val="FFFFFF" w:themeColor="background1"/>
              </w:rPr>
            </w:pPr>
            <w:r w:rsidRPr="00D86C7D">
              <w:rPr>
                <w:color w:val="FFFFFF" w:themeColor="background1"/>
              </w:rPr>
              <w:t>Australia</w:t>
            </w:r>
          </w:p>
        </w:tc>
        <w:tc>
          <w:tcPr>
            <w:tcW w:w="2265" w:type="dxa"/>
            <w:shd w:val="clear" w:color="auto" w:fill="002C47" w:themeFill="accent1"/>
            <w:vAlign w:val="center"/>
          </w:tcPr>
          <w:p w14:paraId="652A2C93" w14:textId="77777777" w:rsidR="00D52BC8" w:rsidRPr="00D86C7D" w:rsidRDefault="00D52BC8" w:rsidP="00D9782A">
            <w:pPr>
              <w:pStyle w:val="TableChartFigureHeading"/>
              <w:pBdr>
                <w:top w:val="none" w:sz="0" w:space="0" w:color="auto"/>
              </w:pBdr>
              <w:jc w:val="center"/>
              <w:rPr>
                <w:color w:val="FFFFFF" w:themeColor="background1"/>
              </w:rPr>
            </w:pPr>
            <w:r w:rsidRPr="00D86C7D">
              <w:rPr>
                <w:color w:val="FFFFFF" w:themeColor="background1"/>
              </w:rPr>
              <w:t>England and Wales</w:t>
            </w:r>
          </w:p>
        </w:tc>
        <w:tc>
          <w:tcPr>
            <w:tcW w:w="2265" w:type="dxa"/>
            <w:shd w:val="clear" w:color="auto" w:fill="002C47" w:themeFill="accent1"/>
            <w:vAlign w:val="center"/>
          </w:tcPr>
          <w:p w14:paraId="1DFCE689" w14:textId="77777777" w:rsidR="00D52BC8" w:rsidRPr="00D86C7D" w:rsidRDefault="00D52BC8" w:rsidP="00D9782A">
            <w:pPr>
              <w:pStyle w:val="TableChartFigureHeading"/>
              <w:pBdr>
                <w:top w:val="none" w:sz="0" w:space="0" w:color="auto"/>
              </w:pBdr>
              <w:jc w:val="center"/>
              <w:rPr>
                <w:color w:val="FFFFFF" w:themeColor="background1"/>
              </w:rPr>
            </w:pPr>
            <w:r w:rsidRPr="00D86C7D">
              <w:rPr>
                <w:color w:val="FFFFFF" w:themeColor="background1"/>
              </w:rPr>
              <w:t>United States</w:t>
            </w:r>
          </w:p>
        </w:tc>
      </w:tr>
      <w:tr w:rsidR="00D52BC8" w14:paraId="048A1675" w14:textId="77777777" w:rsidTr="00D9782A">
        <w:tc>
          <w:tcPr>
            <w:tcW w:w="2265" w:type="dxa"/>
            <w:shd w:val="clear" w:color="auto" w:fill="16578B" w:themeFill="accent2" w:themeFillShade="BF"/>
            <w:vAlign w:val="center"/>
          </w:tcPr>
          <w:p w14:paraId="421252FF" w14:textId="77777777" w:rsidR="00D52BC8" w:rsidRPr="00D86C7D" w:rsidRDefault="00D52BC8" w:rsidP="00D9782A">
            <w:pPr>
              <w:pStyle w:val="TableChartFigureHeading"/>
              <w:pBdr>
                <w:top w:val="none" w:sz="0" w:space="0" w:color="auto"/>
              </w:pBdr>
              <w:rPr>
                <w:color w:val="FFFFFF" w:themeColor="background1"/>
              </w:rPr>
            </w:pPr>
            <w:r w:rsidRPr="00D86C7D">
              <w:rPr>
                <w:color w:val="FFFFFF" w:themeColor="background1"/>
              </w:rPr>
              <w:t>Age-standardised death rate (per 100,000)</w:t>
            </w:r>
          </w:p>
        </w:tc>
        <w:tc>
          <w:tcPr>
            <w:tcW w:w="2265" w:type="dxa"/>
            <w:vAlign w:val="center"/>
          </w:tcPr>
          <w:p w14:paraId="5406D6F4" w14:textId="28F7BDFE" w:rsidR="00D52BC8" w:rsidRDefault="00D52BC8" w:rsidP="00D9782A">
            <w:pPr>
              <w:pStyle w:val="TableChartFigureHeading"/>
              <w:pBdr>
                <w:top w:val="none" w:sz="0" w:space="0" w:color="auto"/>
              </w:pBdr>
              <w:jc w:val="center"/>
            </w:pPr>
            <w:r>
              <w:t>5.4</w:t>
            </w:r>
          </w:p>
        </w:tc>
        <w:tc>
          <w:tcPr>
            <w:tcW w:w="2265" w:type="dxa"/>
            <w:vAlign w:val="center"/>
          </w:tcPr>
          <w:p w14:paraId="25713213" w14:textId="2934C228" w:rsidR="00D52BC8" w:rsidRDefault="00D52BC8" w:rsidP="00D9782A">
            <w:pPr>
              <w:pStyle w:val="TableChartFigureHeading"/>
              <w:pBdr>
                <w:top w:val="none" w:sz="0" w:space="0" w:color="auto"/>
              </w:pBdr>
              <w:jc w:val="center"/>
            </w:pPr>
            <w:r>
              <w:t>14.8</w:t>
            </w:r>
          </w:p>
        </w:tc>
        <w:tc>
          <w:tcPr>
            <w:tcW w:w="2265" w:type="dxa"/>
            <w:vAlign w:val="center"/>
          </w:tcPr>
          <w:p w14:paraId="029AB7CE" w14:textId="4D6C8E0D" w:rsidR="00D52BC8" w:rsidRDefault="00D52BC8" w:rsidP="00D9782A">
            <w:pPr>
              <w:pStyle w:val="TableChartFigureHeading"/>
              <w:pBdr>
                <w:top w:val="none" w:sz="0" w:space="0" w:color="auto"/>
              </w:pBdr>
              <w:jc w:val="center"/>
            </w:pPr>
            <w:r>
              <w:t>14.4</w:t>
            </w:r>
          </w:p>
        </w:tc>
      </w:tr>
      <w:tr w:rsidR="00D52BC8" w14:paraId="4ACD272B" w14:textId="77777777" w:rsidTr="00D9782A">
        <w:tc>
          <w:tcPr>
            <w:tcW w:w="2265" w:type="dxa"/>
            <w:shd w:val="clear" w:color="auto" w:fill="16578B" w:themeFill="accent2" w:themeFillShade="BF"/>
            <w:vAlign w:val="center"/>
          </w:tcPr>
          <w:p w14:paraId="408C37F6" w14:textId="77777777" w:rsidR="00D52BC8" w:rsidRPr="00D86C7D" w:rsidRDefault="00D52BC8" w:rsidP="00D9782A">
            <w:pPr>
              <w:pStyle w:val="TableChartFigureHeading"/>
              <w:pBdr>
                <w:top w:val="none" w:sz="0" w:space="0" w:color="auto"/>
              </w:pBdr>
              <w:rPr>
                <w:color w:val="FFFFFF" w:themeColor="background1"/>
              </w:rPr>
            </w:pPr>
            <w:r w:rsidRPr="00D86C7D">
              <w:rPr>
                <w:color w:val="FFFFFF" w:themeColor="background1"/>
              </w:rPr>
              <w:t>Number of deaths</w:t>
            </w:r>
          </w:p>
        </w:tc>
        <w:tc>
          <w:tcPr>
            <w:tcW w:w="2265" w:type="dxa"/>
            <w:vAlign w:val="center"/>
          </w:tcPr>
          <w:p w14:paraId="5E4B9E57" w14:textId="65427D14" w:rsidR="00D52BC8" w:rsidRDefault="00D52BC8" w:rsidP="00D9782A">
            <w:pPr>
              <w:pStyle w:val="TableChartFigureHeading"/>
              <w:pBdr>
                <w:top w:val="none" w:sz="0" w:space="0" w:color="auto"/>
              </w:pBdr>
              <w:jc w:val="center"/>
            </w:pPr>
            <w:r>
              <w:t>1,559</w:t>
            </w:r>
          </w:p>
        </w:tc>
        <w:tc>
          <w:tcPr>
            <w:tcW w:w="2265" w:type="dxa"/>
            <w:vAlign w:val="center"/>
          </w:tcPr>
          <w:p w14:paraId="16065330" w14:textId="4006EB9B" w:rsidR="00D52BC8" w:rsidRDefault="00D52BC8" w:rsidP="00D9782A">
            <w:pPr>
              <w:pStyle w:val="TableChartFigureHeading"/>
              <w:pBdr>
                <w:top w:val="none" w:sz="0" w:space="0" w:color="auto"/>
              </w:pBdr>
              <w:jc w:val="center"/>
            </w:pPr>
            <w:r>
              <w:t>9,641</w:t>
            </w:r>
          </w:p>
        </w:tc>
        <w:tc>
          <w:tcPr>
            <w:tcW w:w="2265" w:type="dxa"/>
            <w:vAlign w:val="center"/>
          </w:tcPr>
          <w:p w14:paraId="0BB21B47" w14:textId="6D67B750" w:rsidR="00D52BC8" w:rsidRDefault="00D52BC8" w:rsidP="00D9782A">
            <w:pPr>
              <w:pStyle w:val="TableChartFigureHeading"/>
              <w:pBdr>
                <w:top w:val="none" w:sz="0" w:space="0" w:color="auto"/>
              </w:pBdr>
              <w:jc w:val="center"/>
            </w:pPr>
            <w:r>
              <w:t>54,258</w:t>
            </w:r>
          </w:p>
        </w:tc>
      </w:tr>
    </w:tbl>
    <w:p w14:paraId="36EBD96A" w14:textId="2B06F562" w:rsidR="00630CBC" w:rsidRPr="00EA4BD2" w:rsidRDefault="00630CBC" w:rsidP="00630CBC">
      <w:pPr>
        <w:pStyle w:val="TableChartFigureSource"/>
      </w:pPr>
      <w:r w:rsidRPr="0033326C">
        <w:t>Source</w:t>
      </w:r>
      <w:r>
        <w:t>: ABS 2022, ONS 2022, CDC 2021</w:t>
      </w:r>
    </w:p>
    <w:p w14:paraId="462729CB" w14:textId="77777777" w:rsidR="00771FA6" w:rsidRDefault="00771FA6">
      <w:pPr>
        <w:autoSpaceDE/>
        <w:autoSpaceDN/>
        <w:adjustRightInd/>
        <w:spacing w:before="0" w:after="0"/>
        <w:rPr>
          <w:rFonts w:asciiTheme="majorHAnsi" w:hAnsiTheme="majorHAnsi" w:cs="Arial"/>
          <w:b/>
          <w:caps/>
          <w:color w:val="1E75BA" w:themeColor="accent2"/>
          <w:kern w:val="32"/>
          <w:sz w:val="22"/>
          <w:szCs w:val="26"/>
        </w:rPr>
      </w:pPr>
      <w:r>
        <w:br w:type="page"/>
      </w:r>
    </w:p>
    <w:p w14:paraId="46B82326" w14:textId="246808D2" w:rsidR="00630CBC" w:rsidRDefault="000437CC" w:rsidP="004A282A">
      <w:pPr>
        <w:pStyle w:val="Heading4"/>
      </w:pPr>
      <w:r w:rsidRPr="000437CC">
        <w:rPr>
          <w:caps w:val="0"/>
          <w:szCs w:val="24"/>
        </w:rPr>
        <w:lastRenderedPageBreak/>
        <w:t>Trends by age and sex</w:t>
      </w:r>
    </w:p>
    <w:p w14:paraId="2980EBEC" w14:textId="12EB2D09" w:rsidR="004A282A" w:rsidRPr="004A282A" w:rsidRDefault="004A282A" w:rsidP="004A282A">
      <w:r w:rsidRPr="004A282A">
        <w:t xml:space="preserve">As with suicide and drug-induced deaths, rates for alcohol-induced deaths have historically been between 2 to 4 times higher for men than women. This has consistently been observed in Australia, the </w:t>
      </w:r>
      <w:r w:rsidR="000437CC" w:rsidRPr="000437CC">
        <w:t xml:space="preserve">United Kingdom </w:t>
      </w:r>
      <w:r w:rsidRPr="004A282A">
        <w:t xml:space="preserve">and the </w:t>
      </w:r>
      <w:r w:rsidR="000437CC" w:rsidRPr="000437CC">
        <w:t>United States</w:t>
      </w:r>
      <w:r w:rsidRPr="004A282A">
        <w:t>.</w:t>
      </w:r>
      <w:r w:rsidRPr="004A282A">
        <w:rPr>
          <w:vertAlign w:val="superscript"/>
        </w:rPr>
        <w:t>40, 41,42</w:t>
      </w:r>
      <w:r w:rsidRPr="004A282A">
        <w:t xml:space="preserve"> All of the increase in deaths in Australia between 2020 and 2021 was driven by males.</w:t>
      </w:r>
      <w:r w:rsidRPr="004A282A">
        <w:rPr>
          <w:vertAlign w:val="superscript"/>
        </w:rPr>
        <w:t>43</w:t>
      </w:r>
    </w:p>
    <w:p w14:paraId="51E784D1" w14:textId="6EC93A75" w:rsidR="004A282A" w:rsidRPr="004A282A" w:rsidRDefault="004A282A" w:rsidP="004A282A">
      <w:r w:rsidRPr="004A282A">
        <w:t xml:space="preserve">Alcohol-induced death rates are highest for those in middle age across Australia, the </w:t>
      </w:r>
      <w:r w:rsidR="000437CC" w:rsidRPr="000437CC">
        <w:t xml:space="preserve">United Kingdom </w:t>
      </w:r>
      <w:r w:rsidRPr="004A282A">
        <w:t xml:space="preserve">and the </w:t>
      </w:r>
      <w:r w:rsidR="000437CC" w:rsidRPr="000437CC">
        <w:t>United States</w:t>
      </w:r>
      <w:r w:rsidRPr="004A282A">
        <w:t>.</w:t>
      </w:r>
      <w:r w:rsidRPr="004A282A">
        <w:rPr>
          <w:vertAlign w:val="superscript"/>
        </w:rPr>
        <w:t>44,45,46</w:t>
      </w:r>
    </w:p>
    <w:p w14:paraId="39DF15BA" w14:textId="77777777" w:rsidR="004A282A" w:rsidRPr="004A282A" w:rsidRDefault="004A282A" w:rsidP="004A282A">
      <w:r w:rsidRPr="004A282A">
        <w:t>In contrast to drug-induced deaths, where most deaths are due to acute toxicity (i.e. overdose), alcohol-induced deaths are predominantly caused by chronic conditions such as alcoholic liver disease.</w:t>
      </w:r>
      <w:r w:rsidRPr="004A282A">
        <w:rPr>
          <w:vertAlign w:val="superscript"/>
        </w:rPr>
        <w:t>47, 48</w:t>
      </w:r>
      <w:r w:rsidRPr="004A282A">
        <w:t xml:space="preserve"> In 2021, 91 per cent of alcohol-induced deaths in Australia were due to chronic conditions.</w:t>
      </w:r>
      <w:r w:rsidRPr="004A282A">
        <w:rPr>
          <w:vertAlign w:val="superscript"/>
        </w:rPr>
        <w:t>49</w:t>
      </w:r>
    </w:p>
    <w:p w14:paraId="0323228D" w14:textId="39E52749" w:rsidR="005F1CB4" w:rsidRDefault="005F1CB4" w:rsidP="005F1CB4">
      <w:pPr>
        <w:pStyle w:val="TableChartFigureHeading"/>
      </w:pPr>
      <w:r>
        <w:t>Chart</w:t>
      </w:r>
      <w:r w:rsidR="008D245A">
        <w:t xml:space="preserve"> 5: Age-standardised death rates for alcohol-induced deaths</w:t>
      </w:r>
      <w:r w:rsidRPr="004F0673">
        <w:t xml:space="preserve"> </w:t>
      </w:r>
    </w:p>
    <w:p w14:paraId="71D59841" w14:textId="5A4D6A8B" w:rsidR="005F1CB4" w:rsidRPr="005F1CB4" w:rsidRDefault="00526829" w:rsidP="00E93F2A">
      <w:pPr>
        <w:jc w:val="center"/>
        <w:rPr>
          <w:lang w:eastAsia="en-US"/>
        </w:rPr>
      </w:pPr>
      <w:r w:rsidRPr="00526829">
        <w:rPr>
          <w:noProof/>
          <w:lang w:eastAsia="en-US"/>
        </w:rPr>
        <w:drawing>
          <wp:inline distT="0" distB="0" distL="0" distR="0" wp14:anchorId="66FD4CA6" wp14:editId="76AC0068">
            <wp:extent cx="4068000" cy="1664608"/>
            <wp:effectExtent l="0" t="0" r="0" b="0"/>
            <wp:docPr id="1130885059" name="Chart 1" descr="This chart shows age-standardised death rates for alcohol-induced deaths in the United States, United Kingdom and Australia between 1999 and 2021.&#10;&#10;The United States and United Kingdome have seen an increase in deaths per 100,000 rising to around 15 in 2021. Australia's deaths per 100,000 have remained stable at around 6 during this time.">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F12C13" w14:textId="5B720CF4" w:rsidR="005F1CB4" w:rsidRPr="00EA4BD2" w:rsidRDefault="005F1CB4" w:rsidP="005F1CB4">
      <w:pPr>
        <w:pStyle w:val="TableChartFigureSource"/>
      </w:pPr>
      <w:r w:rsidRPr="0033326C">
        <w:t>Source</w:t>
      </w:r>
      <w:r w:rsidR="00526829">
        <w:t xml:space="preserve">: </w:t>
      </w:r>
      <w:r w:rsidR="00CD17B9">
        <w:t>AIHW</w:t>
      </w:r>
      <w:r w:rsidR="00A1063D">
        <w:t xml:space="preserve"> 2021, ONS 202</w:t>
      </w:r>
      <w:r w:rsidR="0056490A">
        <w:t>2</w:t>
      </w:r>
      <w:r w:rsidR="00A1063D">
        <w:t>, CDC 202</w:t>
      </w:r>
      <w:r w:rsidR="003F01C6">
        <w:t>2</w:t>
      </w:r>
    </w:p>
    <w:p w14:paraId="44DFB890" w14:textId="77777777" w:rsidR="004A282A" w:rsidRDefault="004A282A" w:rsidP="004A282A"/>
    <w:p w14:paraId="65E2FE85" w14:textId="485028CC" w:rsidR="00327983" w:rsidRDefault="00327983">
      <w:pPr>
        <w:autoSpaceDE/>
        <w:autoSpaceDN/>
        <w:adjustRightInd/>
        <w:spacing w:before="0" w:after="0"/>
      </w:pPr>
      <w:r>
        <w:br w:type="page"/>
      </w:r>
    </w:p>
    <w:p w14:paraId="463A05C6" w14:textId="62C84257" w:rsidR="00510F00" w:rsidRDefault="00327983" w:rsidP="00327983">
      <w:pPr>
        <w:pStyle w:val="Heading1"/>
      </w:pPr>
      <w:r>
        <w:lastRenderedPageBreak/>
        <w:t>More information</w:t>
      </w:r>
    </w:p>
    <w:p w14:paraId="20E31A8C" w14:textId="0C075E2F" w:rsidR="00327983" w:rsidRDefault="00327983" w:rsidP="00327983">
      <w:pPr>
        <w:pStyle w:val="Heading3"/>
        <w:rPr>
          <w:caps w:val="0"/>
        </w:rPr>
      </w:pPr>
      <w:r>
        <w:t>T</w:t>
      </w:r>
      <w:r>
        <w:rPr>
          <w:caps w:val="0"/>
        </w:rPr>
        <w:t xml:space="preserve">he </w:t>
      </w:r>
      <w:r w:rsidR="000437CC">
        <w:rPr>
          <w:caps w:val="0"/>
        </w:rPr>
        <w:t>C</w:t>
      </w:r>
      <w:r>
        <w:rPr>
          <w:caps w:val="0"/>
        </w:rPr>
        <w:t xml:space="preserve">entre for </w:t>
      </w:r>
      <w:r w:rsidR="000437CC">
        <w:rPr>
          <w:caps w:val="0"/>
        </w:rPr>
        <w:t>P</w:t>
      </w:r>
      <w:r>
        <w:rPr>
          <w:caps w:val="0"/>
        </w:rPr>
        <w:t>opulation</w:t>
      </w:r>
    </w:p>
    <w:p w14:paraId="64686C36" w14:textId="77777777" w:rsidR="008F5BCB" w:rsidRPr="008F5BCB" w:rsidRDefault="008F5BCB" w:rsidP="008F5BCB">
      <w:r w:rsidRPr="008F5BCB">
        <w:rPr>
          <w:lang w:val="en-GB"/>
        </w:rPr>
        <w:t xml:space="preserve">Population change affects every aspect of Australians' lives. It is important to understand how Australia’s population is changing and the implications of these changes. The Centre for Population strives to understand and communicate the nuances of population change. The latest data, research and analysis on mortality trends and population change can be found at </w:t>
      </w:r>
      <w:hyperlink r:id="rId19" w:history="1">
        <w:r w:rsidRPr="008F5BCB">
          <w:rPr>
            <w:rStyle w:val="Hyperlink"/>
            <w:lang w:val="en-GB"/>
          </w:rPr>
          <w:t>www.population.gov.au</w:t>
        </w:r>
      </w:hyperlink>
      <w:r w:rsidRPr="008F5BCB">
        <w:rPr>
          <w:lang w:val="en-GB"/>
        </w:rPr>
        <w:t xml:space="preserve">. The Centre for Population produces yearly </w:t>
      </w:r>
      <w:hyperlink r:id="rId20" w:history="1">
        <w:r w:rsidRPr="008F5BCB">
          <w:rPr>
            <w:rStyle w:val="Hyperlink"/>
            <w:lang w:val="en-GB"/>
          </w:rPr>
          <w:t xml:space="preserve">Population Statements </w:t>
        </w:r>
      </w:hyperlink>
      <w:r w:rsidRPr="008F5BCB">
        <w:rPr>
          <w:lang w:val="en-GB"/>
        </w:rPr>
        <w:t xml:space="preserve">and contributes to </w:t>
      </w:r>
      <w:hyperlink r:id="rId21" w:history="1">
        <w:r w:rsidRPr="008F5BCB">
          <w:rPr>
            <w:rStyle w:val="Hyperlink"/>
            <w:lang w:val="en-GB"/>
          </w:rPr>
          <w:t xml:space="preserve">Intergenerational Reports </w:t>
        </w:r>
      </w:hyperlink>
      <w:r w:rsidRPr="008F5BCB">
        <w:rPr>
          <w:lang w:val="en-GB"/>
        </w:rPr>
        <w:t>released by The Department of the Treasury.</w:t>
      </w:r>
    </w:p>
    <w:p w14:paraId="150C3A0C" w14:textId="77777777" w:rsidR="008F5BCB" w:rsidRPr="008F5BCB" w:rsidRDefault="008F5BCB" w:rsidP="008F5BCB">
      <w:r w:rsidRPr="008F5BCB">
        <w:rPr>
          <w:lang w:val="en-GB"/>
        </w:rPr>
        <w:t xml:space="preserve">The following resources provide more information on mortality trends. </w:t>
      </w:r>
    </w:p>
    <w:p w14:paraId="33059CC8" w14:textId="23D1DFA2" w:rsidR="008F5BCB" w:rsidRPr="008F5BCB" w:rsidRDefault="008F5BCB" w:rsidP="008F5BCB">
      <w:pPr>
        <w:pStyle w:val="Heading4"/>
      </w:pPr>
      <w:r w:rsidRPr="008F5BCB">
        <w:t>R</w:t>
      </w:r>
      <w:r w:rsidRPr="008F5BCB">
        <w:rPr>
          <w:caps w:val="0"/>
        </w:rPr>
        <w:t xml:space="preserve">elevant links for deaths of despair in </w:t>
      </w:r>
      <w:r>
        <w:rPr>
          <w:caps w:val="0"/>
        </w:rPr>
        <w:t>A</w:t>
      </w:r>
      <w:r w:rsidRPr="008F5BCB">
        <w:rPr>
          <w:caps w:val="0"/>
        </w:rPr>
        <w:t>ustralia</w:t>
      </w:r>
    </w:p>
    <w:p w14:paraId="795C610C" w14:textId="77777777" w:rsidR="008F5BCB" w:rsidRPr="008F5BCB" w:rsidRDefault="004D7001" w:rsidP="008F5BCB">
      <w:pPr>
        <w:numPr>
          <w:ilvl w:val="0"/>
          <w:numId w:val="14"/>
        </w:numPr>
      </w:pPr>
      <w:hyperlink r:id="rId22" w:history="1">
        <w:r w:rsidR="008F5BCB" w:rsidRPr="008F5BCB">
          <w:rPr>
            <w:rStyle w:val="Hyperlink"/>
            <w:b/>
            <w:bCs/>
          </w:rPr>
          <w:t xml:space="preserve">Causes of death, Australia </w:t>
        </w:r>
      </w:hyperlink>
      <w:r w:rsidR="008F5BCB" w:rsidRPr="008F5BCB">
        <w:rPr>
          <w:b/>
          <w:bCs/>
        </w:rPr>
        <w:t xml:space="preserve">– Australian Bureau of Statistics: </w:t>
      </w:r>
      <w:r w:rsidR="008F5BCB" w:rsidRPr="008F5BCB">
        <w:t>statistics on the number of deaths, by sex, selected age groups, and cause of death classified to the International Classification of Diseases</w:t>
      </w:r>
    </w:p>
    <w:p w14:paraId="6803F2A2" w14:textId="77777777" w:rsidR="008F5BCB" w:rsidRPr="008F5BCB" w:rsidRDefault="004D7001" w:rsidP="008F5BCB">
      <w:pPr>
        <w:numPr>
          <w:ilvl w:val="0"/>
          <w:numId w:val="14"/>
        </w:numPr>
      </w:pPr>
      <w:hyperlink r:id="rId23" w:history="1">
        <w:r w:rsidR="008F5BCB" w:rsidRPr="008F5BCB">
          <w:rPr>
            <w:rStyle w:val="Hyperlink"/>
            <w:b/>
            <w:bCs/>
          </w:rPr>
          <w:t>Suicide &amp; self-harm monitoring data</w:t>
        </w:r>
      </w:hyperlink>
      <w:r w:rsidR="008F5BCB" w:rsidRPr="008F5BCB">
        <w:rPr>
          <w:b/>
          <w:bCs/>
        </w:rPr>
        <w:t xml:space="preserve"> – Australian Institute of Health and Welfare: </w:t>
      </w:r>
      <w:r w:rsidR="008F5BCB" w:rsidRPr="008F5BCB">
        <w:t>statistical data on suicide and self-harm from multiple national sources.</w:t>
      </w:r>
    </w:p>
    <w:p w14:paraId="7A8012A1" w14:textId="77777777" w:rsidR="008F5BCB" w:rsidRPr="008F5BCB" w:rsidRDefault="004D7001" w:rsidP="008F5BCB">
      <w:pPr>
        <w:numPr>
          <w:ilvl w:val="0"/>
          <w:numId w:val="14"/>
        </w:numPr>
      </w:pPr>
      <w:hyperlink r:id="rId24" w:history="1">
        <w:r w:rsidR="008F5BCB" w:rsidRPr="008F5BCB">
          <w:rPr>
            <w:rStyle w:val="Hyperlink"/>
            <w:b/>
            <w:bCs/>
          </w:rPr>
          <w:t xml:space="preserve">Alcohol, tobacco &amp; other drugs in Australia </w:t>
        </w:r>
      </w:hyperlink>
      <w:r w:rsidR="008F5BCB" w:rsidRPr="008F5BCB">
        <w:rPr>
          <w:b/>
          <w:bCs/>
        </w:rPr>
        <w:t xml:space="preserve">– Australian Institute of Health and Welfare: </w:t>
      </w:r>
      <w:r w:rsidR="008F5BCB" w:rsidRPr="008F5BCB">
        <w:t>this report consolidates recent information on the availability and consumption of alcohol, tobacco and other drugs in Australia, and related impacts, harms and treatment.</w:t>
      </w:r>
    </w:p>
    <w:p w14:paraId="1E57AC44" w14:textId="25AD7CF2" w:rsidR="008F5BCB" w:rsidRPr="008F5BCB" w:rsidRDefault="008F5BCB" w:rsidP="008F5BCB">
      <w:pPr>
        <w:pStyle w:val="Heading4"/>
      </w:pPr>
      <w:r w:rsidRPr="008F5BCB">
        <w:t>R</w:t>
      </w:r>
      <w:r w:rsidRPr="008F5BCB">
        <w:rPr>
          <w:caps w:val="0"/>
        </w:rPr>
        <w:t xml:space="preserve">elevant links for mental health in </w:t>
      </w:r>
      <w:r>
        <w:rPr>
          <w:caps w:val="0"/>
        </w:rPr>
        <w:t>A</w:t>
      </w:r>
      <w:r w:rsidRPr="008F5BCB">
        <w:rPr>
          <w:caps w:val="0"/>
        </w:rPr>
        <w:t>ustralia</w:t>
      </w:r>
    </w:p>
    <w:p w14:paraId="24787742" w14:textId="77777777" w:rsidR="008F5BCB" w:rsidRPr="008F5BCB" w:rsidRDefault="004D7001" w:rsidP="008F5BCB">
      <w:pPr>
        <w:numPr>
          <w:ilvl w:val="0"/>
          <w:numId w:val="15"/>
        </w:numPr>
      </w:pPr>
      <w:hyperlink r:id="rId25" w:history="1">
        <w:r w:rsidR="008F5BCB" w:rsidRPr="008F5BCB">
          <w:rPr>
            <w:rStyle w:val="Hyperlink"/>
            <w:b/>
            <w:bCs/>
          </w:rPr>
          <w:t>Mental health</w:t>
        </w:r>
      </w:hyperlink>
      <w:r w:rsidR="008F5BCB" w:rsidRPr="008F5BCB">
        <w:rPr>
          <w:b/>
          <w:bCs/>
        </w:rPr>
        <w:t xml:space="preserve"> – Australian Bureau of Statistics: </w:t>
      </w:r>
      <w:r w:rsidR="008F5BCB" w:rsidRPr="008F5BCB">
        <w:t>statistics and information about psychological distress, mental and behavioural conditions and its prevalence in Australia.</w:t>
      </w:r>
    </w:p>
    <w:p w14:paraId="3C83EE8D" w14:textId="02039B93" w:rsidR="008F5BCB" w:rsidRPr="008F5BCB" w:rsidRDefault="008F5BCB" w:rsidP="008F5BCB">
      <w:pPr>
        <w:pStyle w:val="Heading4"/>
      </w:pPr>
      <w:r w:rsidRPr="008F5BCB">
        <w:t>R</w:t>
      </w:r>
      <w:r w:rsidRPr="008F5BCB">
        <w:rPr>
          <w:caps w:val="0"/>
        </w:rPr>
        <w:t xml:space="preserve">elevant links for deaths of despair in the </w:t>
      </w:r>
      <w:r>
        <w:rPr>
          <w:caps w:val="0"/>
        </w:rPr>
        <w:t>United Kingdom</w:t>
      </w:r>
    </w:p>
    <w:p w14:paraId="2C636D51" w14:textId="77777777" w:rsidR="008F5BCB" w:rsidRPr="008F5BCB" w:rsidRDefault="004D7001" w:rsidP="008F5BCB">
      <w:pPr>
        <w:numPr>
          <w:ilvl w:val="0"/>
          <w:numId w:val="16"/>
        </w:numPr>
      </w:pPr>
      <w:hyperlink r:id="rId26" w:history="1">
        <w:r w:rsidR="008F5BCB" w:rsidRPr="008F5BCB">
          <w:rPr>
            <w:rStyle w:val="Hyperlink"/>
            <w:b/>
            <w:bCs/>
          </w:rPr>
          <w:t xml:space="preserve">Suicides in England and Wales: 2021 registrations </w:t>
        </w:r>
      </w:hyperlink>
      <w:r w:rsidR="008F5BCB" w:rsidRPr="008F5BCB">
        <w:rPr>
          <w:b/>
          <w:bCs/>
        </w:rPr>
        <w:t xml:space="preserve">– Office for National Statistics: </w:t>
      </w:r>
      <w:r w:rsidR="008F5BCB" w:rsidRPr="008F5BCB">
        <w:t>registered deaths in England and Wales from suicide.</w:t>
      </w:r>
    </w:p>
    <w:p w14:paraId="7D658AF2" w14:textId="77777777" w:rsidR="008F5BCB" w:rsidRPr="008F5BCB" w:rsidRDefault="004D7001" w:rsidP="008F5BCB">
      <w:pPr>
        <w:numPr>
          <w:ilvl w:val="0"/>
          <w:numId w:val="16"/>
        </w:numPr>
      </w:pPr>
      <w:hyperlink r:id="rId27" w:history="1">
        <w:r w:rsidR="008F5BCB" w:rsidRPr="008F5BCB">
          <w:rPr>
            <w:rStyle w:val="Hyperlink"/>
            <w:b/>
            <w:bCs/>
          </w:rPr>
          <w:t xml:space="preserve">Deaths related to drug poisoning in England and Wales: 2021 registrations </w:t>
        </w:r>
      </w:hyperlink>
      <w:r w:rsidR="008F5BCB" w:rsidRPr="008F5BCB">
        <w:rPr>
          <w:b/>
          <w:bCs/>
        </w:rPr>
        <w:t xml:space="preserve">– Office for National Statistics: </w:t>
      </w:r>
      <w:r w:rsidR="008F5BCB" w:rsidRPr="008F5BCB">
        <w:t>deaths related to drug poisoning in England and Wales.</w:t>
      </w:r>
    </w:p>
    <w:p w14:paraId="3B9073E7" w14:textId="58F43DF7" w:rsidR="008F5BCB" w:rsidRPr="008F5BCB" w:rsidRDefault="004D7001" w:rsidP="008F5BCB">
      <w:pPr>
        <w:numPr>
          <w:ilvl w:val="0"/>
          <w:numId w:val="16"/>
        </w:numPr>
      </w:pPr>
      <w:hyperlink r:id="rId28" w:history="1">
        <w:r w:rsidR="008F5BCB" w:rsidRPr="008F5BCB">
          <w:rPr>
            <w:rStyle w:val="Hyperlink"/>
            <w:b/>
            <w:bCs/>
          </w:rPr>
          <w:t>Alcohol-specific deaths in the UK: registered in 2021</w:t>
        </w:r>
      </w:hyperlink>
      <w:r w:rsidR="008F5BCB" w:rsidRPr="008F5BCB">
        <w:rPr>
          <w:b/>
          <w:bCs/>
        </w:rPr>
        <w:t xml:space="preserve">– Office for National Statistics: </w:t>
      </w:r>
      <w:r w:rsidR="008F5BCB" w:rsidRPr="008F5BCB">
        <w:t xml:space="preserve">deaths in the </w:t>
      </w:r>
      <w:r w:rsidR="00730CB8" w:rsidRPr="00730CB8">
        <w:t xml:space="preserve">United Kingdom </w:t>
      </w:r>
      <w:r w:rsidR="008F5BCB" w:rsidRPr="008F5BCB">
        <w:t>caused by diseases known to be a direct consequence of alcohol misuse.</w:t>
      </w:r>
    </w:p>
    <w:p w14:paraId="2FBB46DA" w14:textId="0000D869" w:rsidR="008F5BCB" w:rsidRPr="008F5BCB" w:rsidRDefault="008F5BCB" w:rsidP="008F5BCB">
      <w:pPr>
        <w:pStyle w:val="Heading4"/>
      </w:pPr>
      <w:r w:rsidRPr="008F5BCB">
        <w:t>R</w:t>
      </w:r>
      <w:r w:rsidRPr="008F5BCB">
        <w:rPr>
          <w:caps w:val="0"/>
        </w:rPr>
        <w:t xml:space="preserve">elevant links for deaths of despair in the </w:t>
      </w:r>
      <w:r>
        <w:rPr>
          <w:caps w:val="0"/>
        </w:rPr>
        <w:t>United States</w:t>
      </w:r>
    </w:p>
    <w:p w14:paraId="3E99DC2E" w14:textId="77777777" w:rsidR="008F5BCB" w:rsidRPr="008F5BCB" w:rsidRDefault="004D7001" w:rsidP="008F5BCB">
      <w:pPr>
        <w:numPr>
          <w:ilvl w:val="0"/>
          <w:numId w:val="17"/>
        </w:numPr>
      </w:pPr>
      <w:hyperlink r:id="rId29" w:history="1">
        <w:r w:rsidR="008F5BCB" w:rsidRPr="008F5BCB">
          <w:rPr>
            <w:rStyle w:val="Hyperlink"/>
            <w:b/>
            <w:bCs/>
          </w:rPr>
          <w:t xml:space="preserve">Underlying cause of death, 2018-2021, single race </w:t>
        </w:r>
      </w:hyperlink>
      <w:r w:rsidR="008F5BCB" w:rsidRPr="008F5BCB">
        <w:rPr>
          <w:b/>
          <w:bCs/>
        </w:rPr>
        <w:t xml:space="preserve">– Centers for Disease Control and Prevention: </w:t>
      </w:r>
      <w:r w:rsidR="008F5BCB" w:rsidRPr="008F5BCB">
        <w:t>data based on death certificates with single underlying cause of death.</w:t>
      </w:r>
    </w:p>
    <w:p w14:paraId="2FA0B963" w14:textId="77777777" w:rsidR="008F5BCB" w:rsidRPr="008F5BCB" w:rsidRDefault="004D7001" w:rsidP="008F5BCB">
      <w:pPr>
        <w:numPr>
          <w:ilvl w:val="0"/>
          <w:numId w:val="17"/>
        </w:numPr>
      </w:pPr>
      <w:hyperlink r:id="rId30" w:history="1">
        <w:r w:rsidR="008F5BCB" w:rsidRPr="008F5BCB">
          <w:rPr>
            <w:rStyle w:val="Hyperlink"/>
            <w:b/>
            <w:bCs/>
          </w:rPr>
          <w:t xml:space="preserve">Underlying cause of death, 1999-2020 </w:t>
        </w:r>
      </w:hyperlink>
      <w:r w:rsidR="008F5BCB" w:rsidRPr="008F5BCB">
        <w:rPr>
          <w:b/>
          <w:bCs/>
        </w:rPr>
        <w:t xml:space="preserve">– Centers for Disease Control and Prevention: </w:t>
      </w:r>
      <w:r w:rsidR="008F5BCB" w:rsidRPr="008F5BCB">
        <w:t>data based on death certificates with single underlying cause of death.</w:t>
      </w:r>
    </w:p>
    <w:p w14:paraId="4F112184" w14:textId="70712C8D" w:rsidR="002524E6" w:rsidRDefault="002524E6">
      <w:pPr>
        <w:autoSpaceDE/>
        <w:autoSpaceDN/>
        <w:adjustRightInd/>
        <w:spacing w:before="0" w:after="0"/>
      </w:pPr>
      <w:r>
        <w:br w:type="page"/>
      </w:r>
    </w:p>
    <w:p w14:paraId="40C7167F" w14:textId="08211ED9" w:rsidR="00327983" w:rsidRDefault="002524E6" w:rsidP="002524E6">
      <w:pPr>
        <w:pStyle w:val="Heading1"/>
      </w:pPr>
      <w:r>
        <w:lastRenderedPageBreak/>
        <w:t>Sources</w:t>
      </w:r>
    </w:p>
    <w:p w14:paraId="610BD3D1" w14:textId="77777777" w:rsidR="002524E6" w:rsidRPr="002524E6" w:rsidRDefault="002524E6" w:rsidP="002524E6">
      <w:r w:rsidRPr="002524E6">
        <w:rPr>
          <w:vertAlign w:val="superscript"/>
        </w:rPr>
        <w:t>1</w:t>
      </w:r>
      <w:r w:rsidRPr="002524E6">
        <w:t>Case, A., &amp; Deaton, A. (2020). Deaths of Despair and the Future of Capitalism. Princeton University Press</w:t>
      </w:r>
    </w:p>
    <w:p w14:paraId="1DC9DE88" w14:textId="77777777" w:rsidR="002524E6" w:rsidRPr="002524E6" w:rsidRDefault="002524E6" w:rsidP="002524E6">
      <w:r w:rsidRPr="002524E6">
        <w:rPr>
          <w:vertAlign w:val="superscript"/>
        </w:rPr>
        <w:t>2</w:t>
      </w:r>
      <w:hyperlink r:id="rId31" w:history="1">
        <w:r w:rsidRPr="002524E6">
          <w:rPr>
            <w:rStyle w:val="Hyperlink"/>
          </w:rPr>
          <w:t>https://www.ncbi.nlm.nih.gov/pmc/articles/PMC7144704/</w:t>
        </w:r>
      </w:hyperlink>
    </w:p>
    <w:p w14:paraId="646AC692" w14:textId="77777777" w:rsidR="002524E6" w:rsidRPr="002524E6" w:rsidRDefault="002524E6" w:rsidP="002524E6">
      <w:r w:rsidRPr="002524E6">
        <w:rPr>
          <w:vertAlign w:val="superscript"/>
        </w:rPr>
        <w:t>3</w:t>
      </w:r>
      <w:hyperlink r:id="rId32" w:history="1">
        <w:r w:rsidRPr="002524E6">
          <w:rPr>
            <w:rStyle w:val="Hyperlink"/>
          </w:rPr>
          <w:t>https://www.aihw.gov.au/suicide-self-harm-monitoring/data/data-downloads</w:t>
        </w:r>
      </w:hyperlink>
      <w:r w:rsidRPr="002524E6">
        <w:t xml:space="preserve"> </w:t>
      </w:r>
    </w:p>
    <w:p w14:paraId="6F50AD99" w14:textId="77777777" w:rsidR="002524E6" w:rsidRPr="002524E6" w:rsidRDefault="002524E6" w:rsidP="002524E6">
      <w:r w:rsidRPr="002524E6">
        <w:rPr>
          <w:vertAlign w:val="superscript"/>
          <w:lang w:val="en-GB"/>
        </w:rPr>
        <w:t>4</w:t>
      </w:r>
      <w:hyperlink r:id="rId33" w:history="1">
        <w:r w:rsidRPr="002524E6">
          <w:rPr>
            <w:rStyle w:val="Hyperlink"/>
            <w:lang w:val="en-GB"/>
          </w:rPr>
          <w:t>https://www.aihw.gov.au/reports/life-expectancy-death/deaths-in-australia/contents/leading-causes-of-death</w:t>
        </w:r>
      </w:hyperlink>
      <w:r w:rsidRPr="002524E6">
        <w:rPr>
          <w:lang w:val="en-GB"/>
        </w:rPr>
        <w:t xml:space="preserve"> </w:t>
      </w:r>
    </w:p>
    <w:p w14:paraId="0520A944" w14:textId="77777777" w:rsidR="002524E6" w:rsidRPr="002524E6" w:rsidRDefault="002524E6" w:rsidP="002524E6">
      <w:r w:rsidRPr="002524E6">
        <w:rPr>
          <w:vertAlign w:val="superscript"/>
          <w:lang w:val="en-GB"/>
        </w:rPr>
        <w:t>5</w:t>
      </w:r>
      <w:hyperlink r:id="rId34" w:history="1">
        <w:r w:rsidRPr="002524E6">
          <w:rPr>
            <w:rStyle w:val="Hyperlink"/>
          </w:rPr>
          <w:t>https://www.ons.gov.uk/peoplepopulationandcommunity/birthsdeathsandmarriages/deaths/datasets/suicideinenglandandwales</w:t>
        </w:r>
      </w:hyperlink>
    </w:p>
    <w:p w14:paraId="510A51B8" w14:textId="77777777" w:rsidR="002524E6" w:rsidRPr="002524E6" w:rsidRDefault="002524E6" w:rsidP="002524E6">
      <w:r w:rsidRPr="002524E6">
        <w:rPr>
          <w:vertAlign w:val="superscript"/>
        </w:rPr>
        <w:t>6</w:t>
      </w:r>
      <w:hyperlink r:id="rId35" w:history="1">
        <w:r w:rsidRPr="002524E6">
          <w:rPr>
            <w:rStyle w:val="Hyperlink"/>
          </w:rPr>
          <w:t>https://www.ons.gov.uk/peoplepopulationandcommunity/birthsdeathsandmarriages/deaths/bulletins/suicidesintheunitedkingdom/2019registrations#suicide-patterns-by-age</w:t>
        </w:r>
      </w:hyperlink>
      <w:r w:rsidRPr="002524E6">
        <w:t xml:space="preserve"> </w:t>
      </w:r>
    </w:p>
    <w:p w14:paraId="13EDECA5" w14:textId="77777777" w:rsidR="002524E6" w:rsidRPr="002524E6" w:rsidRDefault="002524E6" w:rsidP="002524E6">
      <w:r w:rsidRPr="002524E6">
        <w:rPr>
          <w:vertAlign w:val="superscript"/>
        </w:rPr>
        <w:t>7</w:t>
      </w:r>
      <w:hyperlink r:id="rId36" w:history="1">
        <w:r w:rsidRPr="002524E6">
          <w:rPr>
            <w:rStyle w:val="Hyperlink"/>
          </w:rPr>
          <w:t>https://www.ons.gov.uk/peoplepopulationandcommunity/birthsdeathsandmarriages/deaths/datasets/suicideinenglandandwales</w:t>
        </w:r>
      </w:hyperlink>
      <w:r w:rsidRPr="002524E6">
        <w:t xml:space="preserve"> </w:t>
      </w:r>
    </w:p>
    <w:p w14:paraId="299C1F87" w14:textId="77777777" w:rsidR="002524E6" w:rsidRPr="002524E6" w:rsidRDefault="002524E6" w:rsidP="002524E6">
      <w:r w:rsidRPr="002524E6">
        <w:rPr>
          <w:vertAlign w:val="superscript"/>
        </w:rPr>
        <w:t>8</w:t>
      </w:r>
      <w:hyperlink r:id="rId37" w:history="1">
        <w:r w:rsidRPr="002524E6">
          <w:rPr>
            <w:rStyle w:val="Hyperlink"/>
          </w:rPr>
          <w:t>https://www.cdc.gov/nchs/products/databriefs/db433.htm</w:t>
        </w:r>
      </w:hyperlink>
    </w:p>
    <w:p w14:paraId="6572509D" w14:textId="77777777" w:rsidR="002524E6" w:rsidRPr="002524E6" w:rsidRDefault="002524E6" w:rsidP="002524E6">
      <w:r w:rsidRPr="002524E6">
        <w:rPr>
          <w:vertAlign w:val="superscript"/>
        </w:rPr>
        <w:t>9</w:t>
      </w:r>
      <w:hyperlink r:id="rId38" w:history="1">
        <w:r w:rsidRPr="002524E6">
          <w:rPr>
            <w:rStyle w:val="Hyperlink"/>
          </w:rPr>
          <w:t>https://wonder.cdc.gov/ucd-icd10.html</w:t>
        </w:r>
      </w:hyperlink>
      <w:r w:rsidRPr="002524E6">
        <w:t xml:space="preserve">  </w:t>
      </w:r>
    </w:p>
    <w:p w14:paraId="6D8B7751" w14:textId="77777777" w:rsidR="002524E6" w:rsidRPr="002524E6" w:rsidRDefault="002524E6" w:rsidP="002524E6">
      <w:r w:rsidRPr="002524E6">
        <w:rPr>
          <w:vertAlign w:val="superscript"/>
        </w:rPr>
        <w:t>10</w:t>
      </w:r>
      <w:hyperlink r:id="rId39" w:history="1">
        <w:r w:rsidRPr="002524E6">
          <w:rPr>
            <w:rStyle w:val="Hyperlink"/>
          </w:rPr>
          <w:t>https://www.cdc.gov/suicide/suicide-data-statistics.html</w:t>
        </w:r>
      </w:hyperlink>
      <w:r w:rsidRPr="002524E6">
        <w:t xml:space="preserve"> </w:t>
      </w:r>
    </w:p>
    <w:p w14:paraId="1A6D47ED" w14:textId="77777777" w:rsidR="002524E6" w:rsidRPr="002524E6" w:rsidRDefault="002524E6" w:rsidP="002524E6">
      <w:r w:rsidRPr="002524E6">
        <w:rPr>
          <w:vertAlign w:val="superscript"/>
        </w:rPr>
        <w:t>11</w:t>
      </w:r>
      <w:hyperlink r:id="rId40" w:history="1">
        <w:r w:rsidRPr="002524E6">
          <w:rPr>
            <w:rStyle w:val="Hyperlink"/>
          </w:rPr>
          <w:t>https://sprc.org/about-suicide/scope-of-the-problem/racial-and-ethnic-disparities/</w:t>
        </w:r>
      </w:hyperlink>
      <w:r w:rsidRPr="002524E6">
        <w:t xml:space="preserve"> </w:t>
      </w:r>
    </w:p>
    <w:p w14:paraId="6D6D1F58" w14:textId="77777777" w:rsidR="002524E6" w:rsidRPr="002524E6" w:rsidRDefault="002524E6" w:rsidP="002524E6">
      <w:r w:rsidRPr="002524E6">
        <w:rPr>
          <w:vertAlign w:val="superscript"/>
        </w:rPr>
        <w:t>12</w:t>
      </w:r>
      <w:hyperlink r:id="rId41" w:history="1">
        <w:r w:rsidRPr="002524E6">
          <w:rPr>
            <w:rStyle w:val="Hyperlink"/>
          </w:rPr>
          <w:t>https://www.aph.gov.au/About_Parliament/Parliamentary_departments/Parliamentary_Library/pubs/rp/BudgetReview202021/MentalHealth#:~:text=Around%20twelve%20months%20later%20and,mental%20health%20services%20delivered%27%20nationally</w:t>
        </w:r>
      </w:hyperlink>
      <w:r w:rsidRPr="002524E6">
        <w:t xml:space="preserve"> </w:t>
      </w:r>
    </w:p>
    <w:p w14:paraId="0E58616B" w14:textId="77777777" w:rsidR="002524E6" w:rsidRPr="002524E6" w:rsidRDefault="002524E6" w:rsidP="002524E6">
      <w:r w:rsidRPr="002524E6">
        <w:rPr>
          <w:vertAlign w:val="superscript"/>
        </w:rPr>
        <w:t>13</w:t>
      </w:r>
      <w:hyperlink r:id="rId42" w:history="1">
        <w:r w:rsidRPr="002524E6">
          <w:rPr>
            <w:rStyle w:val="Hyperlink"/>
          </w:rPr>
          <w:t>https://www.aihw.gov.au/suicide-self-harm-monitoring/data/deaths-by-suicide-in-australia/suicide-deaths-over-time</w:t>
        </w:r>
      </w:hyperlink>
      <w:r w:rsidRPr="002524E6">
        <w:t xml:space="preserve"> </w:t>
      </w:r>
    </w:p>
    <w:p w14:paraId="6F9DEF74" w14:textId="77777777" w:rsidR="002524E6" w:rsidRPr="002524E6" w:rsidRDefault="002524E6" w:rsidP="002524E6">
      <w:r w:rsidRPr="002524E6">
        <w:rPr>
          <w:vertAlign w:val="superscript"/>
        </w:rPr>
        <w:t>14</w:t>
      </w:r>
      <w:hyperlink r:id="rId43" w:history="1">
        <w:r w:rsidRPr="002524E6">
          <w:rPr>
            <w:rStyle w:val="Hyperlink"/>
          </w:rPr>
          <w:t>https://www.aihw.gov.au/suicide-self-harm-monitoring/data/ambulance-attendances/ambulance-attendances-for-suicidal-behaviours</w:t>
        </w:r>
      </w:hyperlink>
      <w:r w:rsidRPr="002524E6">
        <w:t xml:space="preserve"> </w:t>
      </w:r>
    </w:p>
    <w:p w14:paraId="18F82E14" w14:textId="77777777" w:rsidR="002524E6" w:rsidRPr="002524E6" w:rsidRDefault="002524E6" w:rsidP="002524E6">
      <w:r w:rsidRPr="002524E6">
        <w:rPr>
          <w:vertAlign w:val="superscript"/>
        </w:rPr>
        <w:t>15</w:t>
      </w:r>
      <w:hyperlink r:id="rId44" w:history="1">
        <w:r w:rsidRPr="002524E6">
          <w:rPr>
            <w:rStyle w:val="Hyperlink"/>
          </w:rPr>
          <w:t>https://www.ons.gov.uk/peoplepopulationandcommunity/birthsdeathsandmarriages/deaths/bulletins/suicidesintheunitedkingdom/2021registrations</w:t>
        </w:r>
      </w:hyperlink>
      <w:r w:rsidRPr="002524E6">
        <w:t xml:space="preserve"> </w:t>
      </w:r>
    </w:p>
    <w:p w14:paraId="040C6F57" w14:textId="77777777" w:rsidR="002524E6" w:rsidRPr="002524E6" w:rsidRDefault="002524E6" w:rsidP="002524E6">
      <w:r w:rsidRPr="002524E6">
        <w:rPr>
          <w:vertAlign w:val="superscript"/>
        </w:rPr>
        <w:t>16</w:t>
      </w:r>
      <w:hyperlink r:id="rId45" w:history="1">
        <w:r w:rsidRPr="002524E6">
          <w:rPr>
            <w:rStyle w:val="Hyperlink"/>
          </w:rPr>
          <w:t>https://www.cdc.gov/suicide/suicide-data-statistics.html</w:t>
        </w:r>
      </w:hyperlink>
      <w:r w:rsidRPr="002524E6">
        <w:t xml:space="preserve"> </w:t>
      </w:r>
    </w:p>
    <w:p w14:paraId="5302E934" w14:textId="6C180750" w:rsidR="002524E6" w:rsidRDefault="002524E6" w:rsidP="002524E6">
      <w:r w:rsidRPr="002524E6">
        <w:rPr>
          <w:vertAlign w:val="superscript"/>
        </w:rPr>
        <w:t>17</w:t>
      </w:r>
      <w:hyperlink r:id="rId46" w:history="1">
        <w:r w:rsidRPr="002524E6">
          <w:rPr>
            <w:rStyle w:val="Hyperlink"/>
          </w:rPr>
          <w:t>https://www.aihw.gov.au/reports/life-expectancy-death/deaths-in-australia/contents/leading-causes-of-death</w:t>
        </w:r>
      </w:hyperlink>
    </w:p>
    <w:p w14:paraId="1538279D" w14:textId="77777777" w:rsidR="00871621" w:rsidRPr="00871621" w:rsidRDefault="00871621" w:rsidP="00871621">
      <w:r w:rsidRPr="00871621">
        <w:rPr>
          <w:vertAlign w:val="superscript"/>
        </w:rPr>
        <w:t>18</w:t>
      </w:r>
      <w:hyperlink r:id="rId47" w:history="1">
        <w:r w:rsidRPr="00871621">
          <w:rPr>
            <w:rStyle w:val="Hyperlink"/>
          </w:rPr>
          <w:t>https://www.aihw.gov.au/reports/illicit-use-of-drugs/illicit-drug-use</w:t>
        </w:r>
      </w:hyperlink>
      <w:r w:rsidRPr="00871621">
        <w:t xml:space="preserve"> </w:t>
      </w:r>
    </w:p>
    <w:p w14:paraId="265472C6" w14:textId="77777777" w:rsidR="00871621" w:rsidRPr="00871621" w:rsidRDefault="00871621" w:rsidP="00871621">
      <w:r w:rsidRPr="00871621">
        <w:rPr>
          <w:vertAlign w:val="superscript"/>
        </w:rPr>
        <w:t>19</w:t>
      </w:r>
      <w:hyperlink r:id="rId48" w:history="1">
        <w:r w:rsidRPr="00871621">
          <w:rPr>
            <w:rStyle w:val="Hyperlink"/>
          </w:rPr>
          <w:t>https://www.aihw.gov.au/reports/alcohol/alcohol-tobacco-other-drugs-australia/contents/impacts/health-impacts#druginduceddeaths</w:t>
        </w:r>
      </w:hyperlink>
      <w:r w:rsidRPr="00871621">
        <w:t xml:space="preserve"> </w:t>
      </w:r>
    </w:p>
    <w:p w14:paraId="10C3ED60" w14:textId="77777777" w:rsidR="00871621" w:rsidRPr="00871621" w:rsidRDefault="00871621" w:rsidP="00871621">
      <w:r w:rsidRPr="00871621">
        <w:rPr>
          <w:vertAlign w:val="superscript"/>
        </w:rPr>
        <w:t>20</w:t>
      </w:r>
      <w:hyperlink r:id="rId49" w:history="1">
        <w:r w:rsidRPr="00871621">
          <w:rPr>
            <w:rStyle w:val="Hyperlink"/>
          </w:rPr>
          <w:t>https://www.ons.gov.uk/peoplepopulationandcommunity/birthsdeathsandmarriages/deaths/bulletins/deathsrelatedtodrugpoisoninginenglandandwales/2021registrations#:~:text=Approximately%20half%20of%20all%20drug,(112%20deaths%20in%202011)</w:t>
        </w:r>
      </w:hyperlink>
    </w:p>
    <w:p w14:paraId="47762E60" w14:textId="77777777" w:rsidR="00871621" w:rsidRPr="00871621" w:rsidRDefault="00871621" w:rsidP="00871621">
      <w:r w:rsidRPr="00871621">
        <w:rPr>
          <w:vertAlign w:val="superscript"/>
        </w:rPr>
        <w:t>21</w:t>
      </w:r>
      <w:hyperlink r:id="rId50" w:history="1">
        <w:r w:rsidRPr="00871621">
          <w:rPr>
            <w:rStyle w:val="Hyperlink"/>
          </w:rPr>
          <w:t>https://nida.nih.gov/research-topics/trends-statistics/overdose-death-rates#:~:text=Overall%2C%20drug%20overdose%20deaths%20rose,overdose%20deaths%20reported%20in%202021</w:t>
        </w:r>
      </w:hyperlink>
      <w:r w:rsidRPr="00871621">
        <w:t xml:space="preserve"> </w:t>
      </w:r>
    </w:p>
    <w:p w14:paraId="1BDE030D" w14:textId="77777777" w:rsidR="00871621" w:rsidRPr="00871621" w:rsidRDefault="00871621" w:rsidP="00871621">
      <w:r w:rsidRPr="00871621">
        <w:rPr>
          <w:vertAlign w:val="superscript"/>
        </w:rPr>
        <w:t>22</w:t>
      </w:r>
      <w:hyperlink r:id="rId51" w:history="1">
        <w:r w:rsidRPr="00871621">
          <w:rPr>
            <w:rStyle w:val="Hyperlink"/>
          </w:rPr>
          <w:t>https://www.cdc.gov/drugoverdose/deaths/index.html</w:t>
        </w:r>
      </w:hyperlink>
    </w:p>
    <w:p w14:paraId="2F27CBF6" w14:textId="77777777" w:rsidR="00871621" w:rsidRPr="00871621" w:rsidRDefault="00871621" w:rsidP="00871621">
      <w:r w:rsidRPr="00871621">
        <w:rPr>
          <w:vertAlign w:val="superscript"/>
        </w:rPr>
        <w:t>23</w:t>
      </w:r>
      <w:hyperlink r:id="rId52" w:history="1">
        <w:r w:rsidRPr="00871621">
          <w:rPr>
            <w:rStyle w:val="Hyperlink"/>
          </w:rPr>
          <w:t>https://wonder.cdc.gov/ucd-icd10.html</w:t>
        </w:r>
      </w:hyperlink>
      <w:r w:rsidRPr="00871621">
        <w:t xml:space="preserve"> </w:t>
      </w:r>
    </w:p>
    <w:p w14:paraId="24C865B9" w14:textId="77777777" w:rsidR="00871621" w:rsidRPr="00871621" w:rsidRDefault="00871621" w:rsidP="00871621">
      <w:r w:rsidRPr="00871621">
        <w:rPr>
          <w:vertAlign w:val="superscript"/>
        </w:rPr>
        <w:t>24</w:t>
      </w:r>
      <w:hyperlink r:id="rId53" w:history="1">
        <w:r w:rsidRPr="00871621">
          <w:rPr>
            <w:rStyle w:val="Hyperlink"/>
          </w:rPr>
          <w:t>https://wonder.cdc.gov/ucd-icd10-expanded.html</w:t>
        </w:r>
      </w:hyperlink>
      <w:r w:rsidRPr="00871621">
        <w:t xml:space="preserve">  </w:t>
      </w:r>
    </w:p>
    <w:p w14:paraId="36F33D61" w14:textId="77777777" w:rsidR="00871621" w:rsidRPr="00871621" w:rsidRDefault="00871621" w:rsidP="00871621">
      <w:r w:rsidRPr="00871621">
        <w:rPr>
          <w:vertAlign w:val="superscript"/>
        </w:rPr>
        <w:t>25</w:t>
      </w:r>
      <w:hyperlink r:id="rId54" w:history="1">
        <w:r w:rsidRPr="00871621">
          <w:rPr>
            <w:rStyle w:val="Hyperlink"/>
          </w:rPr>
          <w:t>https://www.nytimes.com/interactive/2021/07/14/upshot/drug-overdose-deaths.html#:~:text=Drug%20overdose%20deaths%20rose%20nearly,largest%20single%2Dyear%20increase%20recorded</w:t>
        </w:r>
      </w:hyperlink>
      <w:r w:rsidRPr="00871621">
        <w:t xml:space="preserve"> </w:t>
      </w:r>
    </w:p>
    <w:p w14:paraId="2C867D8B" w14:textId="77777777" w:rsidR="00871621" w:rsidRPr="00871621" w:rsidRDefault="00871621" w:rsidP="00871621">
      <w:r w:rsidRPr="00871621">
        <w:rPr>
          <w:vertAlign w:val="superscript"/>
        </w:rPr>
        <w:lastRenderedPageBreak/>
        <w:t>26</w:t>
      </w:r>
      <w:hyperlink r:id="rId55" w:history="1">
        <w:r w:rsidRPr="00871621">
          <w:rPr>
            <w:rStyle w:val="Hyperlink"/>
          </w:rPr>
          <w:t>https://www.cdc.gov/nchs/products/databriefs/db428.htm</w:t>
        </w:r>
      </w:hyperlink>
      <w:r w:rsidRPr="00871621">
        <w:t xml:space="preserve"> </w:t>
      </w:r>
    </w:p>
    <w:p w14:paraId="3E8B0607" w14:textId="77777777" w:rsidR="00871621" w:rsidRPr="00871621" w:rsidRDefault="00871621" w:rsidP="00871621">
      <w:r w:rsidRPr="00871621">
        <w:rPr>
          <w:vertAlign w:val="superscript"/>
        </w:rPr>
        <w:t>27</w:t>
      </w:r>
      <w:hyperlink r:id="rId56" w:history="1">
        <w:r w:rsidRPr="00871621">
          <w:rPr>
            <w:rStyle w:val="Hyperlink"/>
          </w:rPr>
          <w:t>https://nida.nih.gov/research-topics/trends-statistics/overdose-death-rates#:~:text=Opioid%2Dinvolved%20overdose%20deaths%20rose,with%2080%2C411%20reported%20overdose%20deaths</w:t>
        </w:r>
      </w:hyperlink>
      <w:r w:rsidRPr="00871621">
        <w:rPr>
          <w:vertAlign w:val="superscript"/>
        </w:rPr>
        <w:t xml:space="preserve"> </w:t>
      </w:r>
    </w:p>
    <w:p w14:paraId="76730DC9" w14:textId="77777777" w:rsidR="00871621" w:rsidRPr="00871621" w:rsidRDefault="00871621" w:rsidP="00871621">
      <w:r w:rsidRPr="00871621">
        <w:rPr>
          <w:vertAlign w:val="superscript"/>
        </w:rPr>
        <w:t>28</w:t>
      </w:r>
      <w:hyperlink r:id="rId57" w:history="1">
        <w:r w:rsidRPr="00871621">
          <w:rPr>
            <w:rStyle w:val="Hyperlink"/>
          </w:rPr>
          <w:t>https://www.aihw.gov.au/reports/alcohol/alcohol-tobacco-other-drugs-australia/contents/drug-types/non-medical-use-of-pharmaceutical-drugs</w:t>
        </w:r>
      </w:hyperlink>
      <w:r w:rsidRPr="00871621">
        <w:t xml:space="preserve"> </w:t>
      </w:r>
    </w:p>
    <w:p w14:paraId="36E4D0A8" w14:textId="77777777" w:rsidR="00871621" w:rsidRPr="00871621" w:rsidRDefault="00871621" w:rsidP="00871621">
      <w:r w:rsidRPr="00871621">
        <w:rPr>
          <w:vertAlign w:val="superscript"/>
        </w:rPr>
        <w:t>29</w:t>
      </w:r>
      <w:hyperlink r:id="rId58" w:history="1">
        <w:r w:rsidRPr="00871621">
          <w:rPr>
            <w:rStyle w:val="Hyperlink"/>
          </w:rPr>
          <w:t>https://www.aihw.gov.au/reports/alcohol/alcohol-tobacco-other-drugs-australia/data</w:t>
        </w:r>
      </w:hyperlink>
    </w:p>
    <w:p w14:paraId="03258198" w14:textId="77777777" w:rsidR="00871621" w:rsidRPr="00871621" w:rsidRDefault="00871621" w:rsidP="00871621">
      <w:r w:rsidRPr="00871621">
        <w:rPr>
          <w:vertAlign w:val="superscript"/>
        </w:rPr>
        <w:t>30</w:t>
      </w:r>
      <w:hyperlink r:id="rId59" w:history="1">
        <w:r w:rsidRPr="00871621">
          <w:rPr>
            <w:rStyle w:val="Hyperlink"/>
          </w:rPr>
          <w:t>https://www.aihw.gov.au/reports/alcohol/alcohol-tobacco-other-drugs-australia/contents/impacts/health-impacts</w:t>
        </w:r>
      </w:hyperlink>
    </w:p>
    <w:p w14:paraId="50E95F69" w14:textId="77777777" w:rsidR="00871621" w:rsidRPr="00871621" w:rsidRDefault="00871621" w:rsidP="00871621">
      <w:r w:rsidRPr="00871621">
        <w:rPr>
          <w:vertAlign w:val="superscript"/>
        </w:rPr>
        <w:t>31</w:t>
      </w:r>
      <w:hyperlink r:id="rId60" w:history="1">
        <w:r w:rsidRPr="00871621">
          <w:rPr>
            <w:rStyle w:val="Hyperlink"/>
          </w:rPr>
          <w:t>https://www.ons.gov.uk/peoplepopulationandcommunity/birthsdeathsandmarriages/deaths/bulletins/deathsrelatedtodrugpoisoninginenglandandwales/2021registrations</w:t>
        </w:r>
      </w:hyperlink>
      <w:r w:rsidRPr="00871621">
        <w:t xml:space="preserve"> </w:t>
      </w:r>
    </w:p>
    <w:p w14:paraId="23FE2C05" w14:textId="77777777" w:rsidR="00871621" w:rsidRPr="00871621" w:rsidRDefault="00871621" w:rsidP="00871621">
      <w:r w:rsidRPr="00871621">
        <w:rPr>
          <w:vertAlign w:val="superscript"/>
        </w:rPr>
        <w:t>32</w:t>
      </w:r>
      <w:hyperlink r:id="rId61" w:history="1">
        <w:r w:rsidRPr="00871621">
          <w:rPr>
            <w:rStyle w:val="Hyperlink"/>
          </w:rPr>
          <w:t>https://www.aihw.gov.au/reports/alcohol/alcohol-tobacco-other-drugs-australia/datahttps://www.aihw.gov.au/reports/alcohol/alcohol-tobacco-other-drugs-australia/data</w:t>
        </w:r>
      </w:hyperlink>
    </w:p>
    <w:p w14:paraId="1F2F8DCF" w14:textId="77777777" w:rsidR="00871621" w:rsidRPr="00871621" w:rsidRDefault="00871621" w:rsidP="00871621">
      <w:r w:rsidRPr="00871621">
        <w:rPr>
          <w:vertAlign w:val="superscript"/>
        </w:rPr>
        <w:t>33</w:t>
      </w:r>
      <w:hyperlink r:id="rId62" w:history="1">
        <w:r w:rsidRPr="00871621">
          <w:rPr>
            <w:rStyle w:val="Hyperlink"/>
          </w:rPr>
          <w:t>https://www.abs.gov.au/statistics/health/causes-death/causes-death-australia/2021#data-downloads</w:t>
        </w:r>
      </w:hyperlink>
    </w:p>
    <w:p w14:paraId="7E60139D" w14:textId="77777777" w:rsidR="00871621" w:rsidRPr="00871621" w:rsidRDefault="00871621" w:rsidP="00871621">
      <w:r w:rsidRPr="00871621">
        <w:rPr>
          <w:vertAlign w:val="superscript"/>
        </w:rPr>
        <w:t>34</w:t>
      </w:r>
      <w:hyperlink r:id="rId63" w:history="1">
        <w:r w:rsidRPr="00871621">
          <w:rPr>
            <w:rStyle w:val="Hyperlink"/>
          </w:rPr>
          <w:t>https://www.abs.gov.au/statistics/health/causes-death/causes-death-australia/2021#data-downloads</w:t>
        </w:r>
      </w:hyperlink>
    </w:p>
    <w:p w14:paraId="46DD70EF" w14:textId="77777777" w:rsidR="00871621" w:rsidRPr="00871621" w:rsidRDefault="00871621" w:rsidP="00871621">
      <w:r w:rsidRPr="00871621">
        <w:rPr>
          <w:vertAlign w:val="superscript"/>
        </w:rPr>
        <w:t>35</w:t>
      </w:r>
      <w:hyperlink r:id="rId64" w:history="1">
        <w:r w:rsidRPr="00871621">
          <w:rPr>
            <w:rStyle w:val="Hyperlink"/>
          </w:rPr>
          <w:t>https://www.abs.gov.au/statistics/health/causes-death/causes-death-australia/2021#data-downloads</w:t>
        </w:r>
      </w:hyperlink>
      <w:r w:rsidRPr="00871621">
        <w:t xml:space="preserve"> </w:t>
      </w:r>
    </w:p>
    <w:p w14:paraId="38426741" w14:textId="77777777" w:rsidR="00871621" w:rsidRPr="00871621" w:rsidRDefault="00871621" w:rsidP="00871621">
      <w:r w:rsidRPr="00871621">
        <w:rPr>
          <w:vertAlign w:val="superscript"/>
        </w:rPr>
        <w:t>36</w:t>
      </w:r>
      <w:hyperlink r:id="rId65" w:history="1">
        <w:r w:rsidRPr="00871621">
          <w:rPr>
            <w:rStyle w:val="Hyperlink"/>
          </w:rPr>
          <w:t>https://wonder.cdc.gov/ucd-icd10.html</w:t>
        </w:r>
      </w:hyperlink>
      <w:r w:rsidRPr="00871621">
        <w:t xml:space="preserve"> </w:t>
      </w:r>
    </w:p>
    <w:p w14:paraId="667FE7B3" w14:textId="77777777" w:rsidR="00871621" w:rsidRPr="00871621" w:rsidRDefault="00871621" w:rsidP="00871621">
      <w:r w:rsidRPr="00871621">
        <w:rPr>
          <w:vertAlign w:val="superscript"/>
        </w:rPr>
        <w:t>37</w:t>
      </w:r>
      <w:hyperlink r:id="rId66" w:history="1">
        <w:r w:rsidRPr="00871621">
          <w:rPr>
            <w:rStyle w:val="Hyperlink"/>
          </w:rPr>
          <w:t>https://wonder.cdc.gov/ucd-icd10-expanded.html</w:t>
        </w:r>
      </w:hyperlink>
      <w:r w:rsidRPr="00871621">
        <w:t xml:space="preserve">  </w:t>
      </w:r>
    </w:p>
    <w:p w14:paraId="53E8BBFB" w14:textId="77777777" w:rsidR="00871621" w:rsidRPr="00871621" w:rsidRDefault="00871621" w:rsidP="00871621">
      <w:r w:rsidRPr="00871621">
        <w:rPr>
          <w:vertAlign w:val="superscript"/>
        </w:rPr>
        <w:t>38</w:t>
      </w:r>
      <w:hyperlink r:id="rId67" w:history="1">
        <w:r w:rsidRPr="00871621">
          <w:rPr>
            <w:rStyle w:val="Hyperlink"/>
          </w:rPr>
          <w:t>https://www.cdc.gov/nchs/products/databriefs/db428.htm#fig4</w:t>
        </w:r>
      </w:hyperlink>
    </w:p>
    <w:p w14:paraId="228072FD" w14:textId="77777777" w:rsidR="00871621" w:rsidRPr="00871621" w:rsidRDefault="00871621" w:rsidP="00871621">
      <w:r w:rsidRPr="00871621">
        <w:rPr>
          <w:vertAlign w:val="superscript"/>
        </w:rPr>
        <w:t>39</w:t>
      </w:r>
      <w:hyperlink r:id="rId68" w:history="1">
        <w:r w:rsidRPr="00871621">
          <w:rPr>
            <w:rStyle w:val="Hyperlink"/>
          </w:rPr>
          <w:t>https://www.cdc.gov/stopoverdose/fentanyl/index.html</w:t>
        </w:r>
      </w:hyperlink>
    </w:p>
    <w:p w14:paraId="34C80F7B" w14:textId="77777777" w:rsidR="00871621" w:rsidRPr="00871621" w:rsidRDefault="00871621" w:rsidP="00871621">
      <w:r w:rsidRPr="00871621">
        <w:rPr>
          <w:vertAlign w:val="superscript"/>
        </w:rPr>
        <w:t>40</w:t>
      </w:r>
      <w:hyperlink r:id="rId69" w:history="1">
        <w:r w:rsidRPr="00871621">
          <w:rPr>
            <w:rStyle w:val="Hyperlink"/>
          </w:rPr>
          <w:t>https://www.abs.gov.au/statistics/health/causes-death/causes-death-australia/2021</w:t>
        </w:r>
      </w:hyperlink>
      <w:r w:rsidRPr="00871621">
        <w:t xml:space="preserve">  </w:t>
      </w:r>
    </w:p>
    <w:p w14:paraId="7A06A4AB" w14:textId="77777777" w:rsidR="00871621" w:rsidRPr="00871621" w:rsidRDefault="00871621" w:rsidP="00871621">
      <w:r w:rsidRPr="00871621">
        <w:rPr>
          <w:vertAlign w:val="superscript"/>
        </w:rPr>
        <w:t>41</w:t>
      </w:r>
      <w:hyperlink r:id="rId70" w:history="1">
        <w:r w:rsidRPr="00871621">
          <w:rPr>
            <w:rStyle w:val="Hyperlink"/>
          </w:rPr>
          <w:t>https://www.ons.gov.uk/peoplepopulationandcommunity/birthsdeathsandmarriages/deaths/bulletins/alcoholspecificdeathsintheuk/2021registrations</w:t>
        </w:r>
      </w:hyperlink>
      <w:r w:rsidRPr="00871621">
        <w:t xml:space="preserve"> </w:t>
      </w:r>
    </w:p>
    <w:p w14:paraId="6BE81CCB" w14:textId="77777777" w:rsidR="00871621" w:rsidRPr="00871621" w:rsidRDefault="00871621" w:rsidP="00871621">
      <w:r w:rsidRPr="00871621">
        <w:rPr>
          <w:vertAlign w:val="superscript"/>
        </w:rPr>
        <w:t>42</w:t>
      </w:r>
      <w:hyperlink r:id="rId71" w:history="1">
        <w:r w:rsidRPr="00871621">
          <w:rPr>
            <w:rStyle w:val="Hyperlink"/>
          </w:rPr>
          <w:t>https://jamanetwork.com/journals/</w:t>
        </w:r>
      </w:hyperlink>
      <w:hyperlink r:id="rId72" w:history="1">
        <w:r w:rsidRPr="00871621">
          <w:rPr>
            <w:rStyle w:val="Hyperlink"/>
          </w:rPr>
          <w:t>jamanetworkopen</w:t>
        </w:r>
      </w:hyperlink>
      <w:hyperlink r:id="rId73" w:history="1">
        <w:r w:rsidRPr="00871621">
          <w:rPr>
            <w:rStyle w:val="Hyperlink"/>
          </w:rPr>
          <w:t>/</w:t>
        </w:r>
      </w:hyperlink>
      <w:hyperlink r:id="rId74" w:history="1">
        <w:r w:rsidRPr="00871621">
          <w:rPr>
            <w:rStyle w:val="Hyperlink"/>
          </w:rPr>
          <w:t>fullarticle</w:t>
        </w:r>
      </w:hyperlink>
      <w:hyperlink r:id="rId75" w:history="1">
        <w:r w:rsidRPr="00871621">
          <w:rPr>
            <w:rStyle w:val="Hyperlink"/>
          </w:rPr>
          <w:t>/2807706</w:t>
        </w:r>
      </w:hyperlink>
    </w:p>
    <w:p w14:paraId="42A58E82" w14:textId="77777777" w:rsidR="00871621" w:rsidRPr="00871621" w:rsidRDefault="00871621" w:rsidP="00871621">
      <w:r w:rsidRPr="00871621">
        <w:rPr>
          <w:vertAlign w:val="superscript"/>
        </w:rPr>
        <w:t>43</w:t>
      </w:r>
      <w:hyperlink r:id="rId76" w:history="1">
        <w:r w:rsidRPr="00871621">
          <w:rPr>
            <w:rStyle w:val="Hyperlink"/>
          </w:rPr>
          <w:t>https://www.abs.gov.au/statistics/health/causes-death/causes-death-australia/latest-release</w:t>
        </w:r>
      </w:hyperlink>
      <w:r w:rsidRPr="00871621">
        <w:t xml:space="preserve">  </w:t>
      </w:r>
    </w:p>
    <w:p w14:paraId="6458E751" w14:textId="77777777" w:rsidR="00871621" w:rsidRPr="00871621" w:rsidRDefault="00871621" w:rsidP="00871621">
      <w:r w:rsidRPr="00871621">
        <w:rPr>
          <w:vertAlign w:val="superscript"/>
        </w:rPr>
        <w:t>44</w:t>
      </w:r>
      <w:hyperlink r:id="rId77" w:history="1">
        <w:r w:rsidRPr="00871621">
          <w:rPr>
            <w:rStyle w:val="Hyperlink"/>
          </w:rPr>
          <w:t>https://www.abs.gov.au/statistics/health/causes-death/causes-death-australia/2021</w:t>
        </w:r>
      </w:hyperlink>
      <w:r w:rsidRPr="00871621">
        <w:t xml:space="preserve">  </w:t>
      </w:r>
    </w:p>
    <w:p w14:paraId="41AF0350" w14:textId="77777777" w:rsidR="00871621" w:rsidRPr="00871621" w:rsidRDefault="00871621" w:rsidP="00871621">
      <w:r w:rsidRPr="00871621">
        <w:rPr>
          <w:vertAlign w:val="superscript"/>
        </w:rPr>
        <w:t>45</w:t>
      </w:r>
      <w:hyperlink r:id="rId78" w:history="1">
        <w:r w:rsidRPr="00871621">
          <w:rPr>
            <w:rStyle w:val="Hyperlink"/>
          </w:rPr>
          <w:t>https://www.ons.gov.uk/peoplepopulationandcommunity/birthsdeathsandmarriages/deaths/bulletins/alcoholspecificdeathsintheuk/2021registrations</w:t>
        </w:r>
      </w:hyperlink>
      <w:r w:rsidRPr="00871621">
        <w:t xml:space="preserve"> </w:t>
      </w:r>
    </w:p>
    <w:p w14:paraId="721EFBB0" w14:textId="77777777" w:rsidR="00871621" w:rsidRPr="00871621" w:rsidRDefault="00871621" w:rsidP="00871621">
      <w:r w:rsidRPr="00871621">
        <w:rPr>
          <w:vertAlign w:val="superscript"/>
        </w:rPr>
        <w:t>46</w:t>
      </w:r>
      <w:hyperlink r:id="rId79" w:history="1">
        <w:r w:rsidRPr="00871621">
          <w:rPr>
            <w:rStyle w:val="Hyperlink"/>
          </w:rPr>
          <w:t>https://www.cdc.gov/nchs/products/databriefs/db448.htm#:~:text=Rates%20of%20alcohol%2Dinduced%20deaths,rates%20from%202019%20to%202020</w:t>
        </w:r>
      </w:hyperlink>
      <w:r w:rsidRPr="00871621">
        <w:t xml:space="preserve">  </w:t>
      </w:r>
    </w:p>
    <w:p w14:paraId="29AA70CC" w14:textId="77777777" w:rsidR="00871621" w:rsidRPr="00871621" w:rsidRDefault="00871621" w:rsidP="00871621">
      <w:r w:rsidRPr="00871621">
        <w:rPr>
          <w:vertAlign w:val="superscript"/>
        </w:rPr>
        <w:t>47</w:t>
      </w:r>
      <w:hyperlink r:id="rId80" w:history="1">
        <w:r w:rsidRPr="00871621">
          <w:rPr>
            <w:rStyle w:val="Hyperlink"/>
          </w:rPr>
          <w:t>https://www.aihw.gov.au/reports/alcohol/alcohol-tobacco-other-drugs-australia/contents/impacts/health-impacts</w:t>
        </w:r>
      </w:hyperlink>
      <w:r w:rsidRPr="00871621">
        <w:t xml:space="preserve">   </w:t>
      </w:r>
    </w:p>
    <w:p w14:paraId="0AB5FE48" w14:textId="77777777" w:rsidR="00871621" w:rsidRPr="00871621" w:rsidRDefault="00871621" w:rsidP="00871621">
      <w:r w:rsidRPr="00871621">
        <w:rPr>
          <w:vertAlign w:val="superscript"/>
        </w:rPr>
        <w:t>48</w:t>
      </w:r>
      <w:hyperlink r:id="rId81" w:history="1">
        <w:r w:rsidRPr="00871621">
          <w:rPr>
            <w:rStyle w:val="Hyperlink"/>
          </w:rPr>
          <w:t>https://www.cdc.gov/nchs/products/databriefs/db448.htm#:~:text=Rates%20of%20alcohol%2Dinduced%20deaths,rates%20from%202019%20to%202020</w:t>
        </w:r>
      </w:hyperlink>
      <w:r w:rsidRPr="00871621">
        <w:t xml:space="preserve">  </w:t>
      </w:r>
    </w:p>
    <w:p w14:paraId="23C4964A" w14:textId="02E8BE2B" w:rsidR="00871621" w:rsidRPr="002524E6" w:rsidRDefault="00871621" w:rsidP="00871621">
      <w:r w:rsidRPr="00871621">
        <w:rPr>
          <w:vertAlign w:val="superscript"/>
        </w:rPr>
        <w:t>49</w:t>
      </w:r>
      <w:hyperlink r:id="rId82" w:history="1">
        <w:r w:rsidRPr="00871621">
          <w:rPr>
            <w:rStyle w:val="Hyperlink"/>
          </w:rPr>
          <w:t>https://www.abs.gov.au/statistics/health/causes-death/causes-death-australia/2021#data-downloads</w:t>
        </w:r>
      </w:hyperlink>
    </w:p>
    <w:p w14:paraId="0A79D1CB" w14:textId="77777777" w:rsidR="00630CBC" w:rsidRDefault="00630CBC" w:rsidP="001F3A01"/>
    <w:p w14:paraId="5A3D82D0" w14:textId="6C0E6A98" w:rsidR="00871621" w:rsidRDefault="00871621">
      <w:pPr>
        <w:autoSpaceDE/>
        <w:autoSpaceDN/>
        <w:adjustRightInd/>
        <w:spacing w:before="0" w:after="0"/>
      </w:pPr>
      <w:r>
        <w:br w:type="page"/>
      </w:r>
    </w:p>
    <w:p w14:paraId="001C48E7" w14:textId="6B32184B" w:rsidR="00630CBC" w:rsidRDefault="00871621" w:rsidP="00871621">
      <w:pPr>
        <w:pStyle w:val="Heading1"/>
      </w:pPr>
      <w:r>
        <w:lastRenderedPageBreak/>
        <w:t xml:space="preserve">Appendix – </w:t>
      </w:r>
      <w:r w:rsidR="0056507D">
        <w:t>c</w:t>
      </w:r>
      <w:r>
        <w:t>lassification for cause</w:t>
      </w:r>
      <w:r w:rsidR="005F73F0">
        <w:t xml:space="preserve"> of death</w:t>
      </w:r>
    </w:p>
    <w:p w14:paraId="0720F989" w14:textId="77777777" w:rsidR="005F73F0" w:rsidRPr="005F73F0" w:rsidRDefault="005F73F0" w:rsidP="005F73F0">
      <w:r w:rsidRPr="005F73F0">
        <w:t>The International Classification of Diseases (ICD) is the main basis for health recording and statistics on disease and cause of death. The use of ICD coding allows the comparison of causes of death across countries.</w:t>
      </w:r>
    </w:p>
    <w:p w14:paraId="378755F3" w14:textId="7C51725E" w:rsidR="004223CD" w:rsidRDefault="004223CD" w:rsidP="004223CD">
      <w:pPr>
        <w:pStyle w:val="TableChartFigureHeading"/>
      </w:pPr>
      <w:r>
        <w:t xml:space="preserve">Table 4: </w:t>
      </w:r>
      <w:r w:rsidR="0020082E">
        <w:t>ICD codes for suicide and drug- and alcohol-induced deaths</w:t>
      </w:r>
      <w:r w:rsidRPr="004F0673">
        <w:t xml:space="preserve"> </w:t>
      </w:r>
    </w:p>
    <w:tbl>
      <w:tblPr>
        <w:tblW w:w="5000" w:type="pct"/>
        <w:tblCellMar>
          <w:left w:w="0" w:type="dxa"/>
          <w:right w:w="0" w:type="dxa"/>
        </w:tblCellMar>
        <w:tblLook w:val="0600" w:firstRow="0" w:lastRow="0" w:firstColumn="0" w:lastColumn="0" w:noHBand="1" w:noVBand="1"/>
      </w:tblPr>
      <w:tblGrid>
        <w:gridCol w:w="7379"/>
        <w:gridCol w:w="1671"/>
      </w:tblGrid>
      <w:tr w:rsidR="00E601CF" w:rsidRPr="00E601CF" w14:paraId="1649DF3F" w14:textId="77777777" w:rsidTr="00E601CF">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002C47"/>
            <w:tcMar>
              <w:top w:w="7" w:type="dxa"/>
              <w:left w:w="85" w:type="dxa"/>
              <w:bottom w:w="0" w:type="dxa"/>
              <w:right w:w="85" w:type="dxa"/>
            </w:tcMar>
            <w:vAlign w:val="bottom"/>
            <w:hideMark/>
          </w:tcPr>
          <w:p w14:paraId="4EA6709E" w14:textId="77777777" w:rsidR="00E601CF" w:rsidRPr="00E601CF" w:rsidRDefault="00E601CF" w:rsidP="00E601CF">
            <w:pPr>
              <w:rPr>
                <w:lang w:eastAsia="en-US"/>
              </w:rPr>
            </w:pPr>
            <w:r w:rsidRPr="00E601CF">
              <w:rPr>
                <w:b/>
                <w:bCs/>
                <w:lang w:eastAsia="en-US"/>
              </w:rPr>
              <w:t>Description</w:t>
            </w:r>
          </w:p>
        </w:tc>
        <w:tc>
          <w:tcPr>
            <w:tcW w:w="923" w:type="pct"/>
            <w:tcBorders>
              <w:top w:val="single" w:sz="8" w:space="0" w:color="FFFFFF"/>
              <w:left w:val="single" w:sz="8" w:space="0" w:color="FFFFFF"/>
              <w:bottom w:val="single" w:sz="8" w:space="0" w:color="FFFFFF"/>
              <w:right w:val="single" w:sz="8" w:space="0" w:color="FFFFFF"/>
            </w:tcBorders>
            <w:shd w:val="clear" w:color="auto" w:fill="002C47"/>
            <w:tcMar>
              <w:top w:w="7" w:type="dxa"/>
              <w:left w:w="85" w:type="dxa"/>
              <w:bottom w:w="0" w:type="dxa"/>
              <w:right w:w="85" w:type="dxa"/>
            </w:tcMar>
            <w:vAlign w:val="bottom"/>
            <w:hideMark/>
          </w:tcPr>
          <w:p w14:paraId="623B416D" w14:textId="77777777" w:rsidR="00E601CF" w:rsidRPr="00E601CF" w:rsidRDefault="00E601CF" w:rsidP="00E601CF">
            <w:pPr>
              <w:rPr>
                <w:lang w:eastAsia="en-US"/>
              </w:rPr>
            </w:pPr>
            <w:r w:rsidRPr="00E601CF">
              <w:rPr>
                <w:b/>
                <w:bCs/>
                <w:lang w:eastAsia="en-US"/>
              </w:rPr>
              <w:t>ICD-10 Codes</w:t>
            </w:r>
          </w:p>
        </w:tc>
      </w:tr>
      <w:tr w:rsidR="00E601CF" w:rsidRPr="00E601CF" w14:paraId="284E935F" w14:textId="77777777" w:rsidTr="004E6E5E">
        <w:trPr>
          <w:trHeight w:val="244"/>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16578B" w:themeFill="accent2" w:themeFillShade="BF"/>
            <w:tcMar>
              <w:top w:w="7" w:type="dxa"/>
              <w:left w:w="85" w:type="dxa"/>
              <w:bottom w:w="0" w:type="dxa"/>
              <w:right w:w="85" w:type="dxa"/>
            </w:tcMar>
            <w:vAlign w:val="bottom"/>
            <w:hideMark/>
          </w:tcPr>
          <w:p w14:paraId="2B0635E6" w14:textId="77777777" w:rsidR="00E601CF" w:rsidRPr="00E601CF" w:rsidRDefault="00E601CF" w:rsidP="00E601CF">
            <w:pPr>
              <w:rPr>
                <w:lang w:eastAsia="en-US"/>
              </w:rPr>
            </w:pPr>
            <w:r w:rsidRPr="00730CB8">
              <w:rPr>
                <w:b/>
                <w:bCs/>
                <w:color w:val="FFFFFF" w:themeColor="background1"/>
                <w:lang w:eastAsia="en-US"/>
              </w:rPr>
              <w:t>Suicide deaths</w:t>
            </w:r>
          </w:p>
        </w:tc>
      </w:tr>
      <w:tr w:rsidR="00E601CF" w:rsidRPr="00E601CF" w14:paraId="12341236"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9785CAE" w14:textId="77777777" w:rsidR="00E601CF" w:rsidRPr="00E601CF" w:rsidRDefault="00E601CF" w:rsidP="00E601CF">
            <w:pPr>
              <w:rPr>
                <w:lang w:eastAsia="en-US"/>
              </w:rPr>
            </w:pPr>
            <w:r w:rsidRPr="00E601CF">
              <w:rPr>
                <w:lang w:eastAsia="en-US"/>
              </w:rPr>
              <w:t>Terrorism international (suicide)</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49886FC1" w14:textId="77777777" w:rsidR="00E601CF" w:rsidRPr="00E601CF" w:rsidRDefault="00E601CF" w:rsidP="00E601CF">
            <w:pPr>
              <w:rPr>
                <w:lang w:eastAsia="en-US"/>
              </w:rPr>
            </w:pPr>
            <w:r w:rsidRPr="00E601CF">
              <w:rPr>
                <w:lang w:eastAsia="en-US"/>
              </w:rPr>
              <w:t>U03</w:t>
            </w:r>
          </w:p>
        </w:tc>
      </w:tr>
      <w:tr w:rsidR="00E601CF" w:rsidRPr="00E601CF" w14:paraId="3CF82631"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2AB65F3" w14:textId="77777777" w:rsidR="00E601CF" w:rsidRPr="00E601CF" w:rsidRDefault="00E601CF" w:rsidP="00E601CF">
            <w:pPr>
              <w:rPr>
                <w:lang w:eastAsia="en-US"/>
              </w:rPr>
            </w:pPr>
            <w:r w:rsidRPr="00E601CF">
              <w:rPr>
                <w:lang w:eastAsia="en-US"/>
              </w:rPr>
              <w:t>Intentional self-harm</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4730E4B" w14:textId="77777777" w:rsidR="00E601CF" w:rsidRPr="00E601CF" w:rsidRDefault="00E601CF" w:rsidP="00E601CF">
            <w:pPr>
              <w:rPr>
                <w:lang w:eastAsia="en-US"/>
              </w:rPr>
            </w:pPr>
            <w:r w:rsidRPr="00E601CF">
              <w:rPr>
                <w:lang w:eastAsia="en-US"/>
              </w:rPr>
              <w:t>X60-X84</w:t>
            </w:r>
          </w:p>
        </w:tc>
      </w:tr>
      <w:tr w:rsidR="00E601CF" w:rsidRPr="00E601CF" w14:paraId="6BF47A5F"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6DE0291" w14:textId="77777777" w:rsidR="00E601CF" w:rsidRPr="00E601CF" w:rsidRDefault="00E601CF" w:rsidP="00E601CF">
            <w:pPr>
              <w:rPr>
                <w:lang w:eastAsia="en-US"/>
              </w:rPr>
            </w:pPr>
            <w:r w:rsidRPr="00E601CF">
              <w:rPr>
                <w:lang w:eastAsia="en-US"/>
              </w:rPr>
              <w:t>Sequelae of intentional self-harm</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5E152334" w14:textId="77777777" w:rsidR="00E601CF" w:rsidRPr="00E601CF" w:rsidRDefault="00E601CF" w:rsidP="00E601CF">
            <w:pPr>
              <w:rPr>
                <w:lang w:eastAsia="en-US"/>
              </w:rPr>
            </w:pPr>
            <w:r w:rsidRPr="00E601CF">
              <w:rPr>
                <w:lang w:eastAsia="en-US"/>
              </w:rPr>
              <w:t>Y87.0</w:t>
            </w:r>
          </w:p>
        </w:tc>
      </w:tr>
      <w:tr w:rsidR="00E601CF" w:rsidRPr="00E601CF" w14:paraId="466DCF0E" w14:textId="77777777" w:rsidTr="004E6E5E">
        <w:trPr>
          <w:trHeight w:val="244"/>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16578B" w:themeFill="accent2" w:themeFillShade="BF"/>
            <w:tcMar>
              <w:top w:w="7" w:type="dxa"/>
              <w:left w:w="85" w:type="dxa"/>
              <w:bottom w:w="0" w:type="dxa"/>
              <w:right w:w="85" w:type="dxa"/>
            </w:tcMar>
            <w:vAlign w:val="bottom"/>
            <w:hideMark/>
          </w:tcPr>
          <w:p w14:paraId="1D0791B7" w14:textId="77777777" w:rsidR="00E601CF" w:rsidRPr="00730CB8" w:rsidRDefault="00E601CF" w:rsidP="00E601CF">
            <w:pPr>
              <w:rPr>
                <w:color w:val="FFFFFF" w:themeColor="background1"/>
                <w:lang w:eastAsia="en-US"/>
              </w:rPr>
            </w:pPr>
            <w:r w:rsidRPr="00730CB8">
              <w:rPr>
                <w:b/>
                <w:bCs/>
                <w:color w:val="FFFFFF" w:themeColor="background1"/>
                <w:lang w:eastAsia="en-US"/>
              </w:rPr>
              <w:t>Drug-induced deaths</w:t>
            </w:r>
          </w:p>
        </w:tc>
      </w:tr>
      <w:tr w:rsidR="00E601CF" w:rsidRPr="00E601CF" w14:paraId="44B96A23"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DAD210D" w14:textId="77777777" w:rsidR="00E601CF" w:rsidRPr="00E601CF" w:rsidRDefault="00E601CF" w:rsidP="00E601CF">
            <w:pPr>
              <w:rPr>
                <w:lang w:eastAsia="en-US"/>
              </w:rPr>
            </w:pPr>
            <w:r w:rsidRPr="00E601CF">
              <w:rPr>
                <w:lang w:eastAsia="en-US"/>
              </w:rPr>
              <w:t>Mental and behavioural disorders due to drug use (excluding alcohol and tobacco)</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5D9EF2C" w14:textId="77777777" w:rsidR="00E601CF" w:rsidRPr="00E601CF" w:rsidRDefault="00E601CF" w:rsidP="00E601CF">
            <w:pPr>
              <w:rPr>
                <w:lang w:eastAsia="en-US"/>
              </w:rPr>
            </w:pPr>
            <w:r w:rsidRPr="00E601CF">
              <w:rPr>
                <w:lang w:eastAsia="en-US"/>
              </w:rPr>
              <w:t>F11–F16, F18–F19</w:t>
            </w:r>
          </w:p>
        </w:tc>
      </w:tr>
      <w:tr w:rsidR="00E601CF" w:rsidRPr="00E601CF" w14:paraId="6233DA96"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829A3FF" w14:textId="77777777" w:rsidR="00E601CF" w:rsidRPr="00E601CF" w:rsidRDefault="00E601CF" w:rsidP="00E601CF">
            <w:pPr>
              <w:rPr>
                <w:lang w:eastAsia="en-US"/>
              </w:rPr>
            </w:pPr>
            <w:r w:rsidRPr="00E601CF">
              <w:rPr>
                <w:lang w:eastAsia="en-US"/>
              </w:rPr>
              <w:t>Accidental poisoning by drugs, medicaments and biological substances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0853AF7" w14:textId="77777777" w:rsidR="00E601CF" w:rsidRPr="00E601CF" w:rsidRDefault="00E601CF" w:rsidP="00E601CF">
            <w:pPr>
              <w:rPr>
                <w:lang w:eastAsia="en-US"/>
              </w:rPr>
            </w:pPr>
            <w:r w:rsidRPr="00E601CF">
              <w:rPr>
                <w:lang w:eastAsia="en-US"/>
              </w:rPr>
              <w:t>X40–X44</w:t>
            </w:r>
          </w:p>
        </w:tc>
      </w:tr>
      <w:tr w:rsidR="00E601CF" w:rsidRPr="00E601CF" w14:paraId="063940C2"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A55A9EB" w14:textId="77777777" w:rsidR="00E601CF" w:rsidRPr="00E601CF" w:rsidRDefault="00E601CF" w:rsidP="00E601CF">
            <w:pPr>
              <w:rPr>
                <w:lang w:eastAsia="en-US"/>
              </w:rPr>
            </w:pPr>
            <w:r w:rsidRPr="00E601CF">
              <w:rPr>
                <w:lang w:eastAsia="en-US"/>
              </w:rPr>
              <w:t>Intentional self-poisoning by drugs, medicaments and biological substances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43649F1F" w14:textId="77777777" w:rsidR="00E601CF" w:rsidRPr="00E601CF" w:rsidRDefault="00E601CF" w:rsidP="00E601CF">
            <w:pPr>
              <w:rPr>
                <w:lang w:eastAsia="en-US"/>
              </w:rPr>
            </w:pPr>
            <w:r w:rsidRPr="00E601CF">
              <w:rPr>
                <w:lang w:eastAsia="en-US"/>
              </w:rPr>
              <w:t>X60–X64</w:t>
            </w:r>
          </w:p>
        </w:tc>
      </w:tr>
      <w:tr w:rsidR="00E601CF" w:rsidRPr="00E601CF" w14:paraId="29003276"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5D75F372" w14:textId="77777777" w:rsidR="00E601CF" w:rsidRPr="00E601CF" w:rsidRDefault="00E601CF" w:rsidP="00E601CF">
            <w:pPr>
              <w:rPr>
                <w:lang w:eastAsia="en-US"/>
              </w:rPr>
            </w:pPr>
            <w:r w:rsidRPr="00E601CF">
              <w:rPr>
                <w:lang w:eastAsia="en-US"/>
              </w:rPr>
              <w:t>Assault by drugs, medicaments and biological substances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1093342" w14:textId="77777777" w:rsidR="00E601CF" w:rsidRPr="00E601CF" w:rsidRDefault="00E601CF" w:rsidP="00E601CF">
            <w:pPr>
              <w:rPr>
                <w:lang w:eastAsia="en-US"/>
              </w:rPr>
            </w:pPr>
            <w:r w:rsidRPr="00E601CF">
              <w:rPr>
                <w:lang w:eastAsia="en-US"/>
              </w:rPr>
              <w:t>X85</w:t>
            </w:r>
          </w:p>
        </w:tc>
      </w:tr>
      <w:tr w:rsidR="00E601CF" w:rsidRPr="00E601CF" w14:paraId="352C1A01"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079C9749" w14:textId="77777777" w:rsidR="00E601CF" w:rsidRPr="00E601CF" w:rsidRDefault="00E601CF" w:rsidP="00E601CF">
            <w:pPr>
              <w:rPr>
                <w:lang w:eastAsia="en-US"/>
              </w:rPr>
            </w:pPr>
            <w:r w:rsidRPr="00E601CF">
              <w:rPr>
                <w:lang w:eastAsia="en-US"/>
              </w:rPr>
              <w:t>Poisoning by drugs, medicaments and biological substances, undetermined intent</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D648AC3" w14:textId="77777777" w:rsidR="00E601CF" w:rsidRPr="00E601CF" w:rsidRDefault="00E601CF" w:rsidP="00E601CF">
            <w:pPr>
              <w:rPr>
                <w:lang w:eastAsia="en-US"/>
              </w:rPr>
            </w:pPr>
            <w:r w:rsidRPr="00E601CF">
              <w:rPr>
                <w:lang w:eastAsia="en-US"/>
              </w:rPr>
              <w:t>Y10–Y14</w:t>
            </w:r>
          </w:p>
        </w:tc>
      </w:tr>
      <w:tr w:rsidR="00E601CF" w:rsidRPr="00E601CF" w14:paraId="12551E6B" w14:textId="77777777" w:rsidTr="004E6E5E">
        <w:trPr>
          <w:trHeight w:val="244"/>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16578B" w:themeFill="accent2" w:themeFillShade="BF"/>
            <w:tcMar>
              <w:top w:w="7" w:type="dxa"/>
              <w:left w:w="85" w:type="dxa"/>
              <w:bottom w:w="0" w:type="dxa"/>
              <w:right w:w="85" w:type="dxa"/>
            </w:tcMar>
            <w:vAlign w:val="bottom"/>
            <w:hideMark/>
          </w:tcPr>
          <w:p w14:paraId="77EE76EB" w14:textId="77777777" w:rsidR="00E601CF" w:rsidRPr="00730CB8" w:rsidRDefault="00E601CF" w:rsidP="00E601CF">
            <w:pPr>
              <w:rPr>
                <w:color w:val="FFFFFF" w:themeColor="background1"/>
                <w:lang w:eastAsia="en-US"/>
              </w:rPr>
            </w:pPr>
            <w:r w:rsidRPr="00730CB8">
              <w:rPr>
                <w:b/>
                <w:bCs/>
                <w:color w:val="FFFFFF" w:themeColor="background1"/>
                <w:lang w:eastAsia="en-US"/>
              </w:rPr>
              <w:t>Alcohol-induced deaths</w:t>
            </w:r>
          </w:p>
        </w:tc>
      </w:tr>
      <w:tr w:rsidR="00E601CF" w:rsidRPr="00E601CF" w14:paraId="4A4DE14A"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67CAAE3" w14:textId="77777777" w:rsidR="00E601CF" w:rsidRPr="00E601CF" w:rsidRDefault="00E601CF" w:rsidP="00E601CF">
            <w:pPr>
              <w:rPr>
                <w:lang w:eastAsia="en-US"/>
              </w:rPr>
            </w:pPr>
            <w:r w:rsidRPr="00E601CF">
              <w:rPr>
                <w:lang w:eastAsia="en-US"/>
              </w:rPr>
              <w:t>Alcohol-induced pseudo-Cushing's syndrome</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57B4B342" w14:textId="77777777" w:rsidR="00E601CF" w:rsidRPr="00E601CF" w:rsidRDefault="00E601CF" w:rsidP="00E601CF">
            <w:pPr>
              <w:rPr>
                <w:lang w:eastAsia="en-US"/>
              </w:rPr>
            </w:pPr>
            <w:r w:rsidRPr="00E601CF">
              <w:rPr>
                <w:lang w:eastAsia="en-US"/>
              </w:rPr>
              <w:t>E24.4</w:t>
            </w:r>
          </w:p>
        </w:tc>
      </w:tr>
      <w:tr w:rsidR="00E601CF" w:rsidRPr="00E601CF" w14:paraId="74FF68BB"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28C8A675" w14:textId="77777777" w:rsidR="00E601CF" w:rsidRPr="00E601CF" w:rsidRDefault="00E601CF" w:rsidP="00E601CF">
            <w:pPr>
              <w:rPr>
                <w:lang w:eastAsia="en-US"/>
              </w:rPr>
            </w:pPr>
            <w:r w:rsidRPr="00E601CF">
              <w:rPr>
                <w:lang w:eastAsia="en-US"/>
              </w:rPr>
              <w:t>Mental and behavioural disorders due to use of alcohol</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4A6906D" w14:textId="77777777" w:rsidR="00E601CF" w:rsidRPr="00E601CF" w:rsidRDefault="00E601CF" w:rsidP="00E601CF">
            <w:pPr>
              <w:rPr>
                <w:lang w:eastAsia="en-US"/>
              </w:rPr>
            </w:pPr>
            <w:r w:rsidRPr="00E601CF">
              <w:rPr>
                <w:lang w:eastAsia="en-US"/>
              </w:rPr>
              <w:t>F10</w:t>
            </w:r>
          </w:p>
        </w:tc>
      </w:tr>
      <w:tr w:rsidR="00E601CF" w:rsidRPr="00E601CF" w14:paraId="1CBA2B39"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0561C48D" w14:textId="77777777" w:rsidR="00E601CF" w:rsidRPr="00E601CF" w:rsidRDefault="00E601CF" w:rsidP="00E601CF">
            <w:pPr>
              <w:rPr>
                <w:lang w:eastAsia="en-US"/>
              </w:rPr>
            </w:pPr>
            <w:r w:rsidRPr="00E601CF">
              <w:rPr>
                <w:lang w:eastAsia="en-US"/>
              </w:rPr>
              <w:t>Degeneration of nervous system due to alcohol</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2BDF705" w14:textId="77777777" w:rsidR="00E601CF" w:rsidRPr="00E601CF" w:rsidRDefault="00E601CF" w:rsidP="00E601CF">
            <w:pPr>
              <w:rPr>
                <w:lang w:eastAsia="en-US"/>
              </w:rPr>
            </w:pPr>
            <w:r w:rsidRPr="00E601CF">
              <w:rPr>
                <w:lang w:eastAsia="en-US"/>
              </w:rPr>
              <w:t>G31.2</w:t>
            </w:r>
          </w:p>
        </w:tc>
      </w:tr>
      <w:tr w:rsidR="00E601CF" w:rsidRPr="00E601CF" w14:paraId="7E92E2C0"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2D18EA39" w14:textId="77777777" w:rsidR="00E601CF" w:rsidRPr="00E601CF" w:rsidRDefault="00E601CF" w:rsidP="00E601CF">
            <w:pPr>
              <w:rPr>
                <w:lang w:eastAsia="en-US"/>
              </w:rPr>
            </w:pPr>
            <w:r w:rsidRPr="00E601CF">
              <w:rPr>
                <w:lang w:eastAsia="en-US"/>
              </w:rPr>
              <w:t>Alcoholic polyneuropathy</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2FDE4F3F" w14:textId="77777777" w:rsidR="00E601CF" w:rsidRPr="00E601CF" w:rsidRDefault="00E601CF" w:rsidP="00E601CF">
            <w:pPr>
              <w:rPr>
                <w:lang w:eastAsia="en-US"/>
              </w:rPr>
            </w:pPr>
            <w:r w:rsidRPr="00E601CF">
              <w:rPr>
                <w:lang w:eastAsia="en-US"/>
              </w:rPr>
              <w:t>G62.1</w:t>
            </w:r>
          </w:p>
        </w:tc>
      </w:tr>
      <w:tr w:rsidR="00E601CF" w:rsidRPr="00E601CF" w14:paraId="5A4876FA"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411C8CC" w14:textId="77777777" w:rsidR="00E601CF" w:rsidRPr="00E601CF" w:rsidRDefault="00E601CF" w:rsidP="00E601CF">
            <w:pPr>
              <w:rPr>
                <w:lang w:eastAsia="en-US"/>
              </w:rPr>
            </w:pPr>
            <w:r w:rsidRPr="00E601CF">
              <w:rPr>
                <w:lang w:eastAsia="en-US"/>
              </w:rPr>
              <w:t>Alcoholic myopathy</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9512D6D" w14:textId="77777777" w:rsidR="00E601CF" w:rsidRPr="00E601CF" w:rsidRDefault="00E601CF" w:rsidP="00E601CF">
            <w:pPr>
              <w:rPr>
                <w:lang w:eastAsia="en-US"/>
              </w:rPr>
            </w:pPr>
            <w:r w:rsidRPr="00E601CF">
              <w:rPr>
                <w:lang w:eastAsia="en-US"/>
              </w:rPr>
              <w:t>G72.1</w:t>
            </w:r>
          </w:p>
        </w:tc>
      </w:tr>
      <w:tr w:rsidR="00E601CF" w:rsidRPr="00E601CF" w14:paraId="780A668A"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2909407E" w14:textId="77777777" w:rsidR="00E601CF" w:rsidRPr="00E601CF" w:rsidRDefault="00E601CF" w:rsidP="00E601CF">
            <w:pPr>
              <w:rPr>
                <w:lang w:eastAsia="en-US"/>
              </w:rPr>
            </w:pPr>
            <w:r w:rsidRPr="00E601CF">
              <w:rPr>
                <w:lang w:eastAsia="en-US"/>
              </w:rPr>
              <w:t>Alcoholic cardiomyopathy</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2FBFC49" w14:textId="77777777" w:rsidR="00E601CF" w:rsidRPr="00E601CF" w:rsidRDefault="00E601CF" w:rsidP="00E601CF">
            <w:pPr>
              <w:rPr>
                <w:lang w:eastAsia="en-US"/>
              </w:rPr>
            </w:pPr>
            <w:r w:rsidRPr="00E601CF">
              <w:rPr>
                <w:lang w:eastAsia="en-US"/>
              </w:rPr>
              <w:t>I42.6</w:t>
            </w:r>
          </w:p>
        </w:tc>
      </w:tr>
      <w:tr w:rsidR="00E601CF" w:rsidRPr="00E601CF" w14:paraId="081636F1"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420CBD29" w14:textId="77777777" w:rsidR="00E601CF" w:rsidRPr="00E601CF" w:rsidRDefault="00E601CF" w:rsidP="00E601CF">
            <w:pPr>
              <w:rPr>
                <w:lang w:eastAsia="en-US"/>
              </w:rPr>
            </w:pPr>
            <w:r w:rsidRPr="00E601CF">
              <w:rPr>
                <w:lang w:eastAsia="en-US"/>
              </w:rPr>
              <w:t>Alcoholic gastritis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DC19FA3" w14:textId="77777777" w:rsidR="00E601CF" w:rsidRPr="00E601CF" w:rsidRDefault="00E601CF" w:rsidP="00E601CF">
            <w:pPr>
              <w:rPr>
                <w:lang w:eastAsia="en-US"/>
              </w:rPr>
            </w:pPr>
            <w:r w:rsidRPr="00E601CF">
              <w:rPr>
                <w:lang w:eastAsia="en-US"/>
              </w:rPr>
              <w:t>K29.2</w:t>
            </w:r>
          </w:p>
        </w:tc>
      </w:tr>
      <w:tr w:rsidR="00E601CF" w:rsidRPr="00E601CF" w14:paraId="3C1CDB1D"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57465F71" w14:textId="77777777" w:rsidR="00E601CF" w:rsidRPr="00E601CF" w:rsidRDefault="00E601CF" w:rsidP="00E601CF">
            <w:pPr>
              <w:rPr>
                <w:lang w:eastAsia="en-US"/>
              </w:rPr>
            </w:pPr>
            <w:r w:rsidRPr="00E601CF">
              <w:rPr>
                <w:lang w:eastAsia="en-US"/>
              </w:rPr>
              <w:t>Alcoholic liver disease</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41C84C1D" w14:textId="77777777" w:rsidR="00E601CF" w:rsidRPr="00E601CF" w:rsidRDefault="00E601CF" w:rsidP="00E601CF">
            <w:pPr>
              <w:rPr>
                <w:lang w:eastAsia="en-US"/>
              </w:rPr>
            </w:pPr>
            <w:r w:rsidRPr="00E601CF">
              <w:rPr>
                <w:lang w:eastAsia="en-US"/>
              </w:rPr>
              <w:t>K70</w:t>
            </w:r>
          </w:p>
        </w:tc>
      </w:tr>
      <w:tr w:rsidR="00E601CF" w:rsidRPr="00E601CF" w14:paraId="4DC585F2"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A0EB490" w14:textId="77777777" w:rsidR="00E601CF" w:rsidRPr="00E601CF" w:rsidRDefault="00E601CF" w:rsidP="00E601CF">
            <w:pPr>
              <w:rPr>
                <w:lang w:eastAsia="en-US"/>
              </w:rPr>
            </w:pPr>
            <w:r w:rsidRPr="00E601CF">
              <w:rPr>
                <w:lang w:eastAsia="en-US"/>
              </w:rPr>
              <w:t>Alcohol-induced acute pancreatitis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131C7A9" w14:textId="77777777" w:rsidR="00E601CF" w:rsidRPr="00E601CF" w:rsidRDefault="00E601CF" w:rsidP="00E601CF">
            <w:pPr>
              <w:rPr>
                <w:lang w:eastAsia="en-US"/>
              </w:rPr>
            </w:pPr>
            <w:r w:rsidRPr="00E601CF">
              <w:rPr>
                <w:lang w:eastAsia="en-US"/>
              </w:rPr>
              <w:t>K85.2</w:t>
            </w:r>
          </w:p>
        </w:tc>
      </w:tr>
      <w:tr w:rsidR="00E601CF" w:rsidRPr="00E601CF" w14:paraId="65F8C9E0"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2DB06FCE" w14:textId="77777777" w:rsidR="00E601CF" w:rsidRPr="00E601CF" w:rsidRDefault="00E601CF" w:rsidP="00E601CF">
            <w:pPr>
              <w:rPr>
                <w:lang w:eastAsia="en-US"/>
              </w:rPr>
            </w:pPr>
            <w:r w:rsidRPr="00E601CF">
              <w:rPr>
                <w:lang w:eastAsia="en-US"/>
              </w:rPr>
              <w:t>Alcohol-induced chronic pancreatitis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4BDF1F9" w14:textId="77777777" w:rsidR="00E601CF" w:rsidRPr="00E601CF" w:rsidRDefault="00E601CF" w:rsidP="00E601CF">
            <w:pPr>
              <w:rPr>
                <w:lang w:eastAsia="en-US"/>
              </w:rPr>
            </w:pPr>
            <w:r w:rsidRPr="00E601CF">
              <w:rPr>
                <w:lang w:eastAsia="en-US"/>
              </w:rPr>
              <w:t>K86.0</w:t>
            </w:r>
          </w:p>
        </w:tc>
      </w:tr>
      <w:tr w:rsidR="00E601CF" w:rsidRPr="00E601CF" w14:paraId="78CDE25E"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4659036" w14:textId="77777777" w:rsidR="00E601CF" w:rsidRPr="00E601CF" w:rsidRDefault="00E601CF" w:rsidP="00E601CF">
            <w:pPr>
              <w:rPr>
                <w:lang w:eastAsia="en-US"/>
              </w:rPr>
            </w:pPr>
            <w:r w:rsidRPr="00E601CF">
              <w:rPr>
                <w:lang w:eastAsia="en-US"/>
              </w:rPr>
              <w:t>Fetal induced alcohol syndrome (dysmorphic)</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175A286F" w14:textId="77777777" w:rsidR="00E601CF" w:rsidRPr="00E601CF" w:rsidRDefault="00E601CF" w:rsidP="00E601CF">
            <w:pPr>
              <w:rPr>
                <w:lang w:eastAsia="en-US"/>
              </w:rPr>
            </w:pPr>
            <w:r w:rsidRPr="00E601CF">
              <w:rPr>
                <w:lang w:eastAsia="en-US"/>
              </w:rPr>
              <w:t>Q86.0</w:t>
            </w:r>
          </w:p>
        </w:tc>
      </w:tr>
      <w:tr w:rsidR="00E601CF" w:rsidRPr="00E601CF" w14:paraId="3CA3B4D8"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0D722B42" w14:textId="77777777" w:rsidR="00E601CF" w:rsidRPr="00E601CF" w:rsidRDefault="00E601CF" w:rsidP="00E601CF">
            <w:pPr>
              <w:rPr>
                <w:lang w:eastAsia="en-US"/>
              </w:rPr>
            </w:pPr>
            <w:r w:rsidRPr="00E601CF">
              <w:rPr>
                <w:lang w:eastAsia="en-US"/>
              </w:rPr>
              <w:lastRenderedPageBreak/>
              <w:t>Excess alcohol blood levels</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FF2473C" w14:textId="77777777" w:rsidR="00E601CF" w:rsidRPr="00E601CF" w:rsidRDefault="00E601CF" w:rsidP="00E601CF">
            <w:pPr>
              <w:rPr>
                <w:lang w:eastAsia="en-US"/>
              </w:rPr>
            </w:pPr>
            <w:r w:rsidRPr="00E601CF">
              <w:rPr>
                <w:lang w:eastAsia="en-US"/>
              </w:rPr>
              <w:t>R78.0</w:t>
            </w:r>
          </w:p>
        </w:tc>
      </w:tr>
      <w:tr w:rsidR="00E601CF" w:rsidRPr="00E601CF" w14:paraId="0AC4B5FE"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6F5D999C" w14:textId="77777777" w:rsidR="00E601CF" w:rsidRPr="00E601CF" w:rsidRDefault="00E601CF" w:rsidP="00E601CF">
            <w:pPr>
              <w:rPr>
                <w:lang w:eastAsia="en-US"/>
              </w:rPr>
            </w:pPr>
            <w:r w:rsidRPr="00E601CF">
              <w:rPr>
                <w:lang w:eastAsia="en-US"/>
              </w:rPr>
              <w:t>Accidental poisoning by and exposure to alcohol</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74DAD906" w14:textId="77777777" w:rsidR="00E601CF" w:rsidRPr="00E601CF" w:rsidRDefault="00E601CF" w:rsidP="00E601CF">
            <w:pPr>
              <w:rPr>
                <w:lang w:eastAsia="en-US"/>
              </w:rPr>
            </w:pPr>
            <w:r w:rsidRPr="00E601CF">
              <w:rPr>
                <w:lang w:eastAsia="en-US"/>
              </w:rPr>
              <w:t>X45</w:t>
            </w:r>
          </w:p>
        </w:tc>
      </w:tr>
      <w:tr w:rsidR="00E601CF" w:rsidRPr="00E601CF" w14:paraId="48FF4FCE"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78679A9" w14:textId="77777777" w:rsidR="00E601CF" w:rsidRPr="00E601CF" w:rsidRDefault="00E601CF" w:rsidP="00E601CF">
            <w:pPr>
              <w:rPr>
                <w:lang w:eastAsia="en-US"/>
              </w:rPr>
            </w:pPr>
            <w:r w:rsidRPr="00E601CF">
              <w:rPr>
                <w:lang w:eastAsia="en-US"/>
              </w:rPr>
              <w:t>Intentional self-poisoning by and exposure to alcohol</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CF61E90" w14:textId="77777777" w:rsidR="00E601CF" w:rsidRPr="00E601CF" w:rsidRDefault="00E601CF" w:rsidP="00E601CF">
            <w:pPr>
              <w:rPr>
                <w:lang w:eastAsia="en-US"/>
              </w:rPr>
            </w:pPr>
            <w:r w:rsidRPr="00E601CF">
              <w:rPr>
                <w:lang w:eastAsia="en-US"/>
              </w:rPr>
              <w:t>X65</w:t>
            </w:r>
          </w:p>
        </w:tc>
      </w:tr>
      <w:tr w:rsidR="00E601CF" w:rsidRPr="00E601CF" w14:paraId="2DC32C9A" w14:textId="77777777" w:rsidTr="004E6E5E">
        <w:trPr>
          <w:trHeight w:val="244"/>
        </w:trPr>
        <w:tc>
          <w:tcPr>
            <w:tcW w:w="407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05A57558" w14:textId="77777777" w:rsidR="00E601CF" w:rsidRPr="00E601CF" w:rsidRDefault="00E601CF" w:rsidP="00E601CF">
            <w:pPr>
              <w:rPr>
                <w:lang w:eastAsia="en-US"/>
              </w:rPr>
            </w:pPr>
            <w:r w:rsidRPr="00E601CF">
              <w:rPr>
                <w:lang w:eastAsia="en-US"/>
              </w:rPr>
              <w:t>Poisoning by and exposure to alcohol, undetermined intent</w:t>
            </w:r>
          </w:p>
        </w:tc>
        <w:tc>
          <w:tcPr>
            <w:tcW w:w="92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 w:type="dxa"/>
              <w:left w:w="85" w:type="dxa"/>
              <w:bottom w:w="0" w:type="dxa"/>
              <w:right w:w="85" w:type="dxa"/>
            </w:tcMar>
            <w:hideMark/>
          </w:tcPr>
          <w:p w14:paraId="37936CD6" w14:textId="77777777" w:rsidR="00E601CF" w:rsidRPr="00E601CF" w:rsidRDefault="00E601CF" w:rsidP="00E601CF">
            <w:pPr>
              <w:rPr>
                <w:lang w:eastAsia="en-US"/>
              </w:rPr>
            </w:pPr>
            <w:r w:rsidRPr="00E601CF">
              <w:rPr>
                <w:lang w:eastAsia="en-US"/>
              </w:rPr>
              <w:t>Y15</w:t>
            </w:r>
          </w:p>
        </w:tc>
      </w:tr>
    </w:tbl>
    <w:p w14:paraId="5DF90A11" w14:textId="3D687FE5" w:rsidR="004223CD" w:rsidRDefault="004223CD" w:rsidP="004223CD">
      <w:pPr>
        <w:pStyle w:val="TableChartFigureSource"/>
      </w:pPr>
      <w:r w:rsidRPr="0033326C">
        <w:t>Source</w:t>
      </w:r>
      <w:r w:rsidR="004C1502">
        <w:t>: ICD 202</w:t>
      </w:r>
      <w:r w:rsidR="008B3EF9">
        <w:t>2</w:t>
      </w:r>
    </w:p>
    <w:p w14:paraId="6864A376" w14:textId="77777777" w:rsidR="000D634D" w:rsidRPr="00D56F32" w:rsidRDefault="000D634D" w:rsidP="00876D99">
      <w:pPr>
        <w:pStyle w:val="Heading1"/>
        <w:jc w:val="center"/>
        <w:rPr>
          <w:i/>
          <w:iCs/>
        </w:rPr>
      </w:pPr>
      <w:r w:rsidRPr="00D56F32">
        <w:rPr>
          <w:i/>
          <w:iCs/>
          <w:lang w:val="en-GB"/>
        </w:rPr>
        <w:t>Strong evidence. Deep insights. Collaborative approach.</w:t>
      </w:r>
    </w:p>
    <w:p w14:paraId="6CB43960" w14:textId="6F235E61" w:rsidR="000D634D" w:rsidRPr="000D634D" w:rsidRDefault="00D56F32" w:rsidP="00876D99">
      <w:pPr>
        <w:pStyle w:val="Heading4"/>
        <w:jc w:val="center"/>
      </w:pPr>
      <w:r w:rsidRPr="000D634D">
        <w:rPr>
          <w:caps w:val="0"/>
          <w:lang w:val="en-GB"/>
        </w:rPr>
        <w:t>www.population.gov.au</w:t>
      </w:r>
    </w:p>
    <w:p w14:paraId="20F5F12F" w14:textId="4DE86BF5" w:rsidR="00D56F32" w:rsidRPr="00D56F32" w:rsidRDefault="00D56F32" w:rsidP="00D56F32">
      <w:r w:rsidRPr="00D56F32">
        <w:t>© Commonwealth of Australia 202</w:t>
      </w:r>
      <w:r>
        <w:t>4</w:t>
      </w:r>
      <w:r w:rsidRPr="00D56F32">
        <w:t>.</w:t>
      </w:r>
    </w:p>
    <w:p w14:paraId="16325931" w14:textId="77777777" w:rsidR="00D56F32" w:rsidRPr="00D56F32" w:rsidRDefault="00D56F32" w:rsidP="00D56F32">
      <w:r w:rsidRPr="00D56F32">
        <w:t xml:space="preserve">This publication is available for your use under a </w:t>
      </w:r>
      <w:hyperlink r:id="rId83" w:history="1">
        <w:r w:rsidRPr="00D56F32">
          <w:rPr>
            <w:rStyle w:val="Hyperlink"/>
          </w:rPr>
          <w:t>Creative Commons Attribution 3.0 Australia</w:t>
        </w:r>
      </w:hyperlink>
      <w:r w:rsidRPr="00D56F32">
        <w:t xml:space="preserve"> licence, with the exception of the Commonwealth Coat of Arms, the Treasury logo, photographs, images, signatures and where otherwise stated</w:t>
      </w:r>
    </w:p>
    <w:p w14:paraId="24945A5C" w14:textId="77777777" w:rsidR="00D56F32" w:rsidRPr="00D56F32" w:rsidRDefault="00D56F32" w:rsidP="00D56F32">
      <w:r w:rsidRPr="00D56F32">
        <w:t xml:space="preserve">Use of Treasury material under a </w:t>
      </w:r>
      <w:hyperlink r:id="rId84" w:history="1">
        <w:r w:rsidRPr="00D56F32">
          <w:rPr>
            <w:rStyle w:val="Hyperlink"/>
          </w:rPr>
          <w:t>Creative Commons Attribution 3.0 Australia</w:t>
        </w:r>
      </w:hyperlink>
      <w:r w:rsidRPr="00D56F32">
        <w:t xml:space="preserve"> licence requires you to attribute the work (but not in any way that suggests that the Treasury endorses you or your use of the work).</w:t>
      </w:r>
    </w:p>
    <w:p w14:paraId="6A5B3FAE" w14:textId="77777777" w:rsidR="00D56F32" w:rsidRPr="00D56F32" w:rsidRDefault="00D56F32" w:rsidP="00D56F32">
      <w:r w:rsidRPr="00D56F32">
        <w:rPr>
          <w:i/>
          <w:iCs/>
        </w:rPr>
        <w:t>Treasury material used ‘as supplied’.</w:t>
      </w:r>
    </w:p>
    <w:p w14:paraId="49A6E242" w14:textId="77777777" w:rsidR="00D56F32" w:rsidRPr="00D56F32" w:rsidRDefault="00D56F32" w:rsidP="00D56F32">
      <w:r w:rsidRPr="00D56F32">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2242D4F8" w14:textId="77777777" w:rsidR="00D56F32" w:rsidRPr="00D56F32" w:rsidRDefault="00D56F32" w:rsidP="00D56F32">
      <w:r w:rsidRPr="00D56F32">
        <w:rPr>
          <w:i/>
          <w:iCs/>
        </w:rPr>
        <w:t>Source: The Australian Government the Treasury, Centre for Population</w:t>
      </w:r>
    </w:p>
    <w:p w14:paraId="78F10382" w14:textId="77777777" w:rsidR="00D56F32" w:rsidRPr="00D56F32" w:rsidRDefault="00D56F32" w:rsidP="00D56F32">
      <w:r w:rsidRPr="00D56F32">
        <w:rPr>
          <w:b/>
          <w:bCs/>
        </w:rPr>
        <w:t>Derivative material</w:t>
      </w:r>
    </w:p>
    <w:p w14:paraId="51209520" w14:textId="77777777" w:rsidR="00D56F32" w:rsidRPr="00D56F32" w:rsidRDefault="00D56F32" w:rsidP="00D56F32">
      <w:r w:rsidRPr="00D56F32">
        <w:t xml:space="preserve">If you have modified or transformed Treasury material, or derived new material from those of the Treasury in any way, then Treasury prefers the following attribution: </w:t>
      </w:r>
    </w:p>
    <w:p w14:paraId="6A05D30D" w14:textId="77777777" w:rsidR="00D56F32" w:rsidRPr="00D56F32" w:rsidRDefault="00D56F32" w:rsidP="00D56F32">
      <w:r w:rsidRPr="00D56F32">
        <w:t>Based on The Australian Government the Treasury data, Centre for Population</w:t>
      </w:r>
    </w:p>
    <w:p w14:paraId="7C7E7F2C" w14:textId="77777777" w:rsidR="00D56F32" w:rsidRPr="00D56F32" w:rsidRDefault="00D56F32" w:rsidP="00D56F32">
      <w:r w:rsidRPr="00D56F32">
        <w:rPr>
          <w:b/>
          <w:bCs/>
        </w:rPr>
        <w:t>Other uses</w:t>
      </w:r>
    </w:p>
    <w:p w14:paraId="1BE1B8F1" w14:textId="77777777" w:rsidR="00D56F32" w:rsidRPr="00D56F32" w:rsidRDefault="00D56F32" w:rsidP="00D56F32">
      <w:r w:rsidRPr="00D56F32">
        <w:t xml:space="preserve">Enquiries regarding this licence and any other use of this document are welcome at: </w:t>
      </w:r>
      <w:hyperlink r:id="rId85" w:history="1">
        <w:r w:rsidRPr="00D56F32">
          <w:rPr>
            <w:rStyle w:val="Hyperlink"/>
          </w:rPr>
          <w:t>media@treasury.gov.au</w:t>
        </w:r>
      </w:hyperlink>
    </w:p>
    <w:sectPr w:rsidR="00D56F32" w:rsidRPr="00D56F32" w:rsidSect="008312DB">
      <w:headerReference w:type="even" r:id="rId86"/>
      <w:headerReference w:type="default" r:id="rId87"/>
      <w:footerReference w:type="even" r:id="rId88"/>
      <w:footerReference w:type="default" r:id="rId89"/>
      <w:headerReference w:type="first" r:id="rId90"/>
      <w:footerReference w:type="first" r:id="rId91"/>
      <w:pgSz w:w="11906" w:h="16838" w:code="9"/>
      <w:pgMar w:top="1701" w:right="1418" w:bottom="1134" w:left="1418" w:header="90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69C8" w14:textId="77777777" w:rsidR="00987AB9" w:rsidRDefault="00987AB9" w:rsidP="0057435B">
      <w:r>
        <w:separator/>
      </w:r>
    </w:p>
    <w:p w14:paraId="3699E9A2" w14:textId="77777777" w:rsidR="00987AB9" w:rsidRDefault="00987AB9" w:rsidP="0057435B"/>
  </w:endnote>
  <w:endnote w:type="continuationSeparator" w:id="0">
    <w:p w14:paraId="524F1CD1" w14:textId="77777777" w:rsidR="00987AB9" w:rsidRDefault="00987AB9" w:rsidP="0057435B">
      <w:r>
        <w:continuationSeparator/>
      </w:r>
    </w:p>
    <w:p w14:paraId="40115392" w14:textId="77777777" w:rsidR="00987AB9" w:rsidRDefault="00987AB9" w:rsidP="0057435B"/>
  </w:endnote>
  <w:endnote w:type="continuationNotice" w:id="1">
    <w:p w14:paraId="2112FFE4" w14:textId="77777777" w:rsidR="00987AB9" w:rsidRDefault="00987AB9" w:rsidP="0057435B"/>
  </w:endnote>
  <w:endnote w:id="2">
    <w:p w14:paraId="6CEFBABD" w14:textId="1AC8F7E8" w:rsidR="00922757" w:rsidRDefault="00922757">
      <w:pPr>
        <w:pStyle w:val="EndnoteText"/>
      </w:pPr>
      <w:r>
        <w:rPr>
          <w:rStyle w:val="EndnoteReference"/>
        </w:rPr>
        <w:endnoteRef/>
      </w:r>
      <w:r>
        <w:t xml:space="preserve"> </w:t>
      </w:r>
      <w:r w:rsidR="003D40F8" w:rsidRPr="003D40F8">
        <w:rPr>
          <w:lang w:val="en-GB"/>
        </w:rPr>
        <w:t>Reporting on suicide and drug-induced death represents only England and Wales, reporting on alcohol-induced deaths represents the whole of the UK.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84E9" w14:textId="07355045" w:rsidR="00D459DB" w:rsidRDefault="00D459DB" w:rsidP="0057435B">
    <w:pPr>
      <w:pStyle w:val="Footer"/>
    </w:pPr>
    <w:r w:rsidRPr="00E559DF">
      <w:fldChar w:fldCharType="begin"/>
    </w:r>
    <w:r w:rsidRPr="00E559DF">
      <w:instrText xml:space="preserve"> PAGE   \* MERGEFORMAT </w:instrText>
    </w:r>
    <w:r w:rsidRPr="00E559DF">
      <w:fldChar w:fldCharType="separate"/>
    </w:r>
    <w:r>
      <w:t>3</w:t>
    </w:r>
    <w:r w:rsidRPr="00E559DF">
      <w:fldChar w:fldCharType="end"/>
    </w:r>
    <w:r>
      <w:rPr>
        <w:noProof/>
      </w:rPr>
      <w:drawing>
        <wp:anchor distT="0" distB="0" distL="114300" distR="114300" simplePos="0" relativeHeight="251658243" behindDoc="1" locked="1" layoutInCell="1" allowOverlap="1" wp14:anchorId="1EE8CD82" wp14:editId="6420C85F">
          <wp:simplePos x="1082040" y="9731375"/>
          <wp:positionH relativeFrom="column">
            <wp:align>center</wp:align>
          </wp:positionH>
          <wp:positionV relativeFrom="page">
            <wp:align>bottom</wp:align>
          </wp:positionV>
          <wp:extent cx="7559675" cy="718820"/>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BC56" w14:textId="0E8815E3" w:rsidR="00A15DB7" w:rsidRPr="00E559DF" w:rsidRDefault="00E559DF" w:rsidP="0057435B">
    <w:pPr>
      <w:pStyle w:val="Footer"/>
    </w:pPr>
    <w:r>
      <w:tab/>
    </w:r>
    <w:r w:rsidRPr="00E559DF">
      <w:fldChar w:fldCharType="begin"/>
    </w:r>
    <w:r w:rsidRPr="00E559DF">
      <w:instrText xml:space="preserve"> PAGE   \* MERGEFORMAT </w:instrText>
    </w:r>
    <w:r w:rsidRPr="00E559DF">
      <w:fldChar w:fldCharType="separate"/>
    </w:r>
    <w:r w:rsidRPr="00E559DF">
      <w:t>1</w:t>
    </w:r>
    <w:r w:rsidRPr="00E559DF">
      <w:fldChar w:fldCharType="end"/>
    </w:r>
    <w:r>
      <w:rPr>
        <w:noProof/>
      </w:rPr>
      <w:drawing>
        <wp:anchor distT="0" distB="0" distL="114300" distR="114300" simplePos="0" relativeHeight="251658242" behindDoc="1" locked="1" layoutInCell="1" allowOverlap="1" wp14:anchorId="58B3BDAD" wp14:editId="02807589">
          <wp:simplePos x="1082040" y="9731375"/>
          <wp:positionH relativeFrom="column">
            <wp:align>center</wp:align>
          </wp:positionH>
          <wp:positionV relativeFrom="page">
            <wp:align>bottom</wp:align>
          </wp:positionV>
          <wp:extent cx="7559675" cy="718820"/>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1A56" w14:textId="330E5846" w:rsidR="00300C95" w:rsidRPr="00E81A92" w:rsidRDefault="00E559DF" w:rsidP="0057435B">
    <w:pPr>
      <w:pStyle w:val="Footer"/>
    </w:pPr>
    <w:r>
      <w:tab/>
    </w:r>
    <w:r w:rsidR="00E81A92" w:rsidRPr="00E559DF">
      <w:fldChar w:fldCharType="begin"/>
    </w:r>
    <w:r w:rsidR="00E81A92" w:rsidRPr="00E559DF">
      <w:instrText xml:space="preserve"> PAGE   \* MERGEFORMAT </w:instrText>
    </w:r>
    <w:r w:rsidR="00E81A92" w:rsidRPr="00E559DF">
      <w:fldChar w:fldCharType="separate"/>
    </w:r>
    <w:r w:rsidR="00E81A92" w:rsidRPr="00E559DF">
      <w:t>1</w:t>
    </w:r>
    <w:r w:rsidR="00E81A92" w:rsidRPr="00E559DF">
      <w:fldChar w:fldCharType="end"/>
    </w:r>
    <w:r w:rsidR="00F95FB5">
      <w:rPr>
        <w:noProof/>
      </w:rPr>
      <w:drawing>
        <wp:anchor distT="0" distB="0" distL="114300" distR="114300" simplePos="0" relativeHeight="251658241" behindDoc="1" locked="1" layoutInCell="1" allowOverlap="1" wp14:anchorId="094170DC" wp14:editId="2E93648A">
          <wp:simplePos x="1082040" y="9731375"/>
          <wp:positionH relativeFrom="column">
            <wp:align>center</wp:align>
          </wp:positionH>
          <wp:positionV relativeFrom="page">
            <wp:align>bottom</wp:align>
          </wp:positionV>
          <wp:extent cx="7559675" cy="71882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D3DC" w14:textId="77777777" w:rsidR="00987AB9" w:rsidRDefault="00987AB9" w:rsidP="0057435B">
      <w:r>
        <w:separator/>
      </w:r>
    </w:p>
    <w:p w14:paraId="0AC69217" w14:textId="77777777" w:rsidR="00987AB9" w:rsidRDefault="00987AB9" w:rsidP="0057435B"/>
  </w:footnote>
  <w:footnote w:type="continuationSeparator" w:id="0">
    <w:p w14:paraId="54462406" w14:textId="77777777" w:rsidR="00987AB9" w:rsidRDefault="00987AB9" w:rsidP="0057435B">
      <w:r>
        <w:continuationSeparator/>
      </w:r>
    </w:p>
    <w:p w14:paraId="21E0D405" w14:textId="77777777" w:rsidR="00987AB9" w:rsidRDefault="00987AB9" w:rsidP="0057435B"/>
  </w:footnote>
  <w:footnote w:type="continuationNotice" w:id="1">
    <w:p w14:paraId="349DB5CD" w14:textId="77777777" w:rsidR="00987AB9" w:rsidRDefault="00987AB9" w:rsidP="00574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6404" w14:textId="168571B8" w:rsidR="00D459DB" w:rsidRPr="00D459DB" w:rsidRDefault="00C63196" w:rsidP="0096207D">
    <w:pPr>
      <w:pStyle w:val="Header"/>
      <w:jc w:val="left"/>
    </w:pPr>
    <w:r>
      <w:rPr>
        <w:noProof/>
      </w:rPr>
      <mc:AlternateContent>
        <mc:Choice Requires="wps">
          <w:drawing>
            <wp:anchor distT="0" distB="0" distL="114300" distR="114300" simplePos="0" relativeHeight="251658244" behindDoc="1" locked="1" layoutInCell="1" allowOverlap="1" wp14:anchorId="5BAEF616" wp14:editId="6223980F">
              <wp:simplePos x="18661" y="27992"/>
              <wp:positionH relativeFrom="page">
                <wp:align>left</wp:align>
              </wp:positionH>
              <wp:positionV relativeFrom="page">
                <wp:align>top</wp:align>
              </wp:positionV>
              <wp:extent cx="7560000" cy="360000"/>
              <wp:effectExtent l="0" t="0" r="3175" b="2540"/>
              <wp:wrapNone/>
              <wp:docPr id="5" name="Rectangle 5"/>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CBA56" id="Rectangle 5" o:spid="_x0000_s1026" style="position:absolute;margin-left:0;margin-top:0;width:595.3pt;height:28.35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fillcolor="#002c47 [3204]" stroked="f" strokeweight="2pt">
              <w10:wrap anchorx="page" anchory="page"/>
              <w10:anchorlock/>
            </v:rect>
          </w:pict>
        </mc:Fallback>
      </mc:AlternateContent>
    </w:r>
    <w:r w:rsidR="004D7001">
      <w:fldChar w:fldCharType="begin"/>
    </w:r>
    <w:r w:rsidR="004D7001">
      <w:instrText>STYLEREF  "Fact sheet title"  \* MERGEFORMAT</w:instrText>
    </w:r>
    <w:r w:rsidR="004D7001">
      <w:fldChar w:fldCharType="separate"/>
    </w:r>
    <w:r w:rsidR="00FA2C17">
      <w:rPr>
        <w:noProof/>
      </w:rPr>
      <w:t>Title</w:t>
    </w:r>
    <w:r w:rsidR="004D700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B929" w14:textId="50B76467" w:rsidR="006D3EE7" w:rsidRPr="00840E02" w:rsidRDefault="00C63196" w:rsidP="00840E02">
    <w:pPr>
      <w:pStyle w:val="Header"/>
      <w:jc w:val="right"/>
    </w:pPr>
    <w:r w:rsidRPr="00840E02">
      <w:rPr>
        <w:noProof/>
      </w:rPr>
      <mc:AlternateContent>
        <mc:Choice Requires="wps">
          <w:drawing>
            <wp:anchor distT="0" distB="0" distL="114300" distR="114300" simplePos="0" relativeHeight="251658245" behindDoc="1" locked="1" layoutInCell="1" allowOverlap="1" wp14:anchorId="0A8D7123" wp14:editId="6F39FE97">
              <wp:simplePos x="18661" y="27992"/>
              <wp:positionH relativeFrom="page">
                <wp:align>left</wp:align>
              </wp:positionH>
              <wp:positionV relativeFrom="page">
                <wp:align>top</wp:align>
              </wp:positionV>
              <wp:extent cx="7560000" cy="360000"/>
              <wp:effectExtent l="0" t="0" r="3175" b="2540"/>
              <wp:wrapNone/>
              <wp:docPr id="6" name="Rectangle 6"/>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79AEB" id="Rectangle 6" o:spid="_x0000_s1026" style="position:absolute;margin-left:0;margin-top:0;width:595.3pt;height:28.35pt;z-index:-25165823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fillcolor="#002c47 [3204]" stroked="f" strokeweight="2pt">
              <w10:wrap anchorx="page" anchory="page"/>
              <w10:anchorlock/>
            </v:rect>
          </w:pict>
        </mc:Fallback>
      </mc:AlternateContent>
    </w:r>
    <w:r w:rsidR="004D7001">
      <w:fldChar w:fldCharType="begin"/>
    </w:r>
    <w:r w:rsidR="004D7001">
      <w:instrText xml:space="preserve">STYLEREF  </w:instrText>
    </w:r>
    <w:r w:rsidR="004D7001">
      <w:instrText>"Fact sheet title"  \* MERGEFORMAT</w:instrText>
    </w:r>
    <w:r w:rsidR="004D7001">
      <w:fldChar w:fldCharType="separate"/>
    </w:r>
    <w:r w:rsidR="004D7001" w:rsidRPr="004D7001">
      <w:rPr>
        <w:caps w:val="0"/>
        <w:noProof/>
      </w:rPr>
      <w:t>Mortality trends - deaths of despair</w:t>
    </w:r>
    <w:r w:rsidR="004D7001">
      <w:rPr>
        <w:caps w:val="0"/>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3017" w14:textId="260AE198" w:rsidR="00300C95" w:rsidRDefault="00300C95" w:rsidP="0057435B">
    <w:pPr>
      <w:pStyle w:val="Header"/>
    </w:pPr>
    <w:r>
      <w:rPr>
        <w:noProof/>
      </w:rPr>
      <w:drawing>
        <wp:anchor distT="0" distB="0" distL="114300" distR="114300" simplePos="0" relativeHeight="251658240" behindDoc="1" locked="1" layoutInCell="1" allowOverlap="1" wp14:anchorId="1529BA86" wp14:editId="7CE57188">
          <wp:simplePos x="0" y="0"/>
          <wp:positionH relativeFrom="page">
            <wp:align>left</wp:align>
          </wp:positionH>
          <wp:positionV relativeFrom="page">
            <wp:align>top</wp:align>
          </wp:positionV>
          <wp:extent cx="7559675" cy="1618615"/>
          <wp:effectExtent l="0" t="0" r="3175" b="63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1A24C9D"/>
    <w:multiLevelType w:val="hybridMultilevel"/>
    <w:tmpl w:val="CE7AB5AC"/>
    <w:lvl w:ilvl="0" w:tplc="2F74BD64">
      <w:start w:val="1"/>
      <w:numFmt w:val="bullet"/>
      <w:lvlText w:val="•"/>
      <w:lvlJc w:val="left"/>
      <w:pPr>
        <w:tabs>
          <w:tab w:val="num" w:pos="720"/>
        </w:tabs>
        <w:ind w:left="720" w:hanging="360"/>
      </w:pPr>
      <w:rPr>
        <w:rFonts w:ascii="Arial" w:hAnsi="Arial" w:hint="default"/>
      </w:rPr>
    </w:lvl>
    <w:lvl w:ilvl="1" w:tplc="40E884A2" w:tentative="1">
      <w:start w:val="1"/>
      <w:numFmt w:val="bullet"/>
      <w:lvlText w:val="•"/>
      <w:lvlJc w:val="left"/>
      <w:pPr>
        <w:tabs>
          <w:tab w:val="num" w:pos="1440"/>
        </w:tabs>
        <w:ind w:left="1440" w:hanging="360"/>
      </w:pPr>
      <w:rPr>
        <w:rFonts w:ascii="Arial" w:hAnsi="Arial" w:hint="default"/>
      </w:rPr>
    </w:lvl>
    <w:lvl w:ilvl="2" w:tplc="D0061E90" w:tentative="1">
      <w:start w:val="1"/>
      <w:numFmt w:val="bullet"/>
      <w:lvlText w:val="•"/>
      <w:lvlJc w:val="left"/>
      <w:pPr>
        <w:tabs>
          <w:tab w:val="num" w:pos="2160"/>
        </w:tabs>
        <w:ind w:left="2160" w:hanging="360"/>
      </w:pPr>
      <w:rPr>
        <w:rFonts w:ascii="Arial" w:hAnsi="Arial" w:hint="default"/>
      </w:rPr>
    </w:lvl>
    <w:lvl w:ilvl="3" w:tplc="CF7A3244" w:tentative="1">
      <w:start w:val="1"/>
      <w:numFmt w:val="bullet"/>
      <w:lvlText w:val="•"/>
      <w:lvlJc w:val="left"/>
      <w:pPr>
        <w:tabs>
          <w:tab w:val="num" w:pos="2880"/>
        </w:tabs>
        <w:ind w:left="2880" w:hanging="360"/>
      </w:pPr>
      <w:rPr>
        <w:rFonts w:ascii="Arial" w:hAnsi="Arial" w:hint="default"/>
      </w:rPr>
    </w:lvl>
    <w:lvl w:ilvl="4" w:tplc="D662080A" w:tentative="1">
      <w:start w:val="1"/>
      <w:numFmt w:val="bullet"/>
      <w:lvlText w:val="•"/>
      <w:lvlJc w:val="left"/>
      <w:pPr>
        <w:tabs>
          <w:tab w:val="num" w:pos="3600"/>
        </w:tabs>
        <w:ind w:left="3600" w:hanging="360"/>
      </w:pPr>
      <w:rPr>
        <w:rFonts w:ascii="Arial" w:hAnsi="Arial" w:hint="default"/>
      </w:rPr>
    </w:lvl>
    <w:lvl w:ilvl="5" w:tplc="A894E1BE" w:tentative="1">
      <w:start w:val="1"/>
      <w:numFmt w:val="bullet"/>
      <w:lvlText w:val="•"/>
      <w:lvlJc w:val="left"/>
      <w:pPr>
        <w:tabs>
          <w:tab w:val="num" w:pos="4320"/>
        </w:tabs>
        <w:ind w:left="4320" w:hanging="360"/>
      </w:pPr>
      <w:rPr>
        <w:rFonts w:ascii="Arial" w:hAnsi="Arial" w:hint="default"/>
      </w:rPr>
    </w:lvl>
    <w:lvl w:ilvl="6" w:tplc="CE4A7FFA" w:tentative="1">
      <w:start w:val="1"/>
      <w:numFmt w:val="bullet"/>
      <w:lvlText w:val="•"/>
      <w:lvlJc w:val="left"/>
      <w:pPr>
        <w:tabs>
          <w:tab w:val="num" w:pos="5040"/>
        </w:tabs>
        <w:ind w:left="5040" w:hanging="360"/>
      </w:pPr>
      <w:rPr>
        <w:rFonts w:ascii="Arial" w:hAnsi="Arial" w:hint="default"/>
      </w:rPr>
    </w:lvl>
    <w:lvl w:ilvl="7" w:tplc="27622D54" w:tentative="1">
      <w:start w:val="1"/>
      <w:numFmt w:val="bullet"/>
      <w:lvlText w:val="•"/>
      <w:lvlJc w:val="left"/>
      <w:pPr>
        <w:tabs>
          <w:tab w:val="num" w:pos="5760"/>
        </w:tabs>
        <w:ind w:left="5760" w:hanging="360"/>
      </w:pPr>
      <w:rPr>
        <w:rFonts w:ascii="Arial" w:hAnsi="Arial" w:hint="default"/>
      </w:rPr>
    </w:lvl>
    <w:lvl w:ilvl="8" w:tplc="3EA6E9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1C3984"/>
    <w:multiLevelType w:val="hybridMultilevel"/>
    <w:tmpl w:val="9746CBF8"/>
    <w:lvl w:ilvl="0" w:tplc="8A905D36">
      <w:start w:val="1"/>
      <w:numFmt w:val="bullet"/>
      <w:lvlText w:val="•"/>
      <w:lvlJc w:val="left"/>
      <w:pPr>
        <w:tabs>
          <w:tab w:val="num" w:pos="720"/>
        </w:tabs>
        <w:ind w:left="720" w:hanging="360"/>
      </w:pPr>
      <w:rPr>
        <w:rFonts w:ascii="Arial" w:hAnsi="Arial" w:hint="default"/>
      </w:rPr>
    </w:lvl>
    <w:lvl w:ilvl="1" w:tplc="57AE0938" w:tentative="1">
      <w:start w:val="1"/>
      <w:numFmt w:val="bullet"/>
      <w:lvlText w:val="•"/>
      <w:lvlJc w:val="left"/>
      <w:pPr>
        <w:tabs>
          <w:tab w:val="num" w:pos="1440"/>
        </w:tabs>
        <w:ind w:left="1440" w:hanging="360"/>
      </w:pPr>
      <w:rPr>
        <w:rFonts w:ascii="Arial" w:hAnsi="Arial" w:hint="default"/>
      </w:rPr>
    </w:lvl>
    <w:lvl w:ilvl="2" w:tplc="2CAAC0DE" w:tentative="1">
      <w:start w:val="1"/>
      <w:numFmt w:val="bullet"/>
      <w:lvlText w:val="•"/>
      <w:lvlJc w:val="left"/>
      <w:pPr>
        <w:tabs>
          <w:tab w:val="num" w:pos="2160"/>
        </w:tabs>
        <w:ind w:left="2160" w:hanging="360"/>
      </w:pPr>
      <w:rPr>
        <w:rFonts w:ascii="Arial" w:hAnsi="Arial" w:hint="default"/>
      </w:rPr>
    </w:lvl>
    <w:lvl w:ilvl="3" w:tplc="899246A4" w:tentative="1">
      <w:start w:val="1"/>
      <w:numFmt w:val="bullet"/>
      <w:lvlText w:val="•"/>
      <w:lvlJc w:val="left"/>
      <w:pPr>
        <w:tabs>
          <w:tab w:val="num" w:pos="2880"/>
        </w:tabs>
        <w:ind w:left="2880" w:hanging="360"/>
      </w:pPr>
      <w:rPr>
        <w:rFonts w:ascii="Arial" w:hAnsi="Arial" w:hint="default"/>
      </w:rPr>
    </w:lvl>
    <w:lvl w:ilvl="4" w:tplc="8656F378" w:tentative="1">
      <w:start w:val="1"/>
      <w:numFmt w:val="bullet"/>
      <w:lvlText w:val="•"/>
      <w:lvlJc w:val="left"/>
      <w:pPr>
        <w:tabs>
          <w:tab w:val="num" w:pos="3600"/>
        </w:tabs>
        <w:ind w:left="3600" w:hanging="360"/>
      </w:pPr>
      <w:rPr>
        <w:rFonts w:ascii="Arial" w:hAnsi="Arial" w:hint="default"/>
      </w:rPr>
    </w:lvl>
    <w:lvl w:ilvl="5" w:tplc="E5F68FE6" w:tentative="1">
      <w:start w:val="1"/>
      <w:numFmt w:val="bullet"/>
      <w:lvlText w:val="•"/>
      <w:lvlJc w:val="left"/>
      <w:pPr>
        <w:tabs>
          <w:tab w:val="num" w:pos="4320"/>
        </w:tabs>
        <w:ind w:left="4320" w:hanging="360"/>
      </w:pPr>
      <w:rPr>
        <w:rFonts w:ascii="Arial" w:hAnsi="Arial" w:hint="default"/>
      </w:rPr>
    </w:lvl>
    <w:lvl w:ilvl="6" w:tplc="EEF00C30" w:tentative="1">
      <w:start w:val="1"/>
      <w:numFmt w:val="bullet"/>
      <w:lvlText w:val="•"/>
      <w:lvlJc w:val="left"/>
      <w:pPr>
        <w:tabs>
          <w:tab w:val="num" w:pos="5040"/>
        </w:tabs>
        <w:ind w:left="5040" w:hanging="360"/>
      </w:pPr>
      <w:rPr>
        <w:rFonts w:ascii="Arial" w:hAnsi="Arial" w:hint="default"/>
      </w:rPr>
    </w:lvl>
    <w:lvl w:ilvl="7" w:tplc="D9040986" w:tentative="1">
      <w:start w:val="1"/>
      <w:numFmt w:val="bullet"/>
      <w:lvlText w:val="•"/>
      <w:lvlJc w:val="left"/>
      <w:pPr>
        <w:tabs>
          <w:tab w:val="num" w:pos="5760"/>
        </w:tabs>
        <w:ind w:left="5760" w:hanging="360"/>
      </w:pPr>
      <w:rPr>
        <w:rFonts w:ascii="Arial" w:hAnsi="Arial" w:hint="default"/>
      </w:rPr>
    </w:lvl>
    <w:lvl w:ilvl="8" w:tplc="BC4C56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D05024"/>
    <w:multiLevelType w:val="hybridMultilevel"/>
    <w:tmpl w:val="6F3822BA"/>
    <w:lvl w:ilvl="0" w:tplc="BEA68994">
      <w:start w:val="1"/>
      <w:numFmt w:val="bullet"/>
      <w:lvlText w:val="•"/>
      <w:lvlJc w:val="left"/>
      <w:pPr>
        <w:tabs>
          <w:tab w:val="num" w:pos="720"/>
        </w:tabs>
        <w:ind w:left="720" w:hanging="360"/>
      </w:pPr>
      <w:rPr>
        <w:rFonts w:ascii="Arial" w:hAnsi="Arial" w:hint="default"/>
      </w:rPr>
    </w:lvl>
    <w:lvl w:ilvl="1" w:tplc="7AF81868" w:tentative="1">
      <w:start w:val="1"/>
      <w:numFmt w:val="bullet"/>
      <w:lvlText w:val="•"/>
      <w:lvlJc w:val="left"/>
      <w:pPr>
        <w:tabs>
          <w:tab w:val="num" w:pos="1440"/>
        </w:tabs>
        <w:ind w:left="1440" w:hanging="360"/>
      </w:pPr>
      <w:rPr>
        <w:rFonts w:ascii="Arial" w:hAnsi="Arial" w:hint="default"/>
      </w:rPr>
    </w:lvl>
    <w:lvl w:ilvl="2" w:tplc="B0482D0A" w:tentative="1">
      <w:start w:val="1"/>
      <w:numFmt w:val="bullet"/>
      <w:lvlText w:val="•"/>
      <w:lvlJc w:val="left"/>
      <w:pPr>
        <w:tabs>
          <w:tab w:val="num" w:pos="2160"/>
        </w:tabs>
        <w:ind w:left="2160" w:hanging="360"/>
      </w:pPr>
      <w:rPr>
        <w:rFonts w:ascii="Arial" w:hAnsi="Arial" w:hint="default"/>
      </w:rPr>
    </w:lvl>
    <w:lvl w:ilvl="3" w:tplc="54DCF858" w:tentative="1">
      <w:start w:val="1"/>
      <w:numFmt w:val="bullet"/>
      <w:lvlText w:val="•"/>
      <w:lvlJc w:val="left"/>
      <w:pPr>
        <w:tabs>
          <w:tab w:val="num" w:pos="2880"/>
        </w:tabs>
        <w:ind w:left="2880" w:hanging="360"/>
      </w:pPr>
      <w:rPr>
        <w:rFonts w:ascii="Arial" w:hAnsi="Arial" w:hint="default"/>
      </w:rPr>
    </w:lvl>
    <w:lvl w:ilvl="4" w:tplc="041632A4" w:tentative="1">
      <w:start w:val="1"/>
      <w:numFmt w:val="bullet"/>
      <w:lvlText w:val="•"/>
      <w:lvlJc w:val="left"/>
      <w:pPr>
        <w:tabs>
          <w:tab w:val="num" w:pos="3600"/>
        </w:tabs>
        <w:ind w:left="3600" w:hanging="360"/>
      </w:pPr>
      <w:rPr>
        <w:rFonts w:ascii="Arial" w:hAnsi="Arial" w:hint="default"/>
      </w:rPr>
    </w:lvl>
    <w:lvl w:ilvl="5" w:tplc="1C24FFDC" w:tentative="1">
      <w:start w:val="1"/>
      <w:numFmt w:val="bullet"/>
      <w:lvlText w:val="•"/>
      <w:lvlJc w:val="left"/>
      <w:pPr>
        <w:tabs>
          <w:tab w:val="num" w:pos="4320"/>
        </w:tabs>
        <w:ind w:left="4320" w:hanging="360"/>
      </w:pPr>
      <w:rPr>
        <w:rFonts w:ascii="Arial" w:hAnsi="Arial" w:hint="default"/>
      </w:rPr>
    </w:lvl>
    <w:lvl w:ilvl="6" w:tplc="4D867120" w:tentative="1">
      <w:start w:val="1"/>
      <w:numFmt w:val="bullet"/>
      <w:lvlText w:val="•"/>
      <w:lvlJc w:val="left"/>
      <w:pPr>
        <w:tabs>
          <w:tab w:val="num" w:pos="5040"/>
        </w:tabs>
        <w:ind w:left="5040" w:hanging="360"/>
      </w:pPr>
      <w:rPr>
        <w:rFonts w:ascii="Arial" w:hAnsi="Arial" w:hint="default"/>
      </w:rPr>
    </w:lvl>
    <w:lvl w:ilvl="7" w:tplc="658C0702" w:tentative="1">
      <w:start w:val="1"/>
      <w:numFmt w:val="bullet"/>
      <w:lvlText w:val="•"/>
      <w:lvlJc w:val="left"/>
      <w:pPr>
        <w:tabs>
          <w:tab w:val="num" w:pos="5760"/>
        </w:tabs>
        <w:ind w:left="5760" w:hanging="360"/>
      </w:pPr>
      <w:rPr>
        <w:rFonts w:ascii="Arial" w:hAnsi="Arial" w:hint="default"/>
      </w:rPr>
    </w:lvl>
    <w:lvl w:ilvl="8" w:tplc="544AFF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6A4292"/>
    <w:multiLevelType w:val="multilevel"/>
    <w:tmpl w:val="AE9E989E"/>
    <w:name w:val="StandardNumberedList"/>
    <w:lvl w:ilvl="0">
      <w:start w:val="1"/>
      <w:numFmt w:val="decimal"/>
      <w:pStyle w:val="OutlineNumbered1"/>
      <w:lvlText w:val="%1."/>
      <w:lvlJc w:val="left"/>
      <w:pPr>
        <w:ind w:left="567" w:hanging="567"/>
      </w:pPr>
      <w:rPr>
        <w:rFonts w:hint="default"/>
      </w:rPr>
    </w:lvl>
    <w:lvl w:ilvl="1">
      <w:start w:val="1"/>
      <w:numFmt w:val="decimal"/>
      <w:pStyle w:val="OutlineNumbered2"/>
      <w:lvlText w:val="%1.%2."/>
      <w:lvlJc w:val="left"/>
      <w:pPr>
        <w:ind w:left="1134" w:hanging="567"/>
      </w:pPr>
      <w:rPr>
        <w:rFonts w:hint="default"/>
      </w:rPr>
    </w:lvl>
    <w:lvl w:ilvl="2">
      <w:start w:val="1"/>
      <w:numFmt w:val="decimal"/>
      <w:pStyle w:val="OutlineNumbered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AF06124"/>
    <w:multiLevelType w:val="hybridMultilevel"/>
    <w:tmpl w:val="D096BA0C"/>
    <w:lvl w:ilvl="0" w:tplc="11B2173E">
      <w:start w:val="1"/>
      <w:numFmt w:val="bullet"/>
      <w:lvlText w:val="•"/>
      <w:lvlJc w:val="left"/>
      <w:pPr>
        <w:tabs>
          <w:tab w:val="num" w:pos="720"/>
        </w:tabs>
        <w:ind w:left="720" w:hanging="360"/>
      </w:pPr>
      <w:rPr>
        <w:rFonts w:ascii="Arial" w:hAnsi="Arial" w:hint="default"/>
      </w:rPr>
    </w:lvl>
    <w:lvl w:ilvl="1" w:tplc="01322D46" w:tentative="1">
      <w:start w:val="1"/>
      <w:numFmt w:val="bullet"/>
      <w:lvlText w:val="•"/>
      <w:lvlJc w:val="left"/>
      <w:pPr>
        <w:tabs>
          <w:tab w:val="num" w:pos="1440"/>
        </w:tabs>
        <w:ind w:left="1440" w:hanging="360"/>
      </w:pPr>
      <w:rPr>
        <w:rFonts w:ascii="Arial" w:hAnsi="Arial" w:hint="default"/>
      </w:rPr>
    </w:lvl>
    <w:lvl w:ilvl="2" w:tplc="66624236" w:tentative="1">
      <w:start w:val="1"/>
      <w:numFmt w:val="bullet"/>
      <w:lvlText w:val="•"/>
      <w:lvlJc w:val="left"/>
      <w:pPr>
        <w:tabs>
          <w:tab w:val="num" w:pos="2160"/>
        </w:tabs>
        <w:ind w:left="2160" w:hanging="360"/>
      </w:pPr>
      <w:rPr>
        <w:rFonts w:ascii="Arial" w:hAnsi="Arial" w:hint="default"/>
      </w:rPr>
    </w:lvl>
    <w:lvl w:ilvl="3" w:tplc="6BBEB1A4" w:tentative="1">
      <w:start w:val="1"/>
      <w:numFmt w:val="bullet"/>
      <w:lvlText w:val="•"/>
      <w:lvlJc w:val="left"/>
      <w:pPr>
        <w:tabs>
          <w:tab w:val="num" w:pos="2880"/>
        </w:tabs>
        <w:ind w:left="2880" w:hanging="360"/>
      </w:pPr>
      <w:rPr>
        <w:rFonts w:ascii="Arial" w:hAnsi="Arial" w:hint="default"/>
      </w:rPr>
    </w:lvl>
    <w:lvl w:ilvl="4" w:tplc="7B529B2C" w:tentative="1">
      <w:start w:val="1"/>
      <w:numFmt w:val="bullet"/>
      <w:lvlText w:val="•"/>
      <w:lvlJc w:val="left"/>
      <w:pPr>
        <w:tabs>
          <w:tab w:val="num" w:pos="3600"/>
        </w:tabs>
        <w:ind w:left="3600" w:hanging="360"/>
      </w:pPr>
      <w:rPr>
        <w:rFonts w:ascii="Arial" w:hAnsi="Arial" w:hint="default"/>
      </w:rPr>
    </w:lvl>
    <w:lvl w:ilvl="5" w:tplc="58F2BC84" w:tentative="1">
      <w:start w:val="1"/>
      <w:numFmt w:val="bullet"/>
      <w:lvlText w:val="•"/>
      <w:lvlJc w:val="left"/>
      <w:pPr>
        <w:tabs>
          <w:tab w:val="num" w:pos="4320"/>
        </w:tabs>
        <w:ind w:left="4320" w:hanging="360"/>
      </w:pPr>
      <w:rPr>
        <w:rFonts w:ascii="Arial" w:hAnsi="Arial" w:hint="default"/>
      </w:rPr>
    </w:lvl>
    <w:lvl w:ilvl="6" w:tplc="95AC960E" w:tentative="1">
      <w:start w:val="1"/>
      <w:numFmt w:val="bullet"/>
      <w:lvlText w:val="•"/>
      <w:lvlJc w:val="left"/>
      <w:pPr>
        <w:tabs>
          <w:tab w:val="num" w:pos="5040"/>
        </w:tabs>
        <w:ind w:left="5040" w:hanging="360"/>
      </w:pPr>
      <w:rPr>
        <w:rFonts w:ascii="Arial" w:hAnsi="Arial" w:hint="default"/>
      </w:rPr>
    </w:lvl>
    <w:lvl w:ilvl="7" w:tplc="36387DAA" w:tentative="1">
      <w:start w:val="1"/>
      <w:numFmt w:val="bullet"/>
      <w:lvlText w:val="•"/>
      <w:lvlJc w:val="left"/>
      <w:pPr>
        <w:tabs>
          <w:tab w:val="num" w:pos="5760"/>
        </w:tabs>
        <w:ind w:left="5760" w:hanging="360"/>
      </w:pPr>
      <w:rPr>
        <w:rFonts w:ascii="Arial" w:hAnsi="Arial" w:hint="default"/>
      </w:rPr>
    </w:lvl>
    <w:lvl w:ilvl="8" w:tplc="5DE0DC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8C2710"/>
    <w:multiLevelType w:val="multilevel"/>
    <w:tmpl w:val="10980E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F71F29"/>
    <w:multiLevelType w:val="multilevel"/>
    <w:tmpl w:val="CA3AB1DC"/>
    <w:lvl w:ilvl="0">
      <w:start w:val="1"/>
      <w:numFmt w:val="decimal"/>
      <w:lvlText w:val="Table %1."/>
      <w:lvlJc w:val="left"/>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084391D"/>
    <w:multiLevelType w:val="multilevel"/>
    <w:tmpl w:val="87F08C6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75E7B"/>
    <w:multiLevelType w:val="hybridMultilevel"/>
    <w:tmpl w:val="D034E0A6"/>
    <w:lvl w:ilvl="0" w:tplc="F978F692">
      <w:start w:val="1"/>
      <w:numFmt w:val="bullet"/>
      <w:lvlText w:val="•"/>
      <w:lvlJc w:val="left"/>
      <w:pPr>
        <w:tabs>
          <w:tab w:val="num" w:pos="720"/>
        </w:tabs>
        <w:ind w:left="720" w:hanging="360"/>
      </w:pPr>
      <w:rPr>
        <w:rFonts w:ascii="Arial" w:hAnsi="Arial" w:hint="default"/>
      </w:rPr>
    </w:lvl>
    <w:lvl w:ilvl="1" w:tplc="D67A909A" w:tentative="1">
      <w:start w:val="1"/>
      <w:numFmt w:val="bullet"/>
      <w:lvlText w:val="•"/>
      <w:lvlJc w:val="left"/>
      <w:pPr>
        <w:tabs>
          <w:tab w:val="num" w:pos="1440"/>
        </w:tabs>
        <w:ind w:left="1440" w:hanging="360"/>
      </w:pPr>
      <w:rPr>
        <w:rFonts w:ascii="Arial" w:hAnsi="Arial" w:hint="default"/>
      </w:rPr>
    </w:lvl>
    <w:lvl w:ilvl="2" w:tplc="FD4CD1CA" w:tentative="1">
      <w:start w:val="1"/>
      <w:numFmt w:val="bullet"/>
      <w:lvlText w:val="•"/>
      <w:lvlJc w:val="left"/>
      <w:pPr>
        <w:tabs>
          <w:tab w:val="num" w:pos="2160"/>
        </w:tabs>
        <w:ind w:left="2160" w:hanging="360"/>
      </w:pPr>
      <w:rPr>
        <w:rFonts w:ascii="Arial" w:hAnsi="Arial" w:hint="default"/>
      </w:rPr>
    </w:lvl>
    <w:lvl w:ilvl="3" w:tplc="DE9247C0" w:tentative="1">
      <w:start w:val="1"/>
      <w:numFmt w:val="bullet"/>
      <w:lvlText w:val="•"/>
      <w:lvlJc w:val="left"/>
      <w:pPr>
        <w:tabs>
          <w:tab w:val="num" w:pos="2880"/>
        </w:tabs>
        <w:ind w:left="2880" w:hanging="360"/>
      </w:pPr>
      <w:rPr>
        <w:rFonts w:ascii="Arial" w:hAnsi="Arial" w:hint="default"/>
      </w:rPr>
    </w:lvl>
    <w:lvl w:ilvl="4" w:tplc="F300D446" w:tentative="1">
      <w:start w:val="1"/>
      <w:numFmt w:val="bullet"/>
      <w:lvlText w:val="•"/>
      <w:lvlJc w:val="left"/>
      <w:pPr>
        <w:tabs>
          <w:tab w:val="num" w:pos="3600"/>
        </w:tabs>
        <w:ind w:left="3600" w:hanging="360"/>
      </w:pPr>
      <w:rPr>
        <w:rFonts w:ascii="Arial" w:hAnsi="Arial" w:hint="default"/>
      </w:rPr>
    </w:lvl>
    <w:lvl w:ilvl="5" w:tplc="08423CE4" w:tentative="1">
      <w:start w:val="1"/>
      <w:numFmt w:val="bullet"/>
      <w:lvlText w:val="•"/>
      <w:lvlJc w:val="left"/>
      <w:pPr>
        <w:tabs>
          <w:tab w:val="num" w:pos="4320"/>
        </w:tabs>
        <w:ind w:left="4320" w:hanging="360"/>
      </w:pPr>
      <w:rPr>
        <w:rFonts w:ascii="Arial" w:hAnsi="Arial" w:hint="default"/>
      </w:rPr>
    </w:lvl>
    <w:lvl w:ilvl="6" w:tplc="7FCC17C8" w:tentative="1">
      <w:start w:val="1"/>
      <w:numFmt w:val="bullet"/>
      <w:lvlText w:val="•"/>
      <w:lvlJc w:val="left"/>
      <w:pPr>
        <w:tabs>
          <w:tab w:val="num" w:pos="5040"/>
        </w:tabs>
        <w:ind w:left="5040" w:hanging="360"/>
      </w:pPr>
      <w:rPr>
        <w:rFonts w:ascii="Arial" w:hAnsi="Arial" w:hint="default"/>
      </w:rPr>
    </w:lvl>
    <w:lvl w:ilvl="7" w:tplc="9B3CE5F6" w:tentative="1">
      <w:start w:val="1"/>
      <w:numFmt w:val="bullet"/>
      <w:lvlText w:val="•"/>
      <w:lvlJc w:val="left"/>
      <w:pPr>
        <w:tabs>
          <w:tab w:val="num" w:pos="5760"/>
        </w:tabs>
        <w:ind w:left="5760" w:hanging="360"/>
      </w:pPr>
      <w:rPr>
        <w:rFonts w:ascii="Arial" w:hAnsi="Arial" w:hint="default"/>
      </w:rPr>
    </w:lvl>
    <w:lvl w:ilvl="8" w:tplc="AAB6A3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6B5224"/>
    <w:multiLevelType w:val="multilevel"/>
    <w:tmpl w:val="CA20E022"/>
    <w:lvl w:ilvl="0">
      <w:start w:val="1"/>
      <w:numFmt w:val="bullet"/>
      <w:pStyle w:val="Bullet"/>
      <w:lvlText w:val="•"/>
      <w:lvlJc w:val="left"/>
      <w:pPr>
        <w:ind w:left="568" w:hanging="284"/>
      </w:pPr>
      <w:rPr>
        <w:rFonts w:ascii="Times New Roman" w:hAnsi="Times New Roman" w:cs="Times New Roman" w:hint="default"/>
        <w:color w:val="auto"/>
      </w:rPr>
    </w:lvl>
    <w:lvl w:ilvl="1">
      <w:start w:val="1"/>
      <w:numFmt w:val="bullet"/>
      <w:pStyle w:val="Dash"/>
      <w:lvlText w:val="–"/>
      <w:lvlJc w:val="left"/>
      <w:pPr>
        <w:ind w:left="852" w:hanging="284"/>
      </w:pPr>
      <w:rPr>
        <w:rFonts w:ascii="Times New Roman" w:hAnsi="Times New Roman" w:cs="Times New Roman" w:hint="default"/>
      </w:rPr>
    </w:lvl>
    <w:lvl w:ilvl="2">
      <w:start w:val="1"/>
      <w:numFmt w:val="bullet"/>
      <w:pStyle w:val="DoubleDot"/>
      <w:lvlText w:val=":"/>
      <w:lvlJc w:val="left"/>
      <w:pPr>
        <w:ind w:left="1136" w:hanging="284"/>
      </w:pPr>
      <w:rPr>
        <w:rFonts w:ascii="Times New Roman" w:hAnsi="Times New Roman" w:cs="Times New Roman"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16cid:durableId="862938207">
    <w:abstractNumId w:val="3"/>
  </w:num>
  <w:num w:numId="2" w16cid:durableId="96337980">
    <w:abstractNumId w:val="15"/>
  </w:num>
  <w:num w:numId="3" w16cid:durableId="1889341095">
    <w:abstractNumId w:val="12"/>
  </w:num>
  <w:num w:numId="4" w16cid:durableId="216212289">
    <w:abstractNumId w:val="13"/>
  </w:num>
  <w:num w:numId="5" w16cid:durableId="2008171716">
    <w:abstractNumId w:val="7"/>
  </w:num>
  <w:num w:numId="6" w16cid:durableId="1880582053">
    <w:abstractNumId w:val="0"/>
  </w:num>
  <w:num w:numId="7" w16cid:durableId="1278635914">
    <w:abstractNumId w:val="16"/>
  </w:num>
  <w:num w:numId="8" w16cid:durableId="204610306">
    <w:abstractNumId w:val="2"/>
  </w:num>
  <w:num w:numId="9" w16cid:durableId="690108307">
    <w:abstractNumId w:val="9"/>
  </w:num>
  <w:num w:numId="10" w16cid:durableId="731267871">
    <w:abstractNumId w:val="10"/>
  </w:num>
  <w:num w:numId="11" w16cid:durableId="1042363510">
    <w:abstractNumId w:val="6"/>
  </w:num>
  <w:num w:numId="12" w16cid:durableId="709959525">
    <w:abstractNumId w:val="11"/>
  </w:num>
  <w:num w:numId="13" w16cid:durableId="1960406863">
    <w:abstractNumId w:val="14"/>
  </w:num>
  <w:num w:numId="14" w16cid:durableId="1744838458">
    <w:abstractNumId w:val="8"/>
  </w:num>
  <w:num w:numId="15" w16cid:durableId="1031417053">
    <w:abstractNumId w:val="4"/>
  </w:num>
  <w:num w:numId="16" w16cid:durableId="361907446">
    <w:abstractNumId w:val="1"/>
  </w:num>
  <w:num w:numId="17" w16cid:durableId="6645976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removePersonalInformation/>
  <w:removeDateAndTime/>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A2C17"/>
    <w:rsid w:val="00001820"/>
    <w:rsid w:val="0000249C"/>
    <w:rsid w:val="0000734F"/>
    <w:rsid w:val="00010C6A"/>
    <w:rsid w:val="0001297A"/>
    <w:rsid w:val="000160AF"/>
    <w:rsid w:val="00016670"/>
    <w:rsid w:val="00016B6C"/>
    <w:rsid w:val="0002151A"/>
    <w:rsid w:val="0002394F"/>
    <w:rsid w:val="00033942"/>
    <w:rsid w:val="00035844"/>
    <w:rsid w:val="000377D6"/>
    <w:rsid w:val="000421F9"/>
    <w:rsid w:val="000437CC"/>
    <w:rsid w:val="00045C24"/>
    <w:rsid w:val="00050C75"/>
    <w:rsid w:val="00050F14"/>
    <w:rsid w:val="00052325"/>
    <w:rsid w:val="00056B52"/>
    <w:rsid w:val="00057F05"/>
    <w:rsid w:val="0006027D"/>
    <w:rsid w:val="00060C76"/>
    <w:rsid w:val="00061953"/>
    <w:rsid w:val="00067E65"/>
    <w:rsid w:val="000700BA"/>
    <w:rsid w:val="000753CE"/>
    <w:rsid w:val="00082834"/>
    <w:rsid w:val="00085087"/>
    <w:rsid w:val="000900B2"/>
    <w:rsid w:val="00093747"/>
    <w:rsid w:val="000A0D75"/>
    <w:rsid w:val="000A1C46"/>
    <w:rsid w:val="000A4D2D"/>
    <w:rsid w:val="000A6C62"/>
    <w:rsid w:val="000A7E84"/>
    <w:rsid w:val="000B1EC3"/>
    <w:rsid w:val="000B245F"/>
    <w:rsid w:val="000B3C90"/>
    <w:rsid w:val="000B4FE6"/>
    <w:rsid w:val="000B5AD3"/>
    <w:rsid w:val="000C0180"/>
    <w:rsid w:val="000C02C9"/>
    <w:rsid w:val="000C433A"/>
    <w:rsid w:val="000C47BF"/>
    <w:rsid w:val="000C7E77"/>
    <w:rsid w:val="000D0177"/>
    <w:rsid w:val="000D0227"/>
    <w:rsid w:val="000D0CFC"/>
    <w:rsid w:val="000D33F2"/>
    <w:rsid w:val="000D38C1"/>
    <w:rsid w:val="000D3A27"/>
    <w:rsid w:val="000D634D"/>
    <w:rsid w:val="000D664C"/>
    <w:rsid w:val="000D7D2F"/>
    <w:rsid w:val="000E324C"/>
    <w:rsid w:val="000E7354"/>
    <w:rsid w:val="000F2493"/>
    <w:rsid w:val="000F2562"/>
    <w:rsid w:val="000F33C9"/>
    <w:rsid w:val="000F7C6E"/>
    <w:rsid w:val="00102238"/>
    <w:rsid w:val="00104BC1"/>
    <w:rsid w:val="00105EBE"/>
    <w:rsid w:val="0010625C"/>
    <w:rsid w:val="00107C0A"/>
    <w:rsid w:val="0011168D"/>
    <w:rsid w:val="001145FD"/>
    <w:rsid w:val="00115B2E"/>
    <w:rsid w:val="0011628E"/>
    <w:rsid w:val="0012667B"/>
    <w:rsid w:val="00132F95"/>
    <w:rsid w:val="001363E7"/>
    <w:rsid w:val="001376CC"/>
    <w:rsid w:val="0014034B"/>
    <w:rsid w:val="00140697"/>
    <w:rsid w:val="001413D6"/>
    <w:rsid w:val="0014167B"/>
    <w:rsid w:val="0014178A"/>
    <w:rsid w:val="00144B84"/>
    <w:rsid w:val="00145CA1"/>
    <w:rsid w:val="00152409"/>
    <w:rsid w:val="0015294B"/>
    <w:rsid w:val="00153097"/>
    <w:rsid w:val="00156930"/>
    <w:rsid w:val="001640D6"/>
    <w:rsid w:val="00166A45"/>
    <w:rsid w:val="00170ADF"/>
    <w:rsid w:val="00173A96"/>
    <w:rsid w:val="00174954"/>
    <w:rsid w:val="00177913"/>
    <w:rsid w:val="00177A8A"/>
    <w:rsid w:val="001829CB"/>
    <w:rsid w:val="00182E9E"/>
    <w:rsid w:val="00183F40"/>
    <w:rsid w:val="0018721C"/>
    <w:rsid w:val="001878D6"/>
    <w:rsid w:val="00190CED"/>
    <w:rsid w:val="00190D7B"/>
    <w:rsid w:val="0019175D"/>
    <w:rsid w:val="00192367"/>
    <w:rsid w:val="001929D8"/>
    <w:rsid w:val="0019382C"/>
    <w:rsid w:val="00194FAC"/>
    <w:rsid w:val="00197414"/>
    <w:rsid w:val="001A5155"/>
    <w:rsid w:val="001A5DCC"/>
    <w:rsid w:val="001B2FA6"/>
    <w:rsid w:val="001B3A29"/>
    <w:rsid w:val="001B540E"/>
    <w:rsid w:val="001B767A"/>
    <w:rsid w:val="001C3613"/>
    <w:rsid w:val="001C5117"/>
    <w:rsid w:val="001C5149"/>
    <w:rsid w:val="001C78AE"/>
    <w:rsid w:val="001D277E"/>
    <w:rsid w:val="001D45A4"/>
    <w:rsid w:val="001D4FC4"/>
    <w:rsid w:val="001E5623"/>
    <w:rsid w:val="001E6DC2"/>
    <w:rsid w:val="001E7840"/>
    <w:rsid w:val="001E7CF5"/>
    <w:rsid w:val="001F3A01"/>
    <w:rsid w:val="001F49D9"/>
    <w:rsid w:val="001F50DA"/>
    <w:rsid w:val="002001F2"/>
    <w:rsid w:val="0020082E"/>
    <w:rsid w:val="00203245"/>
    <w:rsid w:val="00203C07"/>
    <w:rsid w:val="00205F44"/>
    <w:rsid w:val="002105F8"/>
    <w:rsid w:val="00212A58"/>
    <w:rsid w:val="0021452D"/>
    <w:rsid w:val="00215EE7"/>
    <w:rsid w:val="00216B2A"/>
    <w:rsid w:val="00222BFC"/>
    <w:rsid w:val="00223D87"/>
    <w:rsid w:val="002250A9"/>
    <w:rsid w:val="002268AB"/>
    <w:rsid w:val="00226F00"/>
    <w:rsid w:val="0022749C"/>
    <w:rsid w:val="00227C77"/>
    <w:rsid w:val="002314CC"/>
    <w:rsid w:val="00232205"/>
    <w:rsid w:val="0023251B"/>
    <w:rsid w:val="00233887"/>
    <w:rsid w:val="00233A88"/>
    <w:rsid w:val="00237C1E"/>
    <w:rsid w:val="00241B9A"/>
    <w:rsid w:val="0024226F"/>
    <w:rsid w:val="00245342"/>
    <w:rsid w:val="002462BD"/>
    <w:rsid w:val="0024767F"/>
    <w:rsid w:val="00251A0E"/>
    <w:rsid w:val="002524E6"/>
    <w:rsid w:val="00260712"/>
    <w:rsid w:val="00263339"/>
    <w:rsid w:val="00263BAE"/>
    <w:rsid w:val="002809F6"/>
    <w:rsid w:val="00281D35"/>
    <w:rsid w:val="00282759"/>
    <w:rsid w:val="00283303"/>
    <w:rsid w:val="00285D22"/>
    <w:rsid w:val="00287F32"/>
    <w:rsid w:val="0029134D"/>
    <w:rsid w:val="00293681"/>
    <w:rsid w:val="002978C8"/>
    <w:rsid w:val="002A0B32"/>
    <w:rsid w:val="002A4B83"/>
    <w:rsid w:val="002A6430"/>
    <w:rsid w:val="002A79C5"/>
    <w:rsid w:val="002B1161"/>
    <w:rsid w:val="002C26D9"/>
    <w:rsid w:val="002C2A26"/>
    <w:rsid w:val="002D06D1"/>
    <w:rsid w:val="002D49D1"/>
    <w:rsid w:val="002E4830"/>
    <w:rsid w:val="002E59B1"/>
    <w:rsid w:val="002E797D"/>
    <w:rsid w:val="002E7B88"/>
    <w:rsid w:val="002F03BB"/>
    <w:rsid w:val="002F417B"/>
    <w:rsid w:val="002F6ADC"/>
    <w:rsid w:val="00300C95"/>
    <w:rsid w:val="003014C8"/>
    <w:rsid w:val="003015AD"/>
    <w:rsid w:val="00301EA9"/>
    <w:rsid w:val="0030545E"/>
    <w:rsid w:val="003054A8"/>
    <w:rsid w:val="00306770"/>
    <w:rsid w:val="00307DA3"/>
    <w:rsid w:val="00314608"/>
    <w:rsid w:val="00316FCF"/>
    <w:rsid w:val="00327983"/>
    <w:rsid w:val="00327D31"/>
    <w:rsid w:val="003305CA"/>
    <w:rsid w:val="003307B8"/>
    <w:rsid w:val="0034064A"/>
    <w:rsid w:val="0034564D"/>
    <w:rsid w:val="003518C3"/>
    <w:rsid w:val="00353390"/>
    <w:rsid w:val="00353721"/>
    <w:rsid w:val="00357842"/>
    <w:rsid w:val="00372AC1"/>
    <w:rsid w:val="003744DC"/>
    <w:rsid w:val="00374E0B"/>
    <w:rsid w:val="003802F4"/>
    <w:rsid w:val="0038053A"/>
    <w:rsid w:val="00381C08"/>
    <w:rsid w:val="00381F97"/>
    <w:rsid w:val="003831AB"/>
    <w:rsid w:val="00387A13"/>
    <w:rsid w:val="00390C06"/>
    <w:rsid w:val="003914A5"/>
    <w:rsid w:val="00393135"/>
    <w:rsid w:val="0039325B"/>
    <w:rsid w:val="003A621C"/>
    <w:rsid w:val="003A63D1"/>
    <w:rsid w:val="003B1315"/>
    <w:rsid w:val="003B525D"/>
    <w:rsid w:val="003C047D"/>
    <w:rsid w:val="003C4F86"/>
    <w:rsid w:val="003C517B"/>
    <w:rsid w:val="003C789B"/>
    <w:rsid w:val="003D1140"/>
    <w:rsid w:val="003D40F8"/>
    <w:rsid w:val="003E26C5"/>
    <w:rsid w:val="003F01C6"/>
    <w:rsid w:val="003F1CE6"/>
    <w:rsid w:val="003F2E2F"/>
    <w:rsid w:val="003F424B"/>
    <w:rsid w:val="003F4FBB"/>
    <w:rsid w:val="003F649C"/>
    <w:rsid w:val="003F774D"/>
    <w:rsid w:val="003F79A2"/>
    <w:rsid w:val="003F7BBA"/>
    <w:rsid w:val="00406F38"/>
    <w:rsid w:val="004136BB"/>
    <w:rsid w:val="004148B0"/>
    <w:rsid w:val="00415814"/>
    <w:rsid w:val="0042015A"/>
    <w:rsid w:val="0042019D"/>
    <w:rsid w:val="00420D38"/>
    <w:rsid w:val="00421AF8"/>
    <w:rsid w:val="004223CD"/>
    <w:rsid w:val="004236CC"/>
    <w:rsid w:val="00425E05"/>
    <w:rsid w:val="004266F6"/>
    <w:rsid w:val="004274AA"/>
    <w:rsid w:val="00442C7E"/>
    <w:rsid w:val="00450CCE"/>
    <w:rsid w:val="004542B7"/>
    <w:rsid w:val="004546DC"/>
    <w:rsid w:val="00461040"/>
    <w:rsid w:val="00462F89"/>
    <w:rsid w:val="00463D4E"/>
    <w:rsid w:val="00470BA0"/>
    <w:rsid w:val="00472BD1"/>
    <w:rsid w:val="0047507F"/>
    <w:rsid w:val="0047725C"/>
    <w:rsid w:val="00477439"/>
    <w:rsid w:val="004827D6"/>
    <w:rsid w:val="00484082"/>
    <w:rsid w:val="004845F1"/>
    <w:rsid w:val="004849AD"/>
    <w:rsid w:val="004859BA"/>
    <w:rsid w:val="00485A3D"/>
    <w:rsid w:val="00486B7C"/>
    <w:rsid w:val="00490C62"/>
    <w:rsid w:val="00491123"/>
    <w:rsid w:val="00496135"/>
    <w:rsid w:val="0049673E"/>
    <w:rsid w:val="00496C34"/>
    <w:rsid w:val="004A282A"/>
    <w:rsid w:val="004A2AFD"/>
    <w:rsid w:val="004A370E"/>
    <w:rsid w:val="004A37EA"/>
    <w:rsid w:val="004A4424"/>
    <w:rsid w:val="004A5B6A"/>
    <w:rsid w:val="004B0025"/>
    <w:rsid w:val="004B08DC"/>
    <w:rsid w:val="004B1453"/>
    <w:rsid w:val="004B1F82"/>
    <w:rsid w:val="004B56B0"/>
    <w:rsid w:val="004C1502"/>
    <w:rsid w:val="004C5917"/>
    <w:rsid w:val="004C5A1B"/>
    <w:rsid w:val="004C5E48"/>
    <w:rsid w:val="004D0778"/>
    <w:rsid w:val="004D0EB2"/>
    <w:rsid w:val="004D4FD6"/>
    <w:rsid w:val="004D7001"/>
    <w:rsid w:val="004D75F6"/>
    <w:rsid w:val="004E073B"/>
    <w:rsid w:val="004E424B"/>
    <w:rsid w:val="004E5580"/>
    <w:rsid w:val="004E6E5E"/>
    <w:rsid w:val="004E71FE"/>
    <w:rsid w:val="004E748D"/>
    <w:rsid w:val="004F24D0"/>
    <w:rsid w:val="00502E10"/>
    <w:rsid w:val="00505009"/>
    <w:rsid w:val="005064FB"/>
    <w:rsid w:val="00506BF4"/>
    <w:rsid w:val="00507097"/>
    <w:rsid w:val="00510941"/>
    <w:rsid w:val="00510F00"/>
    <w:rsid w:val="0051600D"/>
    <w:rsid w:val="00516FB2"/>
    <w:rsid w:val="00517C43"/>
    <w:rsid w:val="00520464"/>
    <w:rsid w:val="00523AB9"/>
    <w:rsid w:val="00524DCE"/>
    <w:rsid w:val="00525050"/>
    <w:rsid w:val="00526829"/>
    <w:rsid w:val="00527B64"/>
    <w:rsid w:val="00530F7C"/>
    <w:rsid w:val="0053110F"/>
    <w:rsid w:val="00533FEF"/>
    <w:rsid w:val="00534A2D"/>
    <w:rsid w:val="005354E8"/>
    <w:rsid w:val="00535C81"/>
    <w:rsid w:val="005363F4"/>
    <w:rsid w:val="00546D8E"/>
    <w:rsid w:val="00546FDD"/>
    <w:rsid w:val="00547304"/>
    <w:rsid w:val="00550D68"/>
    <w:rsid w:val="00550E92"/>
    <w:rsid w:val="00551340"/>
    <w:rsid w:val="00551409"/>
    <w:rsid w:val="005606FD"/>
    <w:rsid w:val="00562D6B"/>
    <w:rsid w:val="00562D99"/>
    <w:rsid w:val="0056490A"/>
    <w:rsid w:val="0056507D"/>
    <w:rsid w:val="00565A52"/>
    <w:rsid w:val="00566AD8"/>
    <w:rsid w:val="00570B86"/>
    <w:rsid w:val="005732EB"/>
    <w:rsid w:val="0057435B"/>
    <w:rsid w:val="00574624"/>
    <w:rsid w:val="005803BF"/>
    <w:rsid w:val="0058051C"/>
    <w:rsid w:val="00582FAD"/>
    <w:rsid w:val="005838D0"/>
    <w:rsid w:val="00585F7E"/>
    <w:rsid w:val="0058606A"/>
    <w:rsid w:val="00587019"/>
    <w:rsid w:val="005916ED"/>
    <w:rsid w:val="00594ABF"/>
    <w:rsid w:val="005A08AA"/>
    <w:rsid w:val="005A0921"/>
    <w:rsid w:val="005A11E6"/>
    <w:rsid w:val="005A2484"/>
    <w:rsid w:val="005A50DF"/>
    <w:rsid w:val="005A6A61"/>
    <w:rsid w:val="005B0968"/>
    <w:rsid w:val="005B207E"/>
    <w:rsid w:val="005B2484"/>
    <w:rsid w:val="005B3871"/>
    <w:rsid w:val="005B659D"/>
    <w:rsid w:val="005B6B98"/>
    <w:rsid w:val="005C1326"/>
    <w:rsid w:val="005C2DAC"/>
    <w:rsid w:val="005C3527"/>
    <w:rsid w:val="005C4B02"/>
    <w:rsid w:val="005C5100"/>
    <w:rsid w:val="005E6047"/>
    <w:rsid w:val="005E62D6"/>
    <w:rsid w:val="005F0FBF"/>
    <w:rsid w:val="005F1CB4"/>
    <w:rsid w:val="005F73F0"/>
    <w:rsid w:val="006014A0"/>
    <w:rsid w:val="0060677D"/>
    <w:rsid w:val="00614971"/>
    <w:rsid w:val="006178AE"/>
    <w:rsid w:val="00621956"/>
    <w:rsid w:val="00622B74"/>
    <w:rsid w:val="00627218"/>
    <w:rsid w:val="00630CBC"/>
    <w:rsid w:val="006332CB"/>
    <w:rsid w:val="006355D1"/>
    <w:rsid w:val="00635DD4"/>
    <w:rsid w:val="00637692"/>
    <w:rsid w:val="0064191E"/>
    <w:rsid w:val="00644540"/>
    <w:rsid w:val="00646B40"/>
    <w:rsid w:val="0064704A"/>
    <w:rsid w:val="006603CB"/>
    <w:rsid w:val="0066393D"/>
    <w:rsid w:val="006717B0"/>
    <w:rsid w:val="006760BF"/>
    <w:rsid w:val="00682423"/>
    <w:rsid w:val="006831C4"/>
    <w:rsid w:val="0068355C"/>
    <w:rsid w:val="006916AD"/>
    <w:rsid w:val="00691BEB"/>
    <w:rsid w:val="006934BE"/>
    <w:rsid w:val="00694B4F"/>
    <w:rsid w:val="00697B5F"/>
    <w:rsid w:val="006A016E"/>
    <w:rsid w:val="006A118D"/>
    <w:rsid w:val="006A3972"/>
    <w:rsid w:val="006A712D"/>
    <w:rsid w:val="006B134B"/>
    <w:rsid w:val="006B25CC"/>
    <w:rsid w:val="006D27A6"/>
    <w:rsid w:val="006D3EE7"/>
    <w:rsid w:val="006D6960"/>
    <w:rsid w:val="006D7793"/>
    <w:rsid w:val="006D7C39"/>
    <w:rsid w:val="006E101D"/>
    <w:rsid w:val="006E6F8C"/>
    <w:rsid w:val="006E76BE"/>
    <w:rsid w:val="006F037F"/>
    <w:rsid w:val="006F0918"/>
    <w:rsid w:val="006F31C4"/>
    <w:rsid w:val="006F56A2"/>
    <w:rsid w:val="006F5EDC"/>
    <w:rsid w:val="006F6E04"/>
    <w:rsid w:val="00700C45"/>
    <w:rsid w:val="00701115"/>
    <w:rsid w:val="00705AD6"/>
    <w:rsid w:val="00713E3B"/>
    <w:rsid w:val="00714444"/>
    <w:rsid w:val="00717216"/>
    <w:rsid w:val="007213FC"/>
    <w:rsid w:val="00722C38"/>
    <w:rsid w:val="00722F56"/>
    <w:rsid w:val="0072444F"/>
    <w:rsid w:val="00725568"/>
    <w:rsid w:val="00730CB8"/>
    <w:rsid w:val="00734220"/>
    <w:rsid w:val="007343B8"/>
    <w:rsid w:val="00734514"/>
    <w:rsid w:val="00735B9C"/>
    <w:rsid w:val="00736715"/>
    <w:rsid w:val="00741D1B"/>
    <w:rsid w:val="00750651"/>
    <w:rsid w:val="007552D9"/>
    <w:rsid w:val="00756B4D"/>
    <w:rsid w:val="007600FA"/>
    <w:rsid w:val="0076093D"/>
    <w:rsid w:val="00761DA0"/>
    <w:rsid w:val="007622D7"/>
    <w:rsid w:val="007631D4"/>
    <w:rsid w:val="007670BB"/>
    <w:rsid w:val="00767E31"/>
    <w:rsid w:val="00770EB3"/>
    <w:rsid w:val="00771FA6"/>
    <w:rsid w:val="00773485"/>
    <w:rsid w:val="00780826"/>
    <w:rsid w:val="007825F2"/>
    <w:rsid w:val="00784A3C"/>
    <w:rsid w:val="00790581"/>
    <w:rsid w:val="007916FD"/>
    <w:rsid w:val="0079180B"/>
    <w:rsid w:val="007934F8"/>
    <w:rsid w:val="00793BD7"/>
    <w:rsid w:val="0079466D"/>
    <w:rsid w:val="00796BAA"/>
    <w:rsid w:val="007A2D69"/>
    <w:rsid w:val="007A4195"/>
    <w:rsid w:val="007A6E4D"/>
    <w:rsid w:val="007B6953"/>
    <w:rsid w:val="007B7784"/>
    <w:rsid w:val="007C1094"/>
    <w:rsid w:val="007C3CD0"/>
    <w:rsid w:val="007D00A0"/>
    <w:rsid w:val="007D4EB7"/>
    <w:rsid w:val="007D6F47"/>
    <w:rsid w:val="007E013D"/>
    <w:rsid w:val="007E0975"/>
    <w:rsid w:val="007E1D48"/>
    <w:rsid w:val="007E36E4"/>
    <w:rsid w:val="007E5E07"/>
    <w:rsid w:val="007E7046"/>
    <w:rsid w:val="007F0000"/>
    <w:rsid w:val="007F1E09"/>
    <w:rsid w:val="007F53C0"/>
    <w:rsid w:val="007F61E3"/>
    <w:rsid w:val="008139FB"/>
    <w:rsid w:val="00813E7D"/>
    <w:rsid w:val="008221DA"/>
    <w:rsid w:val="008243C0"/>
    <w:rsid w:val="008312DB"/>
    <w:rsid w:val="00831D8A"/>
    <w:rsid w:val="00840E02"/>
    <w:rsid w:val="00847719"/>
    <w:rsid w:val="008616B9"/>
    <w:rsid w:val="008625A3"/>
    <w:rsid w:val="00864302"/>
    <w:rsid w:val="00865024"/>
    <w:rsid w:val="00866AB4"/>
    <w:rsid w:val="00871621"/>
    <w:rsid w:val="008722C5"/>
    <w:rsid w:val="00876D99"/>
    <w:rsid w:val="008805FB"/>
    <w:rsid w:val="00880B7D"/>
    <w:rsid w:val="0088159C"/>
    <w:rsid w:val="00881DEE"/>
    <w:rsid w:val="0088211A"/>
    <w:rsid w:val="00884645"/>
    <w:rsid w:val="00884999"/>
    <w:rsid w:val="00884F56"/>
    <w:rsid w:val="008854F6"/>
    <w:rsid w:val="00886667"/>
    <w:rsid w:val="00886BC4"/>
    <w:rsid w:val="00887DA1"/>
    <w:rsid w:val="008972E4"/>
    <w:rsid w:val="008A02F3"/>
    <w:rsid w:val="008A0EE6"/>
    <w:rsid w:val="008A1C1D"/>
    <w:rsid w:val="008A259F"/>
    <w:rsid w:val="008A48CA"/>
    <w:rsid w:val="008B1477"/>
    <w:rsid w:val="008B284B"/>
    <w:rsid w:val="008B2938"/>
    <w:rsid w:val="008B395C"/>
    <w:rsid w:val="008B3EF9"/>
    <w:rsid w:val="008B7248"/>
    <w:rsid w:val="008C1B59"/>
    <w:rsid w:val="008C2FF9"/>
    <w:rsid w:val="008C54E1"/>
    <w:rsid w:val="008C5773"/>
    <w:rsid w:val="008D0CA6"/>
    <w:rsid w:val="008D245A"/>
    <w:rsid w:val="008D4CD0"/>
    <w:rsid w:val="008D5358"/>
    <w:rsid w:val="008E0180"/>
    <w:rsid w:val="008E04BD"/>
    <w:rsid w:val="008E35A5"/>
    <w:rsid w:val="008F0B15"/>
    <w:rsid w:val="008F1AA6"/>
    <w:rsid w:val="008F2212"/>
    <w:rsid w:val="008F2BBE"/>
    <w:rsid w:val="008F5188"/>
    <w:rsid w:val="008F5BCB"/>
    <w:rsid w:val="008F73C8"/>
    <w:rsid w:val="008F7E69"/>
    <w:rsid w:val="00903786"/>
    <w:rsid w:val="00903AB2"/>
    <w:rsid w:val="00905F29"/>
    <w:rsid w:val="0090719E"/>
    <w:rsid w:val="00907370"/>
    <w:rsid w:val="009109AA"/>
    <w:rsid w:val="00922757"/>
    <w:rsid w:val="009234A4"/>
    <w:rsid w:val="00923960"/>
    <w:rsid w:val="00926879"/>
    <w:rsid w:val="00933C8C"/>
    <w:rsid w:val="00936353"/>
    <w:rsid w:val="009363CC"/>
    <w:rsid w:val="009367F6"/>
    <w:rsid w:val="0093741D"/>
    <w:rsid w:val="00937947"/>
    <w:rsid w:val="009400D3"/>
    <w:rsid w:val="009420BE"/>
    <w:rsid w:val="00942CB3"/>
    <w:rsid w:val="00943E87"/>
    <w:rsid w:val="00944174"/>
    <w:rsid w:val="00951652"/>
    <w:rsid w:val="00952F2F"/>
    <w:rsid w:val="00957C5E"/>
    <w:rsid w:val="0096207D"/>
    <w:rsid w:val="00962EAD"/>
    <w:rsid w:val="009631AB"/>
    <w:rsid w:val="00965C4B"/>
    <w:rsid w:val="009757BB"/>
    <w:rsid w:val="0098151F"/>
    <w:rsid w:val="00986A46"/>
    <w:rsid w:val="00987AB9"/>
    <w:rsid w:val="00990633"/>
    <w:rsid w:val="009906A6"/>
    <w:rsid w:val="00992ADC"/>
    <w:rsid w:val="009A2842"/>
    <w:rsid w:val="009A5C8E"/>
    <w:rsid w:val="009A6D32"/>
    <w:rsid w:val="009A71C4"/>
    <w:rsid w:val="009B15EC"/>
    <w:rsid w:val="009B1781"/>
    <w:rsid w:val="009B2546"/>
    <w:rsid w:val="009B464D"/>
    <w:rsid w:val="009B4C78"/>
    <w:rsid w:val="009B69A3"/>
    <w:rsid w:val="009C1F90"/>
    <w:rsid w:val="009C4372"/>
    <w:rsid w:val="009C46A6"/>
    <w:rsid w:val="009C66A3"/>
    <w:rsid w:val="009D2BC3"/>
    <w:rsid w:val="009D616A"/>
    <w:rsid w:val="009D688C"/>
    <w:rsid w:val="009E3868"/>
    <w:rsid w:val="009E6061"/>
    <w:rsid w:val="009F38F7"/>
    <w:rsid w:val="00A01086"/>
    <w:rsid w:val="00A05E57"/>
    <w:rsid w:val="00A1063D"/>
    <w:rsid w:val="00A1120D"/>
    <w:rsid w:val="00A13CB3"/>
    <w:rsid w:val="00A13F0D"/>
    <w:rsid w:val="00A149BA"/>
    <w:rsid w:val="00A15DB7"/>
    <w:rsid w:val="00A17503"/>
    <w:rsid w:val="00A20893"/>
    <w:rsid w:val="00A215B3"/>
    <w:rsid w:val="00A22F63"/>
    <w:rsid w:val="00A24D20"/>
    <w:rsid w:val="00A277AD"/>
    <w:rsid w:val="00A3282D"/>
    <w:rsid w:val="00A32C4E"/>
    <w:rsid w:val="00A3452B"/>
    <w:rsid w:val="00A420C3"/>
    <w:rsid w:val="00A43A81"/>
    <w:rsid w:val="00A46A9A"/>
    <w:rsid w:val="00A50111"/>
    <w:rsid w:val="00A52C22"/>
    <w:rsid w:val="00A60022"/>
    <w:rsid w:val="00A6514E"/>
    <w:rsid w:val="00A70CD9"/>
    <w:rsid w:val="00A777E9"/>
    <w:rsid w:val="00A805BF"/>
    <w:rsid w:val="00A83585"/>
    <w:rsid w:val="00A8449C"/>
    <w:rsid w:val="00A84C3C"/>
    <w:rsid w:val="00A87F4B"/>
    <w:rsid w:val="00A909A3"/>
    <w:rsid w:val="00A90BE1"/>
    <w:rsid w:val="00A91BD2"/>
    <w:rsid w:val="00A940BE"/>
    <w:rsid w:val="00A96316"/>
    <w:rsid w:val="00A9658A"/>
    <w:rsid w:val="00A970ED"/>
    <w:rsid w:val="00AA553F"/>
    <w:rsid w:val="00AB3D33"/>
    <w:rsid w:val="00AB41F0"/>
    <w:rsid w:val="00AC0B0A"/>
    <w:rsid w:val="00AC1B27"/>
    <w:rsid w:val="00AC4C62"/>
    <w:rsid w:val="00AC60D4"/>
    <w:rsid w:val="00AD619D"/>
    <w:rsid w:val="00AE39EE"/>
    <w:rsid w:val="00AE53E5"/>
    <w:rsid w:val="00AE6391"/>
    <w:rsid w:val="00B0765E"/>
    <w:rsid w:val="00B129C3"/>
    <w:rsid w:val="00B14584"/>
    <w:rsid w:val="00B15B56"/>
    <w:rsid w:val="00B24C1C"/>
    <w:rsid w:val="00B32830"/>
    <w:rsid w:val="00B34D34"/>
    <w:rsid w:val="00B377B5"/>
    <w:rsid w:val="00B425BB"/>
    <w:rsid w:val="00B42FAF"/>
    <w:rsid w:val="00B43DA2"/>
    <w:rsid w:val="00B45C0A"/>
    <w:rsid w:val="00B50FEA"/>
    <w:rsid w:val="00B51175"/>
    <w:rsid w:val="00B5397C"/>
    <w:rsid w:val="00B548ED"/>
    <w:rsid w:val="00B54FA9"/>
    <w:rsid w:val="00B57B0B"/>
    <w:rsid w:val="00B601A3"/>
    <w:rsid w:val="00B64308"/>
    <w:rsid w:val="00B6436B"/>
    <w:rsid w:val="00B676B2"/>
    <w:rsid w:val="00B71F74"/>
    <w:rsid w:val="00B739AF"/>
    <w:rsid w:val="00B73C23"/>
    <w:rsid w:val="00B771FF"/>
    <w:rsid w:val="00B81C47"/>
    <w:rsid w:val="00B82103"/>
    <w:rsid w:val="00B82C45"/>
    <w:rsid w:val="00B849B0"/>
    <w:rsid w:val="00B85904"/>
    <w:rsid w:val="00B85AA4"/>
    <w:rsid w:val="00B87EB0"/>
    <w:rsid w:val="00BA054F"/>
    <w:rsid w:val="00BA123B"/>
    <w:rsid w:val="00BA1FF3"/>
    <w:rsid w:val="00BA3721"/>
    <w:rsid w:val="00BA37D8"/>
    <w:rsid w:val="00BA48C7"/>
    <w:rsid w:val="00BA54A1"/>
    <w:rsid w:val="00BA7802"/>
    <w:rsid w:val="00BA7DC4"/>
    <w:rsid w:val="00BB059B"/>
    <w:rsid w:val="00BB4B21"/>
    <w:rsid w:val="00BB75A8"/>
    <w:rsid w:val="00BD241A"/>
    <w:rsid w:val="00BD3BAD"/>
    <w:rsid w:val="00BD3C26"/>
    <w:rsid w:val="00BD7EA0"/>
    <w:rsid w:val="00BE2210"/>
    <w:rsid w:val="00BE5AC7"/>
    <w:rsid w:val="00BF04B3"/>
    <w:rsid w:val="00BF3E58"/>
    <w:rsid w:val="00BF4A8E"/>
    <w:rsid w:val="00BF73E4"/>
    <w:rsid w:val="00BF75D8"/>
    <w:rsid w:val="00C0628D"/>
    <w:rsid w:val="00C158F0"/>
    <w:rsid w:val="00C15B87"/>
    <w:rsid w:val="00C21368"/>
    <w:rsid w:val="00C22616"/>
    <w:rsid w:val="00C23C8C"/>
    <w:rsid w:val="00C3042D"/>
    <w:rsid w:val="00C33A9F"/>
    <w:rsid w:val="00C34122"/>
    <w:rsid w:val="00C362B7"/>
    <w:rsid w:val="00C3693F"/>
    <w:rsid w:val="00C37A6A"/>
    <w:rsid w:val="00C41D2D"/>
    <w:rsid w:val="00C42CD3"/>
    <w:rsid w:val="00C436B8"/>
    <w:rsid w:val="00C43DF1"/>
    <w:rsid w:val="00C443D7"/>
    <w:rsid w:val="00C45CDE"/>
    <w:rsid w:val="00C47A02"/>
    <w:rsid w:val="00C561D0"/>
    <w:rsid w:val="00C620FD"/>
    <w:rsid w:val="00C63196"/>
    <w:rsid w:val="00C637D7"/>
    <w:rsid w:val="00C639E4"/>
    <w:rsid w:val="00C71CED"/>
    <w:rsid w:val="00C778C6"/>
    <w:rsid w:val="00C77D7D"/>
    <w:rsid w:val="00C80C62"/>
    <w:rsid w:val="00C82A8A"/>
    <w:rsid w:val="00C8634C"/>
    <w:rsid w:val="00C94088"/>
    <w:rsid w:val="00CA0871"/>
    <w:rsid w:val="00CA168B"/>
    <w:rsid w:val="00CA1E35"/>
    <w:rsid w:val="00CA4694"/>
    <w:rsid w:val="00CA7886"/>
    <w:rsid w:val="00CB032B"/>
    <w:rsid w:val="00CB0554"/>
    <w:rsid w:val="00CB2499"/>
    <w:rsid w:val="00CB669D"/>
    <w:rsid w:val="00CB6A60"/>
    <w:rsid w:val="00CB7DBF"/>
    <w:rsid w:val="00CC1136"/>
    <w:rsid w:val="00CC5606"/>
    <w:rsid w:val="00CC6AC0"/>
    <w:rsid w:val="00CD02A5"/>
    <w:rsid w:val="00CD17B9"/>
    <w:rsid w:val="00CD23DA"/>
    <w:rsid w:val="00CD7F0B"/>
    <w:rsid w:val="00CE17B4"/>
    <w:rsid w:val="00CE6722"/>
    <w:rsid w:val="00CF1EA3"/>
    <w:rsid w:val="00CF4417"/>
    <w:rsid w:val="00CF5A2D"/>
    <w:rsid w:val="00D03F29"/>
    <w:rsid w:val="00D044DC"/>
    <w:rsid w:val="00D05A02"/>
    <w:rsid w:val="00D0725D"/>
    <w:rsid w:val="00D11F38"/>
    <w:rsid w:val="00D11F49"/>
    <w:rsid w:val="00D17467"/>
    <w:rsid w:val="00D2150F"/>
    <w:rsid w:val="00D215DF"/>
    <w:rsid w:val="00D23F4F"/>
    <w:rsid w:val="00D25EC3"/>
    <w:rsid w:val="00D33E3B"/>
    <w:rsid w:val="00D36602"/>
    <w:rsid w:val="00D40B85"/>
    <w:rsid w:val="00D459DB"/>
    <w:rsid w:val="00D52BC8"/>
    <w:rsid w:val="00D535AC"/>
    <w:rsid w:val="00D555C7"/>
    <w:rsid w:val="00D566F4"/>
    <w:rsid w:val="00D56F32"/>
    <w:rsid w:val="00D60855"/>
    <w:rsid w:val="00D621F5"/>
    <w:rsid w:val="00D70423"/>
    <w:rsid w:val="00D81F86"/>
    <w:rsid w:val="00D830C6"/>
    <w:rsid w:val="00D86C7D"/>
    <w:rsid w:val="00D91B7E"/>
    <w:rsid w:val="00D93DD8"/>
    <w:rsid w:val="00D9421A"/>
    <w:rsid w:val="00D947CE"/>
    <w:rsid w:val="00D9782A"/>
    <w:rsid w:val="00DA44E5"/>
    <w:rsid w:val="00DA51E9"/>
    <w:rsid w:val="00DB258C"/>
    <w:rsid w:val="00DC075C"/>
    <w:rsid w:val="00DC1A62"/>
    <w:rsid w:val="00DC6ED0"/>
    <w:rsid w:val="00DC6FBB"/>
    <w:rsid w:val="00DD3DE3"/>
    <w:rsid w:val="00DD4227"/>
    <w:rsid w:val="00DD5D38"/>
    <w:rsid w:val="00DD5DA0"/>
    <w:rsid w:val="00DD7EF9"/>
    <w:rsid w:val="00DE05FE"/>
    <w:rsid w:val="00DE5EE8"/>
    <w:rsid w:val="00DE74EC"/>
    <w:rsid w:val="00DE79AC"/>
    <w:rsid w:val="00DF0B01"/>
    <w:rsid w:val="00DF1B83"/>
    <w:rsid w:val="00DF56B6"/>
    <w:rsid w:val="00DF5A46"/>
    <w:rsid w:val="00DF7E72"/>
    <w:rsid w:val="00E028EF"/>
    <w:rsid w:val="00E10B5B"/>
    <w:rsid w:val="00E11105"/>
    <w:rsid w:val="00E16939"/>
    <w:rsid w:val="00E1766A"/>
    <w:rsid w:val="00E267E6"/>
    <w:rsid w:val="00E34501"/>
    <w:rsid w:val="00E35B8F"/>
    <w:rsid w:val="00E373AC"/>
    <w:rsid w:val="00E37444"/>
    <w:rsid w:val="00E40078"/>
    <w:rsid w:val="00E4109C"/>
    <w:rsid w:val="00E4461B"/>
    <w:rsid w:val="00E4520C"/>
    <w:rsid w:val="00E45902"/>
    <w:rsid w:val="00E559DF"/>
    <w:rsid w:val="00E601CF"/>
    <w:rsid w:val="00E62B01"/>
    <w:rsid w:val="00E64949"/>
    <w:rsid w:val="00E64B67"/>
    <w:rsid w:val="00E669CD"/>
    <w:rsid w:val="00E70115"/>
    <w:rsid w:val="00E70A2C"/>
    <w:rsid w:val="00E71AE8"/>
    <w:rsid w:val="00E71B89"/>
    <w:rsid w:val="00E813BB"/>
    <w:rsid w:val="00E81A92"/>
    <w:rsid w:val="00E83A1D"/>
    <w:rsid w:val="00E847A7"/>
    <w:rsid w:val="00E85FF2"/>
    <w:rsid w:val="00E86CBA"/>
    <w:rsid w:val="00E908F3"/>
    <w:rsid w:val="00E90E39"/>
    <w:rsid w:val="00E9159C"/>
    <w:rsid w:val="00E91A33"/>
    <w:rsid w:val="00E93C25"/>
    <w:rsid w:val="00E93F2A"/>
    <w:rsid w:val="00EA1BAF"/>
    <w:rsid w:val="00EA4BD2"/>
    <w:rsid w:val="00EA5D8D"/>
    <w:rsid w:val="00EB1557"/>
    <w:rsid w:val="00EB6528"/>
    <w:rsid w:val="00EB6DB6"/>
    <w:rsid w:val="00EB733B"/>
    <w:rsid w:val="00EC2A56"/>
    <w:rsid w:val="00EC33C8"/>
    <w:rsid w:val="00EC556C"/>
    <w:rsid w:val="00ED3522"/>
    <w:rsid w:val="00EE4A18"/>
    <w:rsid w:val="00EE562A"/>
    <w:rsid w:val="00EE570F"/>
    <w:rsid w:val="00EE5F89"/>
    <w:rsid w:val="00EF1B2D"/>
    <w:rsid w:val="00EF217B"/>
    <w:rsid w:val="00EF5977"/>
    <w:rsid w:val="00F00EB9"/>
    <w:rsid w:val="00F0196A"/>
    <w:rsid w:val="00F01D88"/>
    <w:rsid w:val="00F06668"/>
    <w:rsid w:val="00F07B2D"/>
    <w:rsid w:val="00F172EE"/>
    <w:rsid w:val="00F22FC2"/>
    <w:rsid w:val="00F2380A"/>
    <w:rsid w:val="00F248B6"/>
    <w:rsid w:val="00F25CF8"/>
    <w:rsid w:val="00F31637"/>
    <w:rsid w:val="00F325FB"/>
    <w:rsid w:val="00F32DCB"/>
    <w:rsid w:val="00F33B9F"/>
    <w:rsid w:val="00F41932"/>
    <w:rsid w:val="00F44C22"/>
    <w:rsid w:val="00F4789A"/>
    <w:rsid w:val="00F51C00"/>
    <w:rsid w:val="00F51FDE"/>
    <w:rsid w:val="00F57590"/>
    <w:rsid w:val="00F6021F"/>
    <w:rsid w:val="00F60D79"/>
    <w:rsid w:val="00F61364"/>
    <w:rsid w:val="00F614C4"/>
    <w:rsid w:val="00F6154E"/>
    <w:rsid w:val="00F61E2F"/>
    <w:rsid w:val="00F629A5"/>
    <w:rsid w:val="00F64D5B"/>
    <w:rsid w:val="00F7256C"/>
    <w:rsid w:val="00F75A59"/>
    <w:rsid w:val="00F7650A"/>
    <w:rsid w:val="00F80F10"/>
    <w:rsid w:val="00F84D24"/>
    <w:rsid w:val="00F90901"/>
    <w:rsid w:val="00F95DDF"/>
    <w:rsid w:val="00F95FB5"/>
    <w:rsid w:val="00F96108"/>
    <w:rsid w:val="00F96401"/>
    <w:rsid w:val="00FA2C17"/>
    <w:rsid w:val="00FA70A7"/>
    <w:rsid w:val="00FB0359"/>
    <w:rsid w:val="00FB296D"/>
    <w:rsid w:val="00FB5337"/>
    <w:rsid w:val="00FB5ABB"/>
    <w:rsid w:val="00FB7AEB"/>
    <w:rsid w:val="00FC2874"/>
    <w:rsid w:val="00FC2E34"/>
    <w:rsid w:val="00FC5FF9"/>
    <w:rsid w:val="00FC6D40"/>
    <w:rsid w:val="00FD06DF"/>
    <w:rsid w:val="00FD0B4D"/>
    <w:rsid w:val="00FD3A55"/>
    <w:rsid w:val="00FD4CB3"/>
    <w:rsid w:val="00FE000D"/>
    <w:rsid w:val="00FE2F7F"/>
    <w:rsid w:val="00FE316C"/>
    <w:rsid w:val="00FE46C3"/>
    <w:rsid w:val="00FF03EA"/>
    <w:rsid w:val="00FF4459"/>
    <w:rsid w:val="00FF6008"/>
    <w:rsid w:val="11D7EA8C"/>
    <w:rsid w:val="1A40B7E9"/>
    <w:rsid w:val="1ACD47CE"/>
    <w:rsid w:val="4519BFDC"/>
    <w:rsid w:val="4BB70943"/>
    <w:rsid w:val="5098EE1D"/>
    <w:rsid w:val="56378164"/>
    <w:rsid w:val="579EE91F"/>
    <w:rsid w:val="5A924DB8"/>
    <w:rsid w:val="5D15EB85"/>
    <w:rsid w:val="6900F783"/>
    <w:rsid w:val="6EB3451A"/>
    <w:rsid w:val="75877FED"/>
    <w:rsid w:val="7727E51A"/>
    <w:rsid w:val="7BBFB3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93681"/>
    <w:pPr>
      <w:autoSpaceDE w:val="0"/>
      <w:autoSpaceDN w:val="0"/>
      <w:adjustRightInd w:val="0"/>
      <w:spacing w:before="120" w:after="120"/>
    </w:pPr>
    <w:rPr>
      <w:rFonts w:asciiTheme="minorHAnsi" w:eastAsia="Times New Roman" w:hAnsiTheme="minorHAnsi"/>
      <w:lang w:eastAsia="en-AU"/>
    </w:rPr>
  </w:style>
  <w:style w:type="paragraph" w:styleId="Heading1">
    <w:name w:val="heading 1"/>
    <w:basedOn w:val="Normal"/>
    <w:next w:val="Normal"/>
    <w:link w:val="Heading1Char"/>
    <w:qFormat/>
    <w:rsid w:val="008312DB"/>
    <w:pPr>
      <w:keepNext/>
      <w:spacing w:before="600" w:after="360"/>
      <w:outlineLvl w:val="0"/>
    </w:pPr>
    <w:rPr>
      <w:rFonts w:ascii="Calibri" w:hAnsi="Calibri" w:cs="Arial"/>
      <w:b/>
      <w:color w:val="002C47" w:themeColor="accent1"/>
      <w:kern w:val="32"/>
      <w:sz w:val="36"/>
      <w:szCs w:val="36"/>
    </w:rPr>
  </w:style>
  <w:style w:type="paragraph" w:styleId="Heading2">
    <w:name w:val="heading 2"/>
    <w:basedOn w:val="Normal"/>
    <w:next w:val="Normal"/>
    <w:link w:val="Heading2Char"/>
    <w:qFormat/>
    <w:rsid w:val="00415814"/>
    <w:pPr>
      <w:keepNext/>
      <w:spacing w:before="360" w:after="240"/>
      <w:outlineLvl w:val="1"/>
    </w:pPr>
    <w:rPr>
      <w:rFonts w:ascii="Calibri" w:hAnsi="Calibri" w:cs="Arial"/>
      <w:iCs/>
      <w:color w:val="002C47" w:themeColor="accent1"/>
      <w:kern w:val="32"/>
      <w:sz w:val="32"/>
      <w:szCs w:val="28"/>
    </w:rPr>
  </w:style>
  <w:style w:type="paragraph" w:styleId="Heading3">
    <w:name w:val="heading 3"/>
    <w:basedOn w:val="Normal"/>
    <w:next w:val="Normal"/>
    <w:link w:val="Heading3Char"/>
    <w:qFormat/>
    <w:rsid w:val="0057435B"/>
    <w:pPr>
      <w:keepNext/>
      <w:spacing w:before="320" w:after="240"/>
      <w:outlineLvl w:val="2"/>
    </w:pPr>
    <w:rPr>
      <w:rFonts w:ascii="Calibri" w:hAnsi="Calibri" w:cs="Arial"/>
      <w:b/>
      <w:caps/>
      <w:color w:val="2F8361" w:themeColor="accent4"/>
      <w:kern w:val="32"/>
      <w:sz w:val="26"/>
      <w:szCs w:val="26"/>
    </w:rPr>
  </w:style>
  <w:style w:type="paragraph" w:styleId="Heading4">
    <w:name w:val="heading 4"/>
    <w:basedOn w:val="Normal"/>
    <w:next w:val="Normal"/>
    <w:link w:val="Heading4Char"/>
    <w:qFormat/>
    <w:rsid w:val="00F25CF8"/>
    <w:pPr>
      <w:keepNext/>
      <w:spacing w:before="240" w:after="240"/>
      <w:outlineLvl w:val="3"/>
    </w:pPr>
    <w:rPr>
      <w:rFonts w:asciiTheme="majorHAnsi" w:hAnsiTheme="majorHAnsi" w:cs="Arial"/>
      <w:b/>
      <w:caps/>
      <w:color w:val="1E75BA" w:themeColor="accent2"/>
      <w:kern w:val="32"/>
      <w:sz w:val="22"/>
      <w:szCs w:val="26"/>
    </w:rPr>
  </w:style>
  <w:style w:type="paragraph" w:styleId="Heading5">
    <w:name w:val="heading 5"/>
    <w:basedOn w:val="Normal"/>
    <w:next w:val="Normal"/>
    <w:link w:val="Heading5Char"/>
    <w:rsid w:val="00F25CF8"/>
    <w:pPr>
      <w:keepNext/>
      <w:spacing w:before="240"/>
      <w:outlineLvl w:val="4"/>
    </w:pPr>
    <w:rPr>
      <w:rFonts w:asciiTheme="majorHAnsi" w:hAnsiTheme="majorHAnsi" w:cs="Arial"/>
      <w:b/>
      <w:iCs/>
      <w:caps/>
      <w:color w:val="002C47" w:themeColor="accent1"/>
      <w:kern w:val="32"/>
      <w:szCs w:val="36"/>
    </w:rPr>
  </w:style>
  <w:style w:type="paragraph" w:styleId="Heading6">
    <w:name w:val="heading 6"/>
    <w:basedOn w:val="Normal"/>
    <w:next w:val="Normal"/>
    <w:link w:val="Heading6Char"/>
    <w:rsid w:val="00E4109C"/>
    <w:pPr>
      <w:keepNext/>
      <w:spacing w:before="180" w:after="60"/>
      <w:outlineLvl w:val="5"/>
    </w:pPr>
    <w:rPr>
      <w:rFonts w:cs="Arial"/>
      <w:color w:val="000000" w:themeColor="text1"/>
      <w:kern w:val="32"/>
      <w:szCs w:val="22"/>
    </w:rPr>
  </w:style>
  <w:style w:type="paragraph" w:styleId="Heading7">
    <w:name w:val="heading 7"/>
    <w:basedOn w:val="Normal"/>
    <w:next w:val="Normal"/>
    <w:link w:val="Heading7Char"/>
    <w:uiPriority w:val="9"/>
    <w:semiHidden/>
    <w:rsid w:val="00C23C8C"/>
    <w:pPr>
      <w:keepNext/>
      <w:keepLines/>
      <w:spacing w:before="40"/>
      <w:outlineLvl w:val="6"/>
    </w:pPr>
    <w:rPr>
      <w:rFonts w:asciiTheme="majorHAnsi" w:eastAsiaTheme="majorEastAsia" w:hAnsiTheme="majorHAnsi" w:cstheme="majorBidi"/>
      <w:iCs/>
      <w:color w:val="001523" w:themeColor="accent1" w:themeShade="7F"/>
    </w:rPr>
  </w:style>
  <w:style w:type="paragraph" w:styleId="Heading8">
    <w:name w:val="heading 8"/>
    <w:basedOn w:val="Normal"/>
    <w:next w:val="Normal"/>
    <w:link w:val="Heading8Char"/>
    <w:uiPriority w:val="9"/>
    <w:semiHidden/>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E02"/>
    <w:pPr>
      <w:jc w:val="both"/>
    </w:pPr>
    <w:rPr>
      <w:b/>
      <w:caps/>
      <w:color w:val="002C47" w:themeColor="accent1"/>
      <w:spacing w:val="14"/>
    </w:rPr>
  </w:style>
  <w:style w:type="character" w:customStyle="1" w:styleId="HeaderChar">
    <w:name w:val="Header Char"/>
    <w:basedOn w:val="DefaultParagraphFont"/>
    <w:link w:val="Header"/>
    <w:uiPriority w:val="99"/>
    <w:rsid w:val="00BA1FF3"/>
    <w:rPr>
      <w:rFonts w:asciiTheme="minorHAnsi" w:eastAsia="Times New Roman" w:hAnsiTheme="minorHAnsi"/>
      <w:b/>
      <w:caps/>
      <w:color w:val="002C47" w:themeColor="accent1"/>
      <w:spacing w:val="14"/>
      <w:lang w:eastAsia="en-AU"/>
    </w:rPr>
  </w:style>
  <w:style w:type="paragraph" w:styleId="Footer">
    <w:name w:val="footer"/>
    <w:basedOn w:val="Normal"/>
    <w:link w:val="FooterChar"/>
    <w:uiPriority w:val="99"/>
    <w:rsid w:val="00756B4D"/>
    <w:pPr>
      <w:tabs>
        <w:tab w:val="right" w:pos="9639"/>
      </w:tabs>
    </w:pPr>
    <w:rPr>
      <w:b/>
      <w:caps/>
      <w:color w:val="002C47" w:themeColor="accent1"/>
    </w:rPr>
  </w:style>
  <w:style w:type="character" w:customStyle="1" w:styleId="FooterChar">
    <w:name w:val="Footer Char"/>
    <w:basedOn w:val="DefaultParagraphFont"/>
    <w:link w:val="Footer"/>
    <w:uiPriority w:val="99"/>
    <w:rsid w:val="00756B4D"/>
    <w:rPr>
      <w:rFonts w:asciiTheme="minorHAnsi" w:eastAsia="Times New Roman" w:hAnsiTheme="minorHAnsi"/>
      <w:b/>
      <w:caps/>
      <w:color w:val="002C47" w:themeColor="accent1"/>
      <w:lang w:eastAsia="en-AU"/>
    </w:rPr>
  </w:style>
  <w:style w:type="paragraph" w:customStyle="1" w:styleId="Factsheettitle">
    <w:name w:val="Fact sheet title"/>
    <w:basedOn w:val="Normal"/>
    <w:rsid w:val="008312DB"/>
    <w:pPr>
      <w:spacing w:before="1320" w:after="600"/>
      <w:outlineLvl w:val="0"/>
    </w:pPr>
    <w:rPr>
      <w:rFonts w:ascii="Calibri" w:hAnsi="Calibri"/>
      <w:color w:val="002C47" w:themeColor="accent1"/>
      <w:spacing w:val="-14"/>
      <w:sz w:val="48"/>
      <w:szCs w:val="96"/>
    </w:rPr>
  </w:style>
  <w:style w:type="character" w:customStyle="1" w:styleId="Heading1Char">
    <w:name w:val="Heading 1 Char"/>
    <w:basedOn w:val="DefaultParagraphFont"/>
    <w:link w:val="Heading1"/>
    <w:rsid w:val="008312DB"/>
    <w:rPr>
      <w:rFonts w:eastAsia="Times New Roman" w:cs="Arial"/>
      <w:b/>
      <w:color w:val="002C47" w:themeColor="accent1"/>
      <w:kern w:val="32"/>
      <w:sz w:val="36"/>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415814"/>
    <w:rPr>
      <w:rFonts w:eastAsia="Times New Roman" w:cs="Arial"/>
      <w:iCs/>
      <w:color w:val="002C47" w:themeColor="accent1"/>
      <w:kern w:val="32"/>
      <w:sz w:val="32"/>
      <w:szCs w:val="28"/>
      <w:lang w:eastAsia="en-AU"/>
    </w:rPr>
  </w:style>
  <w:style w:type="character" w:customStyle="1" w:styleId="Heading3Char">
    <w:name w:val="Heading 3 Char"/>
    <w:basedOn w:val="DefaultParagraphFont"/>
    <w:link w:val="Heading3"/>
    <w:rsid w:val="0057435B"/>
    <w:rPr>
      <w:rFonts w:eastAsia="Times New Roman" w:cs="Arial"/>
      <w:b/>
      <w:caps/>
      <w:color w:val="2F8361" w:themeColor="accent4"/>
      <w:kern w:val="32"/>
      <w:sz w:val="26"/>
      <w:szCs w:val="26"/>
      <w:lang w:eastAsia="en-AU"/>
    </w:rPr>
  </w:style>
  <w:style w:type="character" w:customStyle="1" w:styleId="Heading4Char">
    <w:name w:val="Heading 4 Char"/>
    <w:basedOn w:val="DefaultParagraphFont"/>
    <w:link w:val="Heading4"/>
    <w:rsid w:val="00F25CF8"/>
    <w:rPr>
      <w:rFonts w:asciiTheme="majorHAnsi" w:eastAsia="Times New Roman" w:hAnsiTheme="majorHAnsi" w:cs="Arial"/>
      <w:b/>
      <w:caps/>
      <w:color w:val="1E75BA" w:themeColor="accent2"/>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15814"/>
    <w:pPr>
      <w:numPr>
        <w:ilvl w:val="1"/>
      </w:numPr>
      <w:pBdr>
        <w:bottom w:val="single" w:sz="18" w:space="6" w:color="4DBC8D" w:themeColor="background2"/>
      </w:pBdr>
      <w:spacing w:before="240" w:after="240"/>
      <w:contextualSpacing/>
    </w:pPr>
    <w:rPr>
      <w:rFonts w:ascii="Calibri" w:eastAsiaTheme="minorEastAsia" w:hAnsi="Calibri" w:cstheme="minorBidi"/>
      <w:sz w:val="26"/>
      <w:szCs w:val="26"/>
      <w:lang w:eastAsia="zh-CN"/>
    </w:rPr>
  </w:style>
  <w:style w:type="character" w:styleId="Hyperlink">
    <w:name w:val="Hyperlink"/>
    <w:uiPriority w:val="99"/>
    <w:rsid w:val="00F25CF8"/>
    <w:rPr>
      <w:color w:val="2F8361" w:themeColor="accent4"/>
      <w:u w:val="single"/>
    </w:rPr>
  </w:style>
  <w:style w:type="character" w:styleId="FollowedHyperlink">
    <w:name w:val="FollowedHyperlink"/>
    <w:basedOn w:val="DefaultParagraphFont"/>
    <w:semiHidden/>
    <w:rsid w:val="008F0B15"/>
    <w:rPr>
      <w:color w:val="954F72"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F25CF8"/>
    <w:rPr>
      <w:rFonts w:asciiTheme="majorHAnsi" w:eastAsia="Times New Roman" w:hAnsiTheme="majorHAnsi" w:cs="Arial"/>
      <w:b/>
      <w:iCs/>
      <w:caps/>
      <w:color w:val="002C47" w:themeColor="accent1"/>
      <w:kern w:val="32"/>
      <w:szCs w:val="36"/>
      <w:lang w:eastAsia="en-AU"/>
    </w:rPr>
  </w:style>
  <w:style w:type="paragraph" w:customStyle="1" w:styleId="BoxHeading">
    <w:name w:val="Box Heading"/>
    <w:basedOn w:val="Normal"/>
    <w:next w:val="Normal"/>
    <w:qFormat/>
    <w:rsid w:val="002D06D1"/>
    <w:pPr>
      <w:keepNext/>
      <w:spacing w:before="240" w:after="240"/>
    </w:pPr>
    <w:rPr>
      <w:b/>
      <w:caps/>
      <w:color w:val="002C47" w:themeColor="accent1"/>
      <w:sz w:val="24"/>
      <w:szCs w:val="26"/>
    </w:rPr>
  </w:style>
  <w:style w:type="paragraph" w:customStyle="1" w:styleId="BoxText">
    <w:name w:val="Box Text"/>
    <w:basedOn w:val="Normal"/>
    <w:link w:val="BoxTextChar"/>
    <w:qFormat/>
    <w:rsid w:val="001C5149"/>
    <w:pPr>
      <w:spacing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1C5149"/>
    <w:rPr>
      <w:rFonts w:asciiTheme="minorHAnsi" w:eastAsia="Times New Roman" w:hAnsiTheme="minorHAnsi"/>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qFormat/>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qForma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semiHidden/>
    <w:rsid w:val="00BA1FF3"/>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semiHidden/>
    <w:rsid w:val="00BA1FF3"/>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E4109C"/>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BA1FF3"/>
    <w:rPr>
      <w:rFonts w:asciiTheme="majorHAnsi" w:eastAsiaTheme="majorEastAsia" w:hAnsiTheme="majorHAnsi" w:cstheme="majorBidi"/>
      <w:iCs/>
      <w:color w:val="001523" w:themeColor="accent1" w:themeShade="7F"/>
      <w:lang w:eastAsia="en-AU"/>
    </w:rPr>
  </w:style>
  <w:style w:type="paragraph" w:styleId="NoSpacing">
    <w:name w:val="No Spacing"/>
    <w:basedOn w:val="Normal"/>
    <w:link w:val="NoSpacingChar"/>
    <w:qFormat/>
    <w:rsid w:val="002E59B1"/>
    <w:pPr>
      <w:autoSpaceDE/>
      <w:autoSpaceDN/>
      <w:adjustRightInd/>
      <w:spacing w:before="0" w:after="0"/>
    </w:pPr>
  </w:style>
  <w:style w:type="paragraph" w:customStyle="1" w:styleId="Default">
    <w:name w:val="Default"/>
    <w:semiHidden/>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style>
  <w:style w:type="character" w:customStyle="1" w:styleId="FootnoteTextChar">
    <w:name w:val="Footnote Text Char"/>
    <w:basedOn w:val="DefaultParagraphFont"/>
    <w:link w:val="FootnoteText"/>
    <w:uiPriority w:val="99"/>
    <w:rsid w:val="00BA1FF3"/>
    <w:rPr>
      <w:rFonts w:asciiTheme="minorHAnsi" w:eastAsia="Times New Roman" w:hAnsiTheme="minorHAnsi"/>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9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F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F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F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F98" w:themeFill="accent6"/>
      </w:tcPr>
    </w:tblStylePr>
    <w:tblStylePr w:type="band1Vert">
      <w:tblPr/>
      <w:tcPr>
        <w:shd w:val="clear" w:color="auto" w:fill="99D4E5" w:themeFill="accent6" w:themeFillTint="66"/>
      </w:tcPr>
    </w:tblStylePr>
    <w:tblStylePr w:type="band1Horz">
      <w:tblPr/>
      <w:tcPr>
        <w:shd w:val="clear" w:color="auto" w:fill="99D4E5"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semiHidden/>
    <w:rsid w:val="008F0B15"/>
    <w:pPr>
      <w:ind w:left="720"/>
      <w:contextualSpacing/>
    </w:pPr>
  </w:style>
  <w:style w:type="character" w:customStyle="1" w:styleId="ListParagraphChar">
    <w:name w:val="List Paragraph Char"/>
    <w:basedOn w:val="DefaultParagraphFont"/>
    <w:link w:val="ListParagraph"/>
    <w:uiPriority w:val="34"/>
    <w:semiHidden/>
    <w:rsid w:val="00BA1FF3"/>
    <w:rPr>
      <w:rFonts w:asciiTheme="minorHAnsi" w:eastAsia="Times New Roman" w:hAnsiTheme="minorHAnsi"/>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66BED8" w:themeColor="accent6" w:themeTint="99"/>
        <w:left w:val="single" w:sz="4" w:space="0" w:color="66BED8" w:themeColor="accent6" w:themeTint="99"/>
        <w:bottom w:val="single" w:sz="4" w:space="0" w:color="66BED8" w:themeColor="accent6" w:themeTint="99"/>
        <w:right w:val="single" w:sz="4" w:space="0" w:color="66BED8" w:themeColor="accent6" w:themeTint="99"/>
        <w:insideH w:val="single" w:sz="4" w:space="0" w:color="66BED8" w:themeColor="accent6" w:themeTint="99"/>
      </w:tblBorders>
    </w:tblPr>
    <w:tblStylePr w:type="firstRow">
      <w:rPr>
        <w:b/>
        <w:bCs/>
        <w:color w:val="FFFFFF" w:themeColor="background1"/>
      </w:rPr>
      <w:tblPr/>
      <w:tcPr>
        <w:tcBorders>
          <w:top w:val="single" w:sz="4" w:space="0" w:color="277F98" w:themeColor="accent6"/>
          <w:left w:val="single" w:sz="4" w:space="0" w:color="277F98" w:themeColor="accent6"/>
          <w:bottom w:val="single" w:sz="4" w:space="0" w:color="277F98" w:themeColor="accent6"/>
          <w:right w:val="single" w:sz="4" w:space="0" w:color="277F98" w:themeColor="accent6"/>
          <w:insideH w:val="nil"/>
        </w:tcBorders>
        <w:shd w:val="clear" w:color="auto" w:fill="277F98" w:themeFill="accent6"/>
      </w:tcPr>
    </w:tblStylePr>
    <w:tblStylePr w:type="lastRow">
      <w:rPr>
        <w:b/>
        <w:bCs/>
      </w:rPr>
      <w:tblPr/>
      <w:tcPr>
        <w:tcBorders>
          <w:top w:val="double" w:sz="4" w:space="0" w:color="66BED8" w:themeColor="accent6" w:themeTint="99"/>
        </w:tcBorders>
      </w:tcPr>
    </w:tblStylePr>
    <w:tblStylePr w:type="firstCol">
      <w:rPr>
        <w:b/>
        <w:bCs/>
      </w:rPr>
    </w:tblStylePr>
    <w:tblStylePr w:type="lastCol">
      <w:rPr>
        <w:b/>
        <w:bCs/>
      </w:rPr>
    </w:tblStylePr>
    <w:tblStylePr w:type="band1Vert">
      <w:tblPr/>
      <w:tcPr>
        <w:shd w:val="clear" w:color="auto" w:fill="CCE9F2" w:themeFill="accent6" w:themeFillTint="33"/>
      </w:tcPr>
    </w:tblStylePr>
    <w:tblStylePr w:type="band1Horz">
      <w:tblPr/>
      <w:tcPr>
        <w:shd w:val="clear" w:color="auto" w:fill="CCE9F2" w:themeFill="accent6" w:themeFillTint="33"/>
      </w:tcPr>
    </w:tblStylePr>
  </w:style>
  <w:style w:type="character" w:customStyle="1" w:styleId="NoSpacingChar">
    <w:name w:val="No Spacing Char"/>
    <w:basedOn w:val="DefaultParagraphFont"/>
    <w:link w:val="NoSpacing"/>
    <w:rsid w:val="002E59B1"/>
    <w:rPr>
      <w:rFonts w:asciiTheme="minorHAnsi" w:eastAsia="Times New Roman" w:hAnsiTheme="minorHAnsi"/>
      <w:lang w:eastAsia="en-AU"/>
    </w:rPr>
  </w:style>
  <w:style w:type="paragraph" w:customStyle="1" w:styleId="OutlineNumbered1">
    <w:name w:val="Outline Numbered 1"/>
    <w:basedOn w:val="Normal"/>
    <w:link w:val="OutlineNumbered1Char"/>
    <w:semiHidden/>
    <w:rsid w:val="00BA1FF3"/>
    <w:pPr>
      <w:numPr>
        <w:numId w:val="11"/>
      </w:numPr>
    </w:pPr>
    <w:rPr>
      <w:rFonts w:cstheme="minorBidi"/>
      <w:spacing w:val="15"/>
      <w:bdr w:val="none" w:sz="0" w:space="0" w:color="auto" w:frame="1"/>
    </w:rPr>
  </w:style>
  <w:style w:type="paragraph" w:styleId="Quote">
    <w:name w:val="Quote"/>
    <w:basedOn w:val="Normal"/>
    <w:next w:val="Normal"/>
    <w:link w:val="QuoteChar"/>
    <w:uiPriority w:val="99"/>
    <w:rsid w:val="002E59B1"/>
    <w:pPr>
      <w:spacing w:before="240" w:after="240"/>
      <w:ind w:left="851" w:right="851"/>
      <w:contextualSpacing/>
      <w:jc w:val="center"/>
    </w:pPr>
    <w:rPr>
      <w:i/>
      <w:iCs/>
      <w:color w:val="404040" w:themeColor="text1" w:themeTint="BF"/>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Text">
    <w:name w:val="Table Text"/>
    <w:basedOn w:val="Normal"/>
    <w:semiHidden/>
    <w:rsid w:val="00BA123B"/>
    <w:pPr>
      <w:spacing w:before="100" w:line="264" w:lineRule="auto"/>
    </w:pPr>
    <w:rPr>
      <w:rFonts w:ascii="Calibri" w:eastAsia="Batang" w:hAnsi="Calibri" w:cstheme="minorBidi"/>
      <w:sz w:val="24"/>
    </w:rPr>
  </w:style>
  <w:style w:type="character" w:customStyle="1" w:styleId="TableChartFigureHeadingChar">
    <w:name w:val="Table/Chart/Figure Heading Char"/>
    <w:basedOn w:val="DefaultParagraphFont"/>
    <w:link w:val="TableChartFigureHeading"/>
    <w:rsid w:val="00415814"/>
    <w:rPr>
      <w:rFonts w:asciiTheme="minorHAnsi" w:eastAsiaTheme="minorEastAsia" w:hAnsiTheme="minorHAnsi" w:cstheme="minorBidi"/>
      <w:b/>
      <w:color w:val="002C47" w:themeColor="accent1"/>
      <w:bdr w:val="none" w:sz="0" w:space="0" w:color="auto" w:frame="1"/>
    </w:rPr>
  </w:style>
  <w:style w:type="character" w:customStyle="1" w:styleId="OutlineNumbered1Char">
    <w:name w:val="Outline Numbered 1 Char"/>
    <w:basedOn w:val="TableChartFigureHeadingChar"/>
    <w:link w:val="OutlineNumbered1"/>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table" w:customStyle="1" w:styleId="BlueBox">
    <w:name w:val="Blue Box"/>
    <w:basedOn w:val="TableNormal"/>
    <w:uiPriority w:val="99"/>
    <w:rsid w:val="008312DB"/>
    <w:tblPr>
      <w:tblCellMar>
        <w:top w:w="57" w:type="dxa"/>
        <w:left w:w="284" w:type="dxa"/>
        <w:bottom w:w="284" w:type="dxa"/>
        <w:right w:w="284" w:type="dxa"/>
      </w:tblCellMar>
    </w:tblPr>
    <w:tcPr>
      <w:shd w:val="clear" w:color="auto" w:fill="EAF6F0"/>
    </w:tcPr>
  </w:style>
  <w:style w:type="paragraph" w:customStyle="1" w:styleId="TableChartFigureHeading">
    <w:name w:val="Table/Chart/Figure Heading"/>
    <w:basedOn w:val="Normal"/>
    <w:next w:val="Normal"/>
    <w:link w:val="TableChartFigureHeadingChar"/>
    <w:qFormat/>
    <w:rsid w:val="00415814"/>
    <w:pPr>
      <w:keepNext/>
      <w:pBdr>
        <w:top w:val="single" w:sz="12" w:space="6" w:color="38AFCF" w:themeColor="text2"/>
      </w:pBdr>
      <w:spacing w:before="240"/>
      <w:outlineLvl w:val="2"/>
    </w:pPr>
    <w:rPr>
      <w:rFonts w:eastAsiaTheme="minorEastAsia" w:cstheme="minorBidi"/>
      <w:b/>
      <w:color w:val="002C47" w:themeColor="accent1"/>
      <w:bdr w:val="none" w:sz="0" w:space="0" w:color="auto" w:frame="1"/>
      <w:lang w:eastAsia="en-US"/>
    </w:rPr>
  </w:style>
  <w:style w:type="paragraph" w:customStyle="1" w:styleId="TableChartFigureSource">
    <w:name w:val="Table/Chart/Figure Source"/>
    <w:next w:val="Normal"/>
    <w:link w:val="TableChartFigureSourceChar"/>
    <w:uiPriority w:val="1"/>
    <w:qFormat/>
    <w:rsid w:val="00353721"/>
    <w:pPr>
      <w:pBdr>
        <w:bottom w:val="single" w:sz="12" w:space="6" w:color="38AFCF" w:themeColor="text2"/>
      </w:pBdr>
      <w:tabs>
        <w:tab w:val="left" w:pos="0"/>
      </w:tabs>
      <w:spacing w:before="40" w:after="240" w:line="276" w:lineRule="auto"/>
    </w:pPr>
    <w:rPr>
      <w:rFonts w:asciiTheme="minorHAnsi" w:eastAsiaTheme="minorEastAsia" w:hAnsiTheme="minorHAnsi" w:cstheme="minorBidi"/>
      <w:sz w:val="17"/>
      <w:bdr w:val="none" w:sz="0" w:space="0" w:color="auto" w:frame="1"/>
      <w:lang w:eastAsia="en-AU"/>
    </w:rPr>
  </w:style>
  <w:style w:type="character" w:customStyle="1" w:styleId="TableChartFigureSourceChar">
    <w:name w:val="Table/Chart/Figure Source Char"/>
    <w:basedOn w:val="DashChar"/>
    <w:link w:val="TableChartFigureSource"/>
    <w:uiPriority w:val="1"/>
    <w:rsid w:val="00353721"/>
    <w:rPr>
      <w:rFonts w:asciiTheme="minorHAnsi" w:eastAsiaTheme="minorEastAsia" w:hAnsiTheme="minorHAnsi" w:cstheme="minorBidi"/>
      <w:sz w:val="17"/>
      <w:bdr w:val="none" w:sz="0" w:space="0" w:color="auto" w:frame="1"/>
      <w:lang w:eastAsia="en-AU"/>
    </w:rPr>
  </w:style>
  <w:style w:type="paragraph" w:customStyle="1" w:styleId="OutlineNumbered2">
    <w:name w:val="Outline Numbered 2"/>
    <w:basedOn w:val="Normal"/>
    <w:link w:val="OutlineNumbered2Char"/>
    <w:semiHidden/>
    <w:rsid w:val="00BA1FF3"/>
    <w:pPr>
      <w:numPr>
        <w:ilvl w:val="1"/>
        <w:numId w:val="11"/>
      </w:numPr>
    </w:pPr>
    <w:rPr>
      <w:rFonts w:cstheme="minorBidi"/>
      <w:spacing w:val="15"/>
      <w:bdr w:val="none" w:sz="0" w:space="0" w:color="auto" w:frame="1"/>
    </w:rPr>
  </w:style>
  <w:style w:type="character" w:customStyle="1" w:styleId="OutlineNumbered2Char">
    <w:name w:val="Outline Numbered 2 Char"/>
    <w:basedOn w:val="TableChartFigureHeadingChar"/>
    <w:link w:val="OutlineNumbered2"/>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paragraph" w:customStyle="1" w:styleId="OutlineNumbered3">
    <w:name w:val="Outline Numbered 3"/>
    <w:basedOn w:val="Normal"/>
    <w:link w:val="OutlineNumbered3Char"/>
    <w:semiHidden/>
    <w:rsid w:val="00BA1FF3"/>
    <w:pPr>
      <w:numPr>
        <w:ilvl w:val="2"/>
        <w:numId w:val="11"/>
      </w:numPr>
    </w:pPr>
    <w:rPr>
      <w:rFonts w:cstheme="minorBidi"/>
      <w:spacing w:val="15"/>
      <w:bdr w:val="none" w:sz="0" w:space="0" w:color="auto" w:frame="1"/>
    </w:rPr>
  </w:style>
  <w:style w:type="character" w:customStyle="1" w:styleId="OutlineNumbered3Char">
    <w:name w:val="Outline Numbered 3 Char"/>
    <w:basedOn w:val="TableChartFigureHeadingChar"/>
    <w:link w:val="OutlineNumbered3"/>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character" w:customStyle="1" w:styleId="QuoteChar">
    <w:name w:val="Quote Char"/>
    <w:basedOn w:val="DefaultParagraphFont"/>
    <w:link w:val="Quote"/>
    <w:uiPriority w:val="99"/>
    <w:rsid w:val="002E59B1"/>
    <w:rPr>
      <w:rFonts w:asciiTheme="minorHAnsi" w:eastAsia="Times New Roman" w:hAnsiTheme="minorHAnsi"/>
      <w:i/>
      <w:iCs/>
      <w:color w:val="404040" w:themeColor="text1" w:themeTint="BF"/>
      <w:lang w:eastAsia="en-AU"/>
    </w:rPr>
  </w:style>
  <w:style w:type="paragraph" w:styleId="EndnoteText">
    <w:name w:val="endnote text"/>
    <w:basedOn w:val="Normal"/>
    <w:link w:val="EndnoteTextChar"/>
    <w:uiPriority w:val="99"/>
    <w:semiHidden/>
    <w:rsid w:val="00510941"/>
    <w:pPr>
      <w:spacing w:before="0" w:after="0"/>
    </w:pPr>
  </w:style>
  <w:style w:type="character" w:customStyle="1" w:styleId="EndnoteTextChar">
    <w:name w:val="Endnote Text Char"/>
    <w:basedOn w:val="DefaultParagraphFont"/>
    <w:link w:val="EndnoteText"/>
    <w:uiPriority w:val="99"/>
    <w:semiHidden/>
    <w:rsid w:val="00510941"/>
    <w:rPr>
      <w:rFonts w:asciiTheme="minorHAnsi" w:eastAsia="Times New Roman" w:hAnsiTheme="minorHAnsi"/>
      <w:lang w:eastAsia="en-AU"/>
    </w:rPr>
  </w:style>
  <w:style w:type="character" w:styleId="EndnoteReference">
    <w:name w:val="endnote reference"/>
    <w:basedOn w:val="DefaultParagraphFont"/>
    <w:uiPriority w:val="99"/>
    <w:semiHidden/>
    <w:rsid w:val="00510941"/>
    <w:rPr>
      <w:vertAlign w:val="superscript"/>
    </w:rPr>
  </w:style>
  <w:style w:type="paragraph" w:styleId="NormalWeb">
    <w:name w:val="Normal (Web)"/>
    <w:basedOn w:val="Normal"/>
    <w:uiPriority w:val="99"/>
    <w:unhideWhenUsed/>
    <w:rsid w:val="00D86C7D"/>
    <w:pPr>
      <w:autoSpaceDE/>
      <w:autoSpaceDN/>
      <w:adjustRightInd/>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rsid w:val="008F5BCB"/>
    <w:rPr>
      <w:color w:val="605E5C"/>
      <w:shd w:val="clear" w:color="auto" w:fill="E1DFDD"/>
    </w:rPr>
  </w:style>
  <w:style w:type="character" w:styleId="CommentReference">
    <w:name w:val="annotation reference"/>
    <w:basedOn w:val="DefaultParagraphFont"/>
    <w:semiHidden/>
    <w:rsid w:val="00CE17B4"/>
    <w:rPr>
      <w:sz w:val="16"/>
      <w:szCs w:val="16"/>
    </w:rPr>
  </w:style>
  <w:style w:type="paragraph" w:styleId="CommentText">
    <w:name w:val="annotation text"/>
    <w:basedOn w:val="Normal"/>
    <w:link w:val="CommentTextChar"/>
    <w:semiHidden/>
    <w:rsid w:val="00CE17B4"/>
  </w:style>
  <w:style w:type="character" w:customStyle="1" w:styleId="CommentTextChar">
    <w:name w:val="Comment Text Char"/>
    <w:basedOn w:val="DefaultParagraphFont"/>
    <w:link w:val="CommentText"/>
    <w:semiHidden/>
    <w:rsid w:val="00CE17B4"/>
    <w:rPr>
      <w:rFonts w:asciiTheme="minorHAnsi" w:eastAsia="Times New Roman" w:hAnsiTheme="minorHAnsi"/>
      <w:lang w:eastAsia="en-AU"/>
    </w:rPr>
  </w:style>
  <w:style w:type="paragraph" w:styleId="CommentSubject">
    <w:name w:val="annotation subject"/>
    <w:basedOn w:val="CommentText"/>
    <w:next w:val="CommentText"/>
    <w:link w:val="CommentSubjectChar"/>
    <w:semiHidden/>
    <w:rsid w:val="00CE17B4"/>
    <w:rPr>
      <w:b/>
      <w:bCs/>
    </w:rPr>
  </w:style>
  <w:style w:type="character" w:customStyle="1" w:styleId="CommentSubjectChar">
    <w:name w:val="Comment Subject Char"/>
    <w:basedOn w:val="CommentTextChar"/>
    <w:link w:val="CommentSubject"/>
    <w:semiHidden/>
    <w:rsid w:val="00CE17B4"/>
    <w:rPr>
      <w:rFonts w:asciiTheme="minorHAnsi" w:eastAsia="Times New Roman" w:hAnsiTheme="minorHAns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384">
      <w:bodyDiv w:val="1"/>
      <w:marLeft w:val="0"/>
      <w:marRight w:val="0"/>
      <w:marTop w:val="0"/>
      <w:marBottom w:val="0"/>
      <w:divBdr>
        <w:top w:val="none" w:sz="0" w:space="0" w:color="auto"/>
        <w:left w:val="none" w:sz="0" w:space="0" w:color="auto"/>
        <w:bottom w:val="none" w:sz="0" w:space="0" w:color="auto"/>
        <w:right w:val="none" w:sz="0" w:space="0" w:color="auto"/>
      </w:divBdr>
    </w:div>
    <w:div w:id="77531419">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16458354">
      <w:bodyDiv w:val="1"/>
      <w:marLeft w:val="0"/>
      <w:marRight w:val="0"/>
      <w:marTop w:val="0"/>
      <w:marBottom w:val="0"/>
      <w:divBdr>
        <w:top w:val="none" w:sz="0" w:space="0" w:color="auto"/>
        <w:left w:val="none" w:sz="0" w:space="0" w:color="auto"/>
        <w:bottom w:val="none" w:sz="0" w:space="0" w:color="auto"/>
        <w:right w:val="none" w:sz="0" w:space="0" w:color="auto"/>
      </w:divBdr>
    </w:div>
    <w:div w:id="121307604">
      <w:bodyDiv w:val="1"/>
      <w:marLeft w:val="0"/>
      <w:marRight w:val="0"/>
      <w:marTop w:val="0"/>
      <w:marBottom w:val="0"/>
      <w:divBdr>
        <w:top w:val="none" w:sz="0" w:space="0" w:color="auto"/>
        <w:left w:val="none" w:sz="0" w:space="0" w:color="auto"/>
        <w:bottom w:val="none" w:sz="0" w:space="0" w:color="auto"/>
        <w:right w:val="none" w:sz="0" w:space="0" w:color="auto"/>
      </w:divBdr>
      <w:divsChild>
        <w:div w:id="214313994">
          <w:marLeft w:val="274"/>
          <w:marRight w:val="0"/>
          <w:marTop w:val="60"/>
          <w:marBottom w:val="60"/>
          <w:divBdr>
            <w:top w:val="none" w:sz="0" w:space="0" w:color="auto"/>
            <w:left w:val="none" w:sz="0" w:space="0" w:color="auto"/>
            <w:bottom w:val="none" w:sz="0" w:space="0" w:color="auto"/>
            <w:right w:val="none" w:sz="0" w:space="0" w:color="auto"/>
          </w:divBdr>
        </w:div>
        <w:div w:id="220754737">
          <w:marLeft w:val="274"/>
          <w:marRight w:val="0"/>
          <w:marTop w:val="60"/>
          <w:marBottom w:val="60"/>
          <w:divBdr>
            <w:top w:val="none" w:sz="0" w:space="0" w:color="auto"/>
            <w:left w:val="none" w:sz="0" w:space="0" w:color="auto"/>
            <w:bottom w:val="none" w:sz="0" w:space="0" w:color="auto"/>
            <w:right w:val="none" w:sz="0" w:space="0" w:color="auto"/>
          </w:divBdr>
        </w:div>
        <w:div w:id="395586279">
          <w:marLeft w:val="274"/>
          <w:marRight w:val="0"/>
          <w:marTop w:val="60"/>
          <w:marBottom w:val="60"/>
          <w:divBdr>
            <w:top w:val="none" w:sz="0" w:space="0" w:color="auto"/>
            <w:left w:val="none" w:sz="0" w:space="0" w:color="auto"/>
            <w:bottom w:val="none" w:sz="0" w:space="0" w:color="auto"/>
            <w:right w:val="none" w:sz="0" w:space="0" w:color="auto"/>
          </w:divBdr>
        </w:div>
        <w:div w:id="448401927">
          <w:marLeft w:val="274"/>
          <w:marRight w:val="0"/>
          <w:marTop w:val="60"/>
          <w:marBottom w:val="60"/>
          <w:divBdr>
            <w:top w:val="none" w:sz="0" w:space="0" w:color="auto"/>
            <w:left w:val="none" w:sz="0" w:space="0" w:color="auto"/>
            <w:bottom w:val="none" w:sz="0" w:space="0" w:color="auto"/>
            <w:right w:val="none" w:sz="0" w:space="0" w:color="auto"/>
          </w:divBdr>
        </w:div>
        <w:div w:id="657927275">
          <w:marLeft w:val="274"/>
          <w:marRight w:val="0"/>
          <w:marTop w:val="60"/>
          <w:marBottom w:val="60"/>
          <w:divBdr>
            <w:top w:val="none" w:sz="0" w:space="0" w:color="auto"/>
            <w:left w:val="none" w:sz="0" w:space="0" w:color="auto"/>
            <w:bottom w:val="none" w:sz="0" w:space="0" w:color="auto"/>
            <w:right w:val="none" w:sz="0" w:space="0" w:color="auto"/>
          </w:divBdr>
        </w:div>
        <w:div w:id="1679965357">
          <w:marLeft w:val="274"/>
          <w:marRight w:val="0"/>
          <w:marTop w:val="60"/>
          <w:marBottom w:val="60"/>
          <w:divBdr>
            <w:top w:val="none" w:sz="0" w:space="0" w:color="auto"/>
            <w:left w:val="none" w:sz="0" w:space="0" w:color="auto"/>
            <w:bottom w:val="none" w:sz="0" w:space="0" w:color="auto"/>
            <w:right w:val="none" w:sz="0" w:space="0" w:color="auto"/>
          </w:divBdr>
        </w:div>
        <w:div w:id="1731616433">
          <w:marLeft w:val="274"/>
          <w:marRight w:val="0"/>
          <w:marTop w:val="60"/>
          <w:marBottom w:val="60"/>
          <w:divBdr>
            <w:top w:val="none" w:sz="0" w:space="0" w:color="auto"/>
            <w:left w:val="none" w:sz="0" w:space="0" w:color="auto"/>
            <w:bottom w:val="none" w:sz="0" w:space="0" w:color="auto"/>
            <w:right w:val="none" w:sz="0" w:space="0" w:color="auto"/>
          </w:divBdr>
        </w:div>
        <w:div w:id="1806583012">
          <w:marLeft w:val="274"/>
          <w:marRight w:val="0"/>
          <w:marTop w:val="60"/>
          <w:marBottom w:val="60"/>
          <w:divBdr>
            <w:top w:val="none" w:sz="0" w:space="0" w:color="auto"/>
            <w:left w:val="none" w:sz="0" w:space="0" w:color="auto"/>
            <w:bottom w:val="none" w:sz="0" w:space="0" w:color="auto"/>
            <w:right w:val="none" w:sz="0" w:space="0" w:color="auto"/>
          </w:divBdr>
        </w:div>
        <w:div w:id="2126927639">
          <w:marLeft w:val="274"/>
          <w:marRight w:val="0"/>
          <w:marTop w:val="60"/>
          <w:marBottom w:val="60"/>
          <w:divBdr>
            <w:top w:val="none" w:sz="0" w:space="0" w:color="auto"/>
            <w:left w:val="none" w:sz="0" w:space="0" w:color="auto"/>
            <w:bottom w:val="none" w:sz="0" w:space="0" w:color="auto"/>
            <w:right w:val="none" w:sz="0" w:space="0" w:color="auto"/>
          </w:divBdr>
        </w:div>
      </w:divsChild>
    </w:div>
    <w:div w:id="137302569">
      <w:bodyDiv w:val="1"/>
      <w:marLeft w:val="0"/>
      <w:marRight w:val="0"/>
      <w:marTop w:val="0"/>
      <w:marBottom w:val="0"/>
      <w:divBdr>
        <w:top w:val="none" w:sz="0" w:space="0" w:color="auto"/>
        <w:left w:val="none" w:sz="0" w:space="0" w:color="auto"/>
        <w:bottom w:val="none" w:sz="0" w:space="0" w:color="auto"/>
        <w:right w:val="none" w:sz="0" w:space="0" w:color="auto"/>
      </w:divBdr>
    </w:div>
    <w:div w:id="163326499">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64406674">
      <w:bodyDiv w:val="1"/>
      <w:marLeft w:val="0"/>
      <w:marRight w:val="0"/>
      <w:marTop w:val="0"/>
      <w:marBottom w:val="0"/>
      <w:divBdr>
        <w:top w:val="none" w:sz="0" w:space="0" w:color="auto"/>
        <w:left w:val="none" w:sz="0" w:space="0" w:color="auto"/>
        <w:bottom w:val="none" w:sz="0" w:space="0" w:color="auto"/>
        <w:right w:val="none" w:sz="0" w:space="0" w:color="auto"/>
      </w:divBdr>
    </w:div>
    <w:div w:id="366293173">
      <w:bodyDiv w:val="1"/>
      <w:marLeft w:val="0"/>
      <w:marRight w:val="0"/>
      <w:marTop w:val="0"/>
      <w:marBottom w:val="0"/>
      <w:divBdr>
        <w:top w:val="none" w:sz="0" w:space="0" w:color="auto"/>
        <w:left w:val="none" w:sz="0" w:space="0" w:color="auto"/>
        <w:bottom w:val="none" w:sz="0" w:space="0" w:color="auto"/>
        <w:right w:val="none" w:sz="0" w:space="0" w:color="auto"/>
      </w:divBdr>
    </w:div>
    <w:div w:id="37932947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0027138">
      <w:bodyDiv w:val="1"/>
      <w:marLeft w:val="0"/>
      <w:marRight w:val="0"/>
      <w:marTop w:val="0"/>
      <w:marBottom w:val="0"/>
      <w:divBdr>
        <w:top w:val="none" w:sz="0" w:space="0" w:color="auto"/>
        <w:left w:val="none" w:sz="0" w:space="0" w:color="auto"/>
        <w:bottom w:val="none" w:sz="0" w:space="0" w:color="auto"/>
        <w:right w:val="none" w:sz="0" w:space="0" w:color="auto"/>
      </w:divBdr>
      <w:divsChild>
        <w:div w:id="7097360">
          <w:marLeft w:val="274"/>
          <w:marRight w:val="0"/>
          <w:marTop w:val="60"/>
          <w:marBottom w:val="60"/>
          <w:divBdr>
            <w:top w:val="none" w:sz="0" w:space="0" w:color="auto"/>
            <w:left w:val="none" w:sz="0" w:space="0" w:color="auto"/>
            <w:bottom w:val="none" w:sz="0" w:space="0" w:color="auto"/>
            <w:right w:val="none" w:sz="0" w:space="0" w:color="auto"/>
          </w:divBdr>
        </w:div>
        <w:div w:id="111094654">
          <w:marLeft w:val="274"/>
          <w:marRight w:val="0"/>
          <w:marTop w:val="60"/>
          <w:marBottom w:val="60"/>
          <w:divBdr>
            <w:top w:val="none" w:sz="0" w:space="0" w:color="auto"/>
            <w:left w:val="none" w:sz="0" w:space="0" w:color="auto"/>
            <w:bottom w:val="none" w:sz="0" w:space="0" w:color="auto"/>
            <w:right w:val="none" w:sz="0" w:space="0" w:color="auto"/>
          </w:divBdr>
        </w:div>
        <w:div w:id="325986313">
          <w:marLeft w:val="274"/>
          <w:marRight w:val="0"/>
          <w:marTop w:val="60"/>
          <w:marBottom w:val="60"/>
          <w:divBdr>
            <w:top w:val="none" w:sz="0" w:space="0" w:color="auto"/>
            <w:left w:val="none" w:sz="0" w:space="0" w:color="auto"/>
            <w:bottom w:val="none" w:sz="0" w:space="0" w:color="auto"/>
            <w:right w:val="none" w:sz="0" w:space="0" w:color="auto"/>
          </w:divBdr>
        </w:div>
        <w:div w:id="738863035">
          <w:marLeft w:val="274"/>
          <w:marRight w:val="0"/>
          <w:marTop w:val="60"/>
          <w:marBottom w:val="60"/>
          <w:divBdr>
            <w:top w:val="none" w:sz="0" w:space="0" w:color="auto"/>
            <w:left w:val="none" w:sz="0" w:space="0" w:color="auto"/>
            <w:bottom w:val="none" w:sz="0" w:space="0" w:color="auto"/>
            <w:right w:val="none" w:sz="0" w:space="0" w:color="auto"/>
          </w:divBdr>
        </w:div>
        <w:div w:id="1926301904">
          <w:marLeft w:val="274"/>
          <w:marRight w:val="0"/>
          <w:marTop w:val="60"/>
          <w:marBottom w:val="60"/>
          <w:divBdr>
            <w:top w:val="none" w:sz="0" w:space="0" w:color="auto"/>
            <w:left w:val="none" w:sz="0" w:space="0" w:color="auto"/>
            <w:bottom w:val="none" w:sz="0" w:space="0" w:color="auto"/>
            <w:right w:val="none" w:sz="0" w:space="0" w:color="auto"/>
          </w:divBdr>
        </w:div>
      </w:divsChild>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65781015">
      <w:bodyDiv w:val="1"/>
      <w:marLeft w:val="0"/>
      <w:marRight w:val="0"/>
      <w:marTop w:val="0"/>
      <w:marBottom w:val="0"/>
      <w:divBdr>
        <w:top w:val="none" w:sz="0" w:space="0" w:color="auto"/>
        <w:left w:val="none" w:sz="0" w:space="0" w:color="auto"/>
        <w:bottom w:val="none" w:sz="0" w:space="0" w:color="auto"/>
        <w:right w:val="none" w:sz="0" w:space="0" w:color="auto"/>
      </w:divBdr>
    </w:div>
    <w:div w:id="502086075">
      <w:bodyDiv w:val="1"/>
      <w:marLeft w:val="0"/>
      <w:marRight w:val="0"/>
      <w:marTop w:val="0"/>
      <w:marBottom w:val="0"/>
      <w:divBdr>
        <w:top w:val="none" w:sz="0" w:space="0" w:color="auto"/>
        <w:left w:val="none" w:sz="0" w:space="0" w:color="auto"/>
        <w:bottom w:val="none" w:sz="0" w:space="0" w:color="auto"/>
        <w:right w:val="none" w:sz="0" w:space="0" w:color="auto"/>
      </w:divBdr>
    </w:div>
    <w:div w:id="619342276">
      <w:bodyDiv w:val="1"/>
      <w:marLeft w:val="0"/>
      <w:marRight w:val="0"/>
      <w:marTop w:val="0"/>
      <w:marBottom w:val="0"/>
      <w:divBdr>
        <w:top w:val="none" w:sz="0" w:space="0" w:color="auto"/>
        <w:left w:val="none" w:sz="0" w:space="0" w:color="auto"/>
        <w:bottom w:val="none" w:sz="0" w:space="0" w:color="auto"/>
        <w:right w:val="none" w:sz="0" w:space="0" w:color="auto"/>
      </w:divBdr>
    </w:div>
    <w:div w:id="671759536">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4825388">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76375919">
      <w:bodyDiv w:val="1"/>
      <w:marLeft w:val="0"/>
      <w:marRight w:val="0"/>
      <w:marTop w:val="0"/>
      <w:marBottom w:val="0"/>
      <w:divBdr>
        <w:top w:val="none" w:sz="0" w:space="0" w:color="auto"/>
        <w:left w:val="none" w:sz="0" w:space="0" w:color="auto"/>
        <w:bottom w:val="none" w:sz="0" w:space="0" w:color="auto"/>
        <w:right w:val="none" w:sz="0" w:space="0" w:color="auto"/>
      </w:divBdr>
    </w:div>
    <w:div w:id="985402277">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36020826">
      <w:bodyDiv w:val="1"/>
      <w:marLeft w:val="0"/>
      <w:marRight w:val="0"/>
      <w:marTop w:val="0"/>
      <w:marBottom w:val="0"/>
      <w:divBdr>
        <w:top w:val="none" w:sz="0" w:space="0" w:color="auto"/>
        <w:left w:val="none" w:sz="0" w:space="0" w:color="auto"/>
        <w:bottom w:val="none" w:sz="0" w:space="0" w:color="auto"/>
        <w:right w:val="none" w:sz="0" w:space="0" w:color="auto"/>
      </w:divBdr>
      <w:divsChild>
        <w:div w:id="23988740">
          <w:marLeft w:val="446"/>
          <w:marRight w:val="0"/>
          <w:marTop w:val="0"/>
          <w:marBottom w:val="0"/>
          <w:divBdr>
            <w:top w:val="none" w:sz="0" w:space="0" w:color="auto"/>
            <w:left w:val="none" w:sz="0" w:space="0" w:color="auto"/>
            <w:bottom w:val="none" w:sz="0" w:space="0" w:color="auto"/>
            <w:right w:val="none" w:sz="0" w:space="0" w:color="auto"/>
          </w:divBdr>
        </w:div>
        <w:div w:id="534319814">
          <w:marLeft w:val="446"/>
          <w:marRight w:val="0"/>
          <w:marTop w:val="0"/>
          <w:marBottom w:val="0"/>
          <w:divBdr>
            <w:top w:val="none" w:sz="0" w:space="0" w:color="auto"/>
            <w:left w:val="none" w:sz="0" w:space="0" w:color="auto"/>
            <w:bottom w:val="none" w:sz="0" w:space="0" w:color="auto"/>
            <w:right w:val="none" w:sz="0" w:space="0" w:color="auto"/>
          </w:divBdr>
        </w:div>
      </w:divsChild>
    </w:div>
    <w:div w:id="1139303208">
      <w:bodyDiv w:val="1"/>
      <w:marLeft w:val="0"/>
      <w:marRight w:val="0"/>
      <w:marTop w:val="0"/>
      <w:marBottom w:val="0"/>
      <w:divBdr>
        <w:top w:val="none" w:sz="0" w:space="0" w:color="auto"/>
        <w:left w:val="none" w:sz="0" w:space="0" w:color="auto"/>
        <w:bottom w:val="none" w:sz="0" w:space="0" w:color="auto"/>
        <w:right w:val="none" w:sz="0" w:space="0" w:color="auto"/>
      </w:divBdr>
    </w:div>
    <w:div w:id="1144350099">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4148550">
      <w:bodyDiv w:val="1"/>
      <w:marLeft w:val="0"/>
      <w:marRight w:val="0"/>
      <w:marTop w:val="0"/>
      <w:marBottom w:val="0"/>
      <w:divBdr>
        <w:top w:val="none" w:sz="0" w:space="0" w:color="auto"/>
        <w:left w:val="none" w:sz="0" w:space="0" w:color="auto"/>
        <w:bottom w:val="none" w:sz="0" w:space="0" w:color="auto"/>
        <w:right w:val="none" w:sz="0" w:space="0" w:color="auto"/>
      </w:divBdr>
    </w:div>
    <w:div w:id="1218469847">
      <w:bodyDiv w:val="1"/>
      <w:marLeft w:val="0"/>
      <w:marRight w:val="0"/>
      <w:marTop w:val="0"/>
      <w:marBottom w:val="0"/>
      <w:divBdr>
        <w:top w:val="none" w:sz="0" w:space="0" w:color="auto"/>
        <w:left w:val="none" w:sz="0" w:space="0" w:color="auto"/>
        <w:bottom w:val="none" w:sz="0" w:space="0" w:color="auto"/>
        <w:right w:val="none" w:sz="0" w:space="0" w:color="auto"/>
      </w:divBdr>
    </w:div>
    <w:div w:id="1253975482">
      <w:bodyDiv w:val="1"/>
      <w:marLeft w:val="0"/>
      <w:marRight w:val="0"/>
      <w:marTop w:val="0"/>
      <w:marBottom w:val="0"/>
      <w:divBdr>
        <w:top w:val="none" w:sz="0" w:space="0" w:color="auto"/>
        <w:left w:val="none" w:sz="0" w:space="0" w:color="auto"/>
        <w:bottom w:val="none" w:sz="0" w:space="0" w:color="auto"/>
        <w:right w:val="none" w:sz="0" w:space="0" w:color="auto"/>
      </w:divBdr>
    </w:div>
    <w:div w:id="1307666411">
      <w:bodyDiv w:val="1"/>
      <w:marLeft w:val="0"/>
      <w:marRight w:val="0"/>
      <w:marTop w:val="0"/>
      <w:marBottom w:val="0"/>
      <w:divBdr>
        <w:top w:val="none" w:sz="0" w:space="0" w:color="auto"/>
        <w:left w:val="none" w:sz="0" w:space="0" w:color="auto"/>
        <w:bottom w:val="none" w:sz="0" w:space="0" w:color="auto"/>
        <w:right w:val="none" w:sz="0" w:space="0" w:color="auto"/>
      </w:divBdr>
    </w:div>
    <w:div w:id="1327704632">
      <w:bodyDiv w:val="1"/>
      <w:marLeft w:val="0"/>
      <w:marRight w:val="0"/>
      <w:marTop w:val="0"/>
      <w:marBottom w:val="0"/>
      <w:divBdr>
        <w:top w:val="none" w:sz="0" w:space="0" w:color="auto"/>
        <w:left w:val="none" w:sz="0" w:space="0" w:color="auto"/>
        <w:bottom w:val="none" w:sz="0" w:space="0" w:color="auto"/>
        <w:right w:val="none" w:sz="0" w:space="0" w:color="auto"/>
      </w:divBdr>
    </w:div>
    <w:div w:id="1449736222">
      <w:bodyDiv w:val="1"/>
      <w:marLeft w:val="0"/>
      <w:marRight w:val="0"/>
      <w:marTop w:val="0"/>
      <w:marBottom w:val="0"/>
      <w:divBdr>
        <w:top w:val="none" w:sz="0" w:space="0" w:color="auto"/>
        <w:left w:val="none" w:sz="0" w:space="0" w:color="auto"/>
        <w:bottom w:val="none" w:sz="0" w:space="0" w:color="auto"/>
        <w:right w:val="none" w:sz="0" w:space="0" w:color="auto"/>
      </w:divBdr>
    </w:div>
    <w:div w:id="1502772828">
      <w:bodyDiv w:val="1"/>
      <w:marLeft w:val="0"/>
      <w:marRight w:val="0"/>
      <w:marTop w:val="0"/>
      <w:marBottom w:val="0"/>
      <w:divBdr>
        <w:top w:val="none" w:sz="0" w:space="0" w:color="auto"/>
        <w:left w:val="none" w:sz="0" w:space="0" w:color="auto"/>
        <w:bottom w:val="none" w:sz="0" w:space="0" w:color="auto"/>
        <w:right w:val="none" w:sz="0" w:space="0" w:color="auto"/>
      </w:divBdr>
    </w:div>
    <w:div w:id="1516071585">
      <w:bodyDiv w:val="1"/>
      <w:marLeft w:val="0"/>
      <w:marRight w:val="0"/>
      <w:marTop w:val="0"/>
      <w:marBottom w:val="0"/>
      <w:divBdr>
        <w:top w:val="none" w:sz="0" w:space="0" w:color="auto"/>
        <w:left w:val="none" w:sz="0" w:space="0" w:color="auto"/>
        <w:bottom w:val="none" w:sz="0" w:space="0" w:color="auto"/>
        <w:right w:val="none" w:sz="0" w:space="0" w:color="auto"/>
      </w:divBdr>
    </w:div>
    <w:div w:id="1578975777">
      <w:bodyDiv w:val="1"/>
      <w:marLeft w:val="0"/>
      <w:marRight w:val="0"/>
      <w:marTop w:val="0"/>
      <w:marBottom w:val="0"/>
      <w:divBdr>
        <w:top w:val="none" w:sz="0" w:space="0" w:color="auto"/>
        <w:left w:val="none" w:sz="0" w:space="0" w:color="auto"/>
        <w:bottom w:val="none" w:sz="0" w:space="0" w:color="auto"/>
        <w:right w:val="none" w:sz="0" w:space="0" w:color="auto"/>
      </w:divBdr>
    </w:div>
    <w:div w:id="1600139954">
      <w:bodyDiv w:val="1"/>
      <w:marLeft w:val="0"/>
      <w:marRight w:val="0"/>
      <w:marTop w:val="0"/>
      <w:marBottom w:val="0"/>
      <w:divBdr>
        <w:top w:val="none" w:sz="0" w:space="0" w:color="auto"/>
        <w:left w:val="none" w:sz="0" w:space="0" w:color="auto"/>
        <w:bottom w:val="none" w:sz="0" w:space="0" w:color="auto"/>
        <w:right w:val="none" w:sz="0" w:space="0" w:color="auto"/>
      </w:divBdr>
    </w:div>
    <w:div w:id="1646160311">
      <w:bodyDiv w:val="1"/>
      <w:marLeft w:val="0"/>
      <w:marRight w:val="0"/>
      <w:marTop w:val="0"/>
      <w:marBottom w:val="0"/>
      <w:divBdr>
        <w:top w:val="none" w:sz="0" w:space="0" w:color="auto"/>
        <w:left w:val="none" w:sz="0" w:space="0" w:color="auto"/>
        <w:bottom w:val="none" w:sz="0" w:space="0" w:color="auto"/>
        <w:right w:val="none" w:sz="0" w:space="0" w:color="auto"/>
      </w:divBdr>
    </w:div>
    <w:div w:id="1648121651">
      <w:bodyDiv w:val="1"/>
      <w:marLeft w:val="0"/>
      <w:marRight w:val="0"/>
      <w:marTop w:val="0"/>
      <w:marBottom w:val="0"/>
      <w:divBdr>
        <w:top w:val="none" w:sz="0" w:space="0" w:color="auto"/>
        <w:left w:val="none" w:sz="0" w:space="0" w:color="auto"/>
        <w:bottom w:val="none" w:sz="0" w:space="0" w:color="auto"/>
        <w:right w:val="none" w:sz="0" w:space="0" w:color="auto"/>
      </w:divBdr>
    </w:div>
    <w:div w:id="1693649916">
      <w:bodyDiv w:val="1"/>
      <w:marLeft w:val="0"/>
      <w:marRight w:val="0"/>
      <w:marTop w:val="0"/>
      <w:marBottom w:val="0"/>
      <w:divBdr>
        <w:top w:val="none" w:sz="0" w:space="0" w:color="auto"/>
        <w:left w:val="none" w:sz="0" w:space="0" w:color="auto"/>
        <w:bottom w:val="none" w:sz="0" w:space="0" w:color="auto"/>
        <w:right w:val="none" w:sz="0" w:space="0" w:color="auto"/>
      </w:divBdr>
    </w:div>
    <w:div w:id="1702708640">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07816205">
      <w:bodyDiv w:val="1"/>
      <w:marLeft w:val="0"/>
      <w:marRight w:val="0"/>
      <w:marTop w:val="0"/>
      <w:marBottom w:val="0"/>
      <w:divBdr>
        <w:top w:val="none" w:sz="0" w:space="0" w:color="auto"/>
        <w:left w:val="none" w:sz="0" w:space="0" w:color="auto"/>
        <w:bottom w:val="none" w:sz="0" w:space="0" w:color="auto"/>
        <w:right w:val="none" w:sz="0" w:space="0" w:color="auto"/>
      </w:divBdr>
    </w:div>
    <w:div w:id="1821841744">
      <w:bodyDiv w:val="1"/>
      <w:marLeft w:val="0"/>
      <w:marRight w:val="0"/>
      <w:marTop w:val="0"/>
      <w:marBottom w:val="0"/>
      <w:divBdr>
        <w:top w:val="none" w:sz="0" w:space="0" w:color="auto"/>
        <w:left w:val="none" w:sz="0" w:space="0" w:color="auto"/>
        <w:bottom w:val="none" w:sz="0" w:space="0" w:color="auto"/>
        <w:right w:val="none" w:sz="0" w:space="0" w:color="auto"/>
      </w:divBdr>
    </w:div>
    <w:div w:id="1836064992">
      <w:bodyDiv w:val="1"/>
      <w:marLeft w:val="0"/>
      <w:marRight w:val="0"/>
      <w:marTop w:val="0"/>
      <w:marBottom w:val="0"/>
      <w:divBdr>
        <w:top w:val="none" w:sz="0" w:space="0" w:color="auto"/>
        <w:left w:val="none" w:sz="0" w:space="0" w:color="auto"/>
        <w:bottom w:val="none" w:sz="0" w:space="0" w:color="auto"/>
        <w:right w:val="none" w:sz="0" w:space="0" w:color="auto"/>
      </w:divBdr>
    </w:div>
    <w:div w:id="1841119002">
      <w:bodyDiv w:val="1"/>
      <w:marLeft w:val="0"/>
      <w:marRight w:val="0"/>
      <w:marTop w:val="0"/>
      <w:marBottom w:val="0"/>
      <w:divBdr>
        <w:top w:val="none" w:sz="0" w:space="0" w:color="auto"/>
        <w:left w:val="none" w:sz="0" w:space="0" w:color="auto"/>
        <w:bottom w:val="none" w:sz="0" w:space="0" w:color="auto"/>
        <w:right w:val="none" w:sz="0" w:space="0" w:color="auto"/>
      </w:divBdr>
    </w:div>
    <w:div w:id="1857959785">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69290808">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03904145">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70892021">
      <w:bodyDiv w:val="1"/>
      <w:marLeft w:val="0"/>
      <w:marRight w:val="0"/>
      <w:marTop w:val="0"/>
      <w:marBottom w:val="0"/>
      <w:divBdr>
        <w:top w:val="none" w:sz="0" w:space="0" w:color="auto"/>
        <w:left w:val="none" w:sz="0" w:space="0" w:color="auto"/>
        <w:bottom w:val="none" w:sz="0" w:space="0" w:color="auto"/>
        <w:right w:val="none" w:sz="0" w:space="0" w:color="auto"/>
      </w:divBdr>
    </w:div>
    <w:div w:id="1979533861">
      <w:bodyDiv w:val="1"/>
      <w:marLeft w:val="0"/>
      <w:marRight w:val="0"/>
      <w:marTop w:val="0"/>
      <w:marBottom w:val="0"/>
      <w:divBdr>
        <w:top w:val="none" w:sz="0" w:space="0" w:color="auto"/>
        <w:left w:val="none" w:sz="0" w:space="0" w:color="auto"/>
        <w:bottom w:val="none" w:sz="0" w:space="0" w:color="auto"/>
        <w:right w:val="none" w:sz="0" w:space="0" w:color="auto"/>
      </w:divBdr>
    </w:div>
    <w:div w:id="2021420868">
      <w:bodyDiv w:val="1"/>
      <w:marLeft w:val="0"/>
      <w:marRight w:val="0"/>
      <w:marTop w:val="0"/>
      <w:marBottom w:val="0"/>
      <w:divBdr>
        <w:top w:val="none" w:sz="0" w:space="0" w:color="auto"/>
        <w:left w:val="none" w:sz="0" w:space="0" w:color="auto"/>
        <w:bottom w:val="none" w:sz="0" w:space="0" w:color="auto"/>
        <w:right w:val="none" w:sz="0" w:space="0" w:color="auto"/>
      </w:divBdr>
    </w:div>
    <w:div w:id="2034727791">
      <w:bodyDiv w:val="1"/>
      <w:marLeft w:val="0"/>
      <w:marRight w:val="0"/>
      <w:marTop w:val="0"/>
      <w:marBottom w:val="0"/>
      <w:divBdr>
        <w:top w:val="none" w:sz="0" w:space="0" w:color="auto"/>
        <w:left w:val="none" w:sz="0" w:space="0" w:color="auto"/>
        <w:bottom w:val="none" w:sz="0" w:space="0" w:color="auto"/>
        <w:right w:val="none" w:sz="0" w:space="0" w:color="auto"/>
      </w:divBdr>
    </w:div>
    <w:div w:id="2072337900">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390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s.gov.uk/peoplepopulationandcommunity/birthsdeathsandmarriages/deaths/bulletins/suicidesintheunitedkingdom/2021registrations" TargetMode="External"/><Relationship Id="rId21" Type="http://schemas.openxmlformats.org/officeDocument/2006/relationships/hyperlink" Target="https://treasury.gov.au/publication/2023-intergenerational-report" TargetMode="External"/><Relationship Id="rId42" Type="http://schemas.openxmlformats.org/officeDocument/2006/relationships/hyperlink" Target="https://www.aihw.gov.au/suicide-self-harm-monitoring/data/deaths-by-suicide-in-australia/suicide-deaths-over-time" TargetMode="External"/><Relationship Id="rId47" Type="http://schemas.openxmlformats.org/officeDocument/2006/relationships/hyperlink" Target="https://www.aihw.gov.au/reports/illicit-use-of-drugs/illicit-drug-use" TargetMode="External"/><Relationship Id="rId63" Type="http://schemas.openxmlformats.org/officeDocument/2006/relationships/hyperlink" Target="https://www.abs.gov.au/statistics/health/causes-death/causes-death-australia/2021" TargetMode="External"/><Relationship Id="rId68" Type="http://schemas.openxmlformats.org/officeDocument/2006/relationships/hyperlink" Target="https://www.cdc.gov/stopoverdose/fentanyl/index.html" TargetMode="External"/><Relationship Id="rId84" Type="http://schemas.openxmlformats.org/officeDocument/2006/relationships/hyperlink" Target="http://creativecommons.org/licenses/by/3.0/au/deed.en" TargetMode="External"/><Relationship Id="rId89" Type="http://schemas.openxmlformats.org/officeDocument/2006/relationships/footer" Target="footer2.xml"/><Relationship Id="rId16" Type="http://schemas.openxmlformats.org/officeDocument/2006/relationships/chart" Target="charts/chart3.xml"/><Relationship Id="rId11" Type="http://schemas.openxmlformats.org/officeDocument/2006/relationships/chart" Target="charts/chart1.xml"/><Relationship Id="rId32" Type="http://schemas.openxmlformats.org/officeDocument/2006/relationships/hyperlink" Target="https://www.aihw.gov.au/suicide-self-harm-monitoring/data/data-downloads" TargetMode="External"/><Relationship Id="rId37" Type="http://schemas.openxmlformats.org/officeDocument/2006/relationships/hyperlink" Target="https://www.cdc.gov/nchs/products/databriefs/db433.htm" TargetMode="External"/><Relationship Id="rId53" Type="http://schemas.openxmlformats.org/officeDocument/2006/relationships/hyperlink" Target="https://wonder.cdc.gov/ucd-icd10-expanded.html" TargetMode="External"/><Relationship Id="rId58" Type="http://schemas.openxmlformats.org/officeDocument/2006/relationships/hyperlink" Target="https://www.aihw.gov.au/reports/alcohol/alcohol-tobacco-other-drugs-australia/data" TargetMode="External"/><Relationship Id="rId74" Type="http://schemas.openxmlformats.org/officeDocument/2006/relationships/hyperlink" Target="https://jamanetwork.com/journals/jamanetworkopen/fullarticle/2807706" TargetMode="External"/><Relationship Id="rId79" Type="http://schemas.openxmlformats.org/officeDocument/2006/relationships/hyperlink" Target="https://www.cdc.gov/nchs/products/databriefs/db448.htm"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www.abs.gov.au/statistics/health/causes-death/causes-death-australia/latest-release" TargetMode="External"/><Relationship Id="rId27" Type="http://schemas.openxmlformats.org/officeDocument/2006/relationships/hyperlink" Target="https://www.ons.gov.uk/peoplepopulationandcommunity/birthsdeathsandmarriages/deaths/bulletins/deathsrelatedtodrugpoisoninginenglandandwales/2021registrations" TargetMode="External"/><Relationship Id="rId43" Type="http://schemas.openxmlformats.org/officeDocument/2006/relationships/hyperlink" Target="https://www.aihw.gov.au/suicide-self-harm-monitoring/data/ambulance-attendances/ambulance-attendances-for-suicidal-behaviours" TargetMode="External"/><Relationship Id="rId48" Type="http://schemas.openxmlformats.org/officeDocument/2006/relationships/hyperlink" Target="https://www.aihw.gov.au/reports/alcohol/alcohol-tobacco-other-drugs-australia/contents/impacts/health-impacts" TargetMode="External"/><Relationship Id="rId64" Type="http://schemas.openxmlformats.org/officeDocument/2006/relationships/hyperlink" Target="https://www.abs.gov.au/statistics/health/causes-death/causes-death-australia/2021" TargetMode="External"/><Relationship Id="rId69" Type="http://schemas.openxmlformats.org/officeDocument/2006/relationships/hyperlink" Target="https://www.abs.gov.au/statistics/health/causes-death/causes-death-australia/2021" TargetMode="External"/><Relationship Id="rId8" Type="http://schemas.openxmlformats.org/officeDocument/2006/relationships/webSettings" Target="webSettings.xml"/><Relationship Id="rId51" Type="http://schemas.openxmlformats.org/officeDocument/2006/relationships/hyperlink" Target="https://www.cdc.gov/drugoverdose/deaths/index.html" TargetMode="External"/><Relationship Id="rId72" Type="http://schemas.openxmlformats.org/officeDocument/2006/relationships/hyperlink" Target="https://jamanetwork.com/journals/jamanetworkopen/fullarticle/2807706" TargetMode="External"/><Relationship Id="rId80" Type="http://schemas.openxmlformats.org/officeDocument/2006/relationships/hyperlink" Target="https://www.aihw.gov.au/reports/alcohol/alcohol-tobacco-other-drugs-australia/contents/impacts/health-impacts" TargetMode="External"/><Relationship Id="rId85" Type="http://schemas.openxmlformats.org/officeDocument/2006/relationships/hyperlink" Target="mailto:media@treasury.gov.au"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yperlink" Target="https://www.abs.gov.au/statistics/health/mental-health/mental-health/2017-18" TargetMode="External"/><Relationship Id="rId33" Type="http://schemas.openxmlformats.org/officeDocument/2006/relationships/hyperlink" Target="https://www.aihw.gov.au/reports/life-expectancy-death/deaths-in-australia/contents/leading-causes-of-death" TargetMode="External"/><Relationship Id="rId38" Type="http://schemas.openxmlformats.org/officeDocument/2006/relationships/hyperlink" Target="https://wonder.cdc.gov/ucd-icd10.html" TargetMode="External"/><Relationship Id="rId46" Type="http://schemas.openxmlformats.org/officeDocument/2006/relationships/hyperlink" Target="https://www.aihw.gov.au/reports/life-expectancy-death/deaths-in-australia/contents/leading-causes-of-death" TargetMode="External"/><Relationship Id="rId59" Type="http://schemas.openxmlformats.org/officeDocument/2006/relationships/hyperlink" Target="https://www.aihw.gov.au/reports/alcohol/alcohol-tobacco-other-drugs-australia/contents/impacts/health-impacts" TargetMode="External"/><Relationship Id="rId67" Type="http://schemas.openxmlformats.org/officeDocument/2006/relationships/hyperlink" Target="https://www.cdc.gov/nchs/products/databriefs/db428.htm" TargetMode="External"/><Relationship Id="rId20" Type="http://schemas.openxmlformats.org/officeDocument/2006/relationships/hyperlink" Target="https://population.gov.au/publications/statements/2022-population-statement" TargetMode="External"/><Relationship Id="rId41" Type="http://schemas.openxmlformats.org/officeDocument/2006/relationships/hyperlink" Target="https://www.aph.gov.au/About_Parliament/Parliamentary_departments/Parliamentary_Library/pubs/rp/BudgetReview202021/MentalHealth" TargetMode="External"/><Relationship Id="rId54" Type="http://schemas.openxmlformats.org/officeDocument/2006/relationships/hyperlink" Target="https://www.nytimes.com/interactive/2021/07/14/upshot/drug-overdose-deaths.html" TargetMode="External"/><Relationship Id="rId62" Type="http://schemas.openxmlformats.org/officeDocument/2006/relationships/hyperlink" Target="https://www.abs.gov.au/statistics/health/causes-death/causes-death-australia/2021" TargetMode="External"/><Relationship Id="rId70" Type="http://schemas.openxmlformats.org/officeDocument/2006/relationships/hyperlink" Target="https://www.ons.gov.uk/peoplepopulationandcommunity/birthsdeathsandmarriages/deaths/bulletins/alcoholspecificdeathsintheuk/2021registrations" TargetMode="External"/><Relationship Id="rId75" Type="http://schemas.openxmlformats.org/officeDocument/2006/relationships/hyperlink" Target="https://jamanetwork.com/journals/jamanetworkopen/fullarticle/2807706" TargetMode="External"/><Relationship Id="rId83" Type="http://schemas.openxmlformats.org/officeDocument/2006/relationships/hyperlink" Target="http://creativecommons.org/licenses/by/3.0/au/deed.en"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hyperlink" Target="https://www.aihw.gov.au/suicide-self-harm-monitoring" TargetMode="External"/><Relationship Id="rId28" Type="http://schemas.openxmlformats.org/officeDocument/2006/relationships/hyperlink" Target="https://www.ons.gov.uk/peoplepopulationandcommunity/birthsdeathsandmarriages/deaths/bulletins/alcoholspecificdeathsintheuk/2021registrations" TargetMode="External"/><Relationship Id="rId36" Type="http://schemas.openxmlformats.org/officeDocument/2006/relationships/hyperlink" Target="https://www.ons.gov.uk/peoplepopulationandcommunity/birthsdeathsandmarriages/deaths/datasets/suicideinenglandandwales" TargetMode="External"/><Relationship Id="rId49" Type="http://schemas.openxmlformats.org/officeDocument/2006/relationships/hyperlink" Target="https://www.ons.gov.uk/peoplepopulationandcommunity/birthsdeathsandmarriages/deaths/bulletins/deathsrelatedtodrugpoisoninginenglandandwales/2021registrations" TargetMode="External"/><Relationship Id="rId57" Type="http://schemas.openxmlformats.org/officeDocument/2006/relationships/hyperlink" Target="https://www.aihw.gov.au/reports/alcohol/alcohol-tobacco-other-drugs-australia/contents/drug-types/non-medical-use-of-pharmaceutical-drugs" TargetMode="External"/><Relationship Id="rId10" Type="http://schemas.openxmlformats.org/officeDocument/2006/relationships/endnotes" Target="endnotes.xml"/><Relationship Id="rId31" Type="http://schemas.openxmlformats.org/officeDocument/2006/relationships/hyperlink" Target="https://www.ncbi.nlm.nih.gov/pmc/articles/PMC7144704/" TargetMode="External"/><Relationship Id="rId44" Type="http://schemas.openxmlformats.org/officeDocument/2006/relationships/hyperlink" Target="https://www.ons.gov.uk/peoplepopulationandcommunity/birthsdeathsandmarriages/deaths/bulletins/suicidesintheunitedkingdom/2021registrations" TargetMode="External"/><Relationship Id="rId52" Type="http://schemas.openxmlformats.org/officeDocument/2006/relationships/hyperlink" Target="https://wonder.cdc.gov/ucd-icd10.html" TargetMode="External"/><Relationship Id="rId60" Type="http://schemas.openxmlformats.org/officeDocument/2006/relationships/hyperlink" Target="https://www.ons.gov.uk/peoplepopulationandcommunity/birthsdeathsandmarriages/deaths/bulletins/deathsrelatedtodrugpoisoninginenglandandwales/2021registrations" TargetMode="External"/><Relationship Id="rId65" Type="http://schemas.openxmlformats.org/officeDocument/2006/relationships/hyperlink" Target="https://wonder.cdc.gov/ucd-icd10.html" TargetMode="External"/><Relationship Id="rId73" Type="http://schemas.openxmlformats.org/officeDocument/2006/relationships/hyperlink" Target="https://jamanetwork.com/journals/jamanetworkopen/fullarticle/2807706" TargetMode="External"/><Relationship Id="rId78" Type="http://schemas.openxmlformats.org/officeDocument/2006/relationships/hyperlink" Target="https://www.ons.gov.uk/peoplepopulationandcommunity/birthsdeathsandmarriages/deaths/bulletins/alcoholspecificdeathsintheuk/2021registrations" TargetMode="External"/><Relationship Id="rId81" Type="http://schemas.openxmlformats.org/officeDocument/2006/relationships/hyperlink" Target="https://www.cdc.gov/nchs/products/databriefs/db448.htm"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hart" Target="charts/chart5.xml"/><Relationship Id="rId39" Type="http://schemas.openxmlformats.org/officeDocument/2006/relationships/hyperlink" Target="https://www.cdc.gov/suicide/suicide-data-statistics.html" TargetMode="External"/><Relationship Id="rId34" Type="http://schemas.openxmlformats.org/officeDocument/2006/relationships/hyperlink" Target="https://www.ons.gov.uk/peoplepopulationandcommunity/birthsdeathsandmarriages/deaths/datasets/suicideinenglandandwales" TargetMode="External"/><Relationship Id="rId50" Type="http://schemas.openxmlformats.org/officeDocument/2006/relationships/hyperlink" Target="https://nida.nih.gov/research-topics/trends-statistics/overdose-death-rates" TargetMode="External"/><Relationship Id="rId55" Type="http://schemas.openxmlformats.org/officeDocument/2006/relationships/hyperlink" Target="https://www.cdc.gov/nchs/products/databriefs/db428.htm" TargetMode="External"/><Relationship Id="rId76" Type="http://schemas.openxmlformats.org/officeDocument/2006/relationships/hyperlink" Target="https://www.abs.gov.au/statistics/health/causes-death/causes-death-australia/latest-release" TargetMode="External"/><Relationship Id="rId7" Type="http://schemas.openxmlformats.org/officeDocument/2006/relationships/settings" Target="settings.xml"/><Relationship Id="rId71" Type="http://schemas.openxmlformats.org/officeDocument/2006/relationships/hyperlink" Target="https://jamanetwork.com/journals/jamanetworkopen/fullarticle/2807706"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onder.cdc.gov/ucd-icd10-expanded.html" TargetMode="External"/><Relationship Id="rId24" Type="http://schemas.openxmlformats.org/officeDocument/2006/relationships/hyperlink" Target="https://www.aihw.gov.au/reports/alcohol/alcohol-tobacco-other-drugs-australia/contents/about" TargetMode="External"/><Relationship Id="rId40" Type="http://schemas.openxmlformats.org/officeDocument/2006/relationships/hyperlink" Target="https://sprc.org/about-suicide/scope-of-the-problem/racial-and-ethnic-disparities/" TargetMode="External"/><Relationship Id="rId45" Type="http://schemas.openxmlformats.org/officeDocument/2006/relationships/hyperlink" Target="https://www.cdc.gov/suicide/suicide-data-statistics.html" TargetMode="External"/><Relationship Id="rId66" Type="http://schemas.openxmlformats.org/officeDocument/2006/relationships/hyperlink" Target="https://wonder.cdc.gov/ucd-icd10-expanded.html" TargetMode="External"/><Relationship Id="rId87" Type="http://schemas.openxmlformats.org/officeDocument/2006/relationships/header" Target="header2.xml"/><Relationship Id="rId61" Type="http://schemas.openxmlformats.org/officeDocument/2006/relationships/hyperlink" Target="https://www.aihw.gov.au/reports/alcohol/alcohol-tobacco-other-drugs-australia/datahttps:/www.aihw.gov.au/reports/alcohol/alcohol-tobacco-other-drugs-australia/data" TargetMode="External"/><Relationship Id="rId82" Type="http://schemas.openxmlformats.org/officeDocument/2006/relationships/hyperlink" Target="https://www.abs.gov.au/statistics/health/causes-death/causes-death-australia/2021" TargetMode="External"/><Relationship Id="rId19" Type="http://schemas.openxmlformats.org/officeDocument/2006/relationships/hyperlink" Target="http://www.population.gov.au/" TargetMode="External"/><Relationship Id="rId14" Type="http://schemas.openxmlformats.org/officeDocument/2006/relationships/image" Target="media/image3.png"/><Relationship Id="rId30" Type="http://schemas.openxmlformats.org/officeDocument/2006/relationships/hyperlink" Target="https://wonder.cdc.gov/ucd-icd10.html" TargetMode="External"/><Relationship Id="rId35" Type="http://schemas.openxmlformats.org/officeDocument/2006/relationships/hyperlink" Target="https://www.ons.gov.uk/peoplepopulationandcommunity/birthsdeathsandmarriages/deaths/bulletins/suicidesintheunitedkingdom/2019registrations" TargetMode="External"/><Relationship Id="rId56" Type="http://schemas.openxmlformats.org/officeDocument/2006/relationships/hyperlink" Target="https://nida.nih.gov/research-topics/trends-statistics/overdose-death-rates" TargetMode="External"/><Relationship Id="rId77" Type="http://schemas.openxmlformats.org/officeDocument/2006/relationships/hyperlink" Target="https://www.abs.gov.au/statistics/health/causes-death/causes-death-australia/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austreasury.sharepoint.com/sites/cenpop-function/Population/221209-%20Deaths%20of%20Despair%20char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https://austreasury.sharepoint.com/sites/cenpop-function/Population/221209-%20Deaths%20of%20Despair%20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https://austreasury.sharepoint.com/sites/cenpop-function/Population/221209-%20Deaths%20of%20Despair%20char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austreasury.sharepoint.com/sites/cenpop-function/Population/221209-%20Deaths%20of%20Despair%20char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https://austreasury.sharepoint.com/sites/cenpop-function/Population/221209-%20Deaths%20of%20Despair%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05334316617503E-2"/>
          <c:y val="0.14214810263295374"/>
          <c:w val="0.8780427728613569"/>
          <c:h val="0.72542030625309595"/>
        </c:manualLayout>
      </c:layout>
      <c:lineChart>
        <c:grouping val="standard"/>
        <c:varyColors val="0"/>
        <c:ser>
          <c:idx val="0"/>
          <c:order val="0"/>
          <c:tx>
            <c:strRef>
              <c:f>'Suicide (fig1,2)'!$A$4</c:f>
              <c:strCache>
                <c:ptCount val="1"/>
                <c:pt idx="0">
                  <c:v>Australia</c:v>
                </c:pt>
              </c:strCache>
            </c:strRef>
          </c:tx>
          <c:spPr>
            <a:ln w="28575" cap="rnd">
              <a:solidFill>
                <a:srgbClr val="000000"/>
              </a:solidFill>
              <a:round/>
            </a:ln>
            <a:effectLst/>
          </c:spPr>
          <c:marker>
            <c:symbol val="none"/>
          </c:marker>
          <c:cat>
            <c:numRef>
              <c:f>'Suicide (fig1,2)'!$B$3:$X$3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'Suicide (fig1,2)'!$B$4:$X$4</c:f>
              <c:numCache>
                <c:formatCode>0.0</c:formatCode>
                <c:ptCount val="23"/>
                <c:pt idx="0">
                  <c:v>13.246677999999999</c:v>
                </c:pt>
                <c:pt idx="1">
                  <c:v>12.439038</c:v>
                </c:pt>
                <c:pt idx="2">
                  <c:v>12.747279000000001</c:v>
                </c:pt>
                <c:pt idx="3">
                  <c:v>11.900359</c:v>
                </c:pt>
                <c:pt idx="4">
                  <c:v>11.226761</c:v>
                </c:pt>
                <c:pt idx="5">
                  <c:v>10.525406</c:v>
                </c:pt>
                <c:pt idx="6">
                  <c:v>10.417883</c:v>
                </c:pt>
                <c:pt idx="7">
                  <c:v>10.356479</c:v>
                </c:pt>
                <c:pt idx="8">
                  <c:v>10.702133999999999</c:v>
                </c:pt>
                <c:pt idx="9">
                  <c:v>11.016886</c:v>
                </c:pt>
                <c:pt idx="10">
                  <c:v>10.773728999999999</c:v>
                </c:pt>
                <c:pt idx="11">
                  <c:v>11.256482</c:v>
                </c:pt>
                <c:pt idx="12">
                  <c:v>10.711715999999999</c:v>
                </c:pt>
                <c:pt idx="13">
                  <c:v>11.2</c:v>
                </c:pt>
                <c:pt idx="14">
                  <c:v>11.2</c:v>
                </c:pt>
                <c:pt idx="15">
                  <c:v>12.3</c:v>
                </c:pt>
                <c:pt idx="16">
                  <c:v>12.9</c:v>
                </c:pt>
                <c:pt idx="17">
                  <c:v>12</c:v>
                </c:pt>
                <c:pt idx="18">
                  <c:v>13.2</c:v>
                </c:pt>
                <c:pt idx="19">
                  <c:v>12.7</c:v>
                </c:pt>
                <c:pt idx="20">
                  <c:v>13.1</c:v>
                </c:pt>
                <c:pt idx="21">
                  <c:v>12.1</c:v>
                </c:pt>
                <c:pt idx="22">
                  <c:v>12</c:v>
                </c:pt>
              </c:numCache>
            </c:numRef>
          </c:val>
          <c:smooth val="0"/>
          <c:extLst>
            <c:ext xmlns:c16="http://schemas.microsoft.com/office/drawing/2014/chart" uri="{C3380CC4-5D6E-409C-BE32-E72D297353CC}">
              <c16:uniqueId val="{00000000-CBD3-4BBF-99A5-970FA0EA1F76}"/>
            </c:ext>
          </c:extLst>
        </c:ser>
        <c:ser>
          <c:idx val="1"/>
          <c:order val="1"/>
          <c:tx>
            <c:strRef>
              <c:f>'Suicide (fig1,2)'!$A$5</c:f>
              <c:strCache>
                <c:ptCount val="1"/>
                <c:pt idx="0">
                  <c:v>US</c:v>
                </c:pt>
              </c:strCache>
            </c:strRef>
          </c:tx>
          <c:spPr>
            <a:ln w="28575" cap="rnd">
              <a:solidFill>
                <a:schemeClr val="accent2"/>
              </a:solidFill>
              <a:round/>
            </a:ln>
            <a:effectLst/>
          </c:spPr>
          <c:marker>
            <c:symbol val="none"/>
          </c:marker>
          <c:cat>
            <c:numRef>
              <c:f>'Suicide (fig1,2)'!$B$3:$X$3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'Suicide (fig1,2)'!$B$5:$X$5</c:f>
              <c:numCache>
                <c:formatCode>General</c:formatCode>
                <c:ptCount val="23"/>
                <c:pt idx="0">
                  <c:v>10.5</c:v>
                </c:pt>
                <c:pt idx="1">
                  <c:v>10.4</c:v>
                </c:pt>
                <c:pt idx="2">
                  <c:v>10.7</c:v>
                </c:pt>
                <c:pt idx="3">
                  <c:v>10.9</c:v>
                </c:pt>
                <c:pt idx="4">
                  <c:v>10.8</c:v>
                </c:pt>
                <c:pt idx="5">
                  <c:v>11</c:v>
                </c:pt>
                <c:pt idx="6">
                  <c:v>10.9</c:v>
                </c:pt>
                <c:pt idx="7">
                  <c:v>11</c:v>
                </c:pt>
                <c:pt idx="8">
                  <c:v>11.3</c:v>
                </c:pt>
                <c:pt idx="9">
                  <c:v>11.6</c:v>
                </c:pt>
                <c:pt idx="10">
                  <c:v>11.8</c:v>
                </c:pt>
                <c:pt idx="11">
                  <c:v>12.1</c:v>
                </c:pt>
                <c:pt idx="12">
                  <c:v>12.3</c:v>
                </c:pt>
                <c:pt idx="13">
                  <c:v>12.6</c:v>
                </c:pt>
                <c:pt idx="14">
                  <c:v>12.6</c:v>
                </c:pt>
                <c:pt idx="15">
                  <c:v>13</c:v>
                </c:pt>
                <c:pt idx="16">
                  <c:v>13.3</c:v>
                </c:pt>
                <c:pt idx="17">
                  <c:v>13.5</c:v>
                </c:pt>
                <c:pt idx="18">
                  <c:v>14</c:v>
                </c:pt>
                <c:pt idx="19">
                  <c:v>14.2</c:v>
                </c:pt>
                <c:pt idx="20">
                  <c:v>13.9</c:v>
                </c:pt>
                <c:pt idx="21">
                  <c:v>13.5</c:v>
                </c:pt>
                <c:pt idx="22">
                  <c:v>14.1</c:v>
                </c:pt>
              </c:numCache>
            </c:numRef>
          </c:val>
          <c:smooth val="0"/>
          <c:extLst>
            <c:ext xmlns:c16="http://schemas.microsoft.com/office/drawing/2014/chart" uri="{C3380CC4-5D6E-409C-BE32-E72D297353CC}">
              <c16:uniqueId val="{00000001-CBD3-4BBF-99A5-970FA0EA1F76}"/>
            </c:ext>
          </c:extLst>
        </c:ser>
        <c:ser>
          <c:idx val="2"/>
          <c:order val="2"/>
          <c:tx>
            <c:strRef>
              <c:f>'Suicide (fig1,2)'!$A$6</c:f>
              <c:strCache>
                <c:ptCount val="1"/>
                <c:pt idx="0">
                  <c:v>UK</c:v>
                </c:pt>
              </c:strCache>
            </c:strRef>
          </c:tx>
          <c:spPr>
            <a:ln w="28575" cap="rnd">
              <a:solidFill>
                <a:srgbClr val="4DBC8D"/>
              </a:solidFill>
              <a:round/>
            </a:ln>
            <a:effectLst/>
          </c:spPr>
          <c:marker>
            <c:symbol val="none"/>
          </c:marker>
          <c:cat>
            <c:numRef>
              <c:f>'Suicide (fig1,2)'!$B$3:$X$3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'Suicide (fig1,2)'!$B$6:$X$6</c:f>
              <c:numCache>
                <c:formatCode>General</c:formatCode>
                <c:ptCount val="23"/>
                <c:pt idx="0">
                  <c:v>11.5</c:v>
                </c:pt>
                <c:pt idx="1">
                  <c:v>11.1</c:v>
                </c:pt>
                <c:pt idx="2">
                  <c:v>10.7</c:v>
                </c:pt>
                <c:pt idx="3">
                  <c:v>10.3</c:v>
                </c:pt>
                <c:pt idx="4">
                  <c:v>10.4</c:v>
                </c:pt>
                <c:pt idx="5">
                  <c:v>10.5</c:v>
                </c:pt>
                <c:pt idx="6">
                  <c:v>10</c:v>
                </c:pt>
                <c:pt idx="7">
                  <c:v>9.5</c:v>
                </c:pt>
                <c:pt idx="8">
                  <c:v>9</c:v>
                </c:pt>
                <c:pt idx="9">
                  <c:v>9.5</c:v>
                </c:pt>
                <c:pt idx="10">
                  <c:v>9.6</c:v>
                </c:pt>
                <c:pt idx="11">
                  <c:v>9.3000000000000007</c:v>
                </c:pt>
                <c:pt idx="12">
                  <c:v>9.9</c:v>
                </c:pt>
                <c:pt idx="13">
                  <c:v>9.8000000000000007</c:v>
                </c:pt>
                <c:pt idx="14">
                  <c:v>10.4</c:v>
                </c:pt>
                <c:pt idx="15">
                  <c:v>10.3</c:v>
                </c:pt>
                <c:pt idx="16">
                  <c:v>10.3</c:v>
                </c:pt>
                <c:pt idx="17">
                  <c:v>9.6999999999999993</c:v>
                </c:pt>
                <c:pt idx="18">
                  <c:v>9.4</c:v>
                </c:pt>
                <c:pt idx="19">
                  <c:v>10.5</c:v>
                </c:pt>
                <c:pt idx="20">
                  <c:v>11</c:v>
                </c:pt>
                <c:pt idx="21" formatCode="0.0">
                  <c:v>10</c:v>
                </c:pt>
                <c:pt idx="22">
                  <c:v>10.7</c:v>
                </c:pt>
              </c:numCache>
            </c:numRef>
          </c:val>
          <c:smooth val="0"/>
          <c:extLst>
            <c:ext xmlns:c16="http://schemas.microsoft.com/office/drawing/2014/chart" uri="{C3380CC4-5D6E-409C-BE32-E72D297353CC}">
              <c16:uniqueId val="{00000002-CBD3-4BBF-99A5-970FA0EA1F76}"/>
            </c:ext>
          </c:extLst>
        </c:ser>
        <c:dLbls>
          <c:showLegendKey val="0"/>
          <c:showVal val="0"/>
          <c:showCatName val="0"/>
          <c:showSerName val="0"/>
          <c:showPercent val="0"/>
          <c:showBubbleSize val="0"/>
        </c:dLbls>
        <c:marker val="1"/>
        <c:smooth val="0"/>
        <c:axId val="543481232"/>
        <c:axId val="543479984"/>
      </c:lineChart>
      <c:lineChart>
        <c:grouping val="standard"/>
        <c:varyColors val="0"/>
        <c:ser>
          <c:idx val="3"/>
          <c:order val="3"/>
          <c:tx>
            <c:v>DUMMY</c:v>
          </c:tx>
          <c:spPr>
            <a:ln w="28575" cap="rnd">
              <a:noFill/>
              <a:round/>
            </a:ln>
            <a:effectLst/>
            <a:extLst>
              <a:ext uri="{91240B29-F687-4F45-9708-019B960494DF}">
                <a14:hiddenLine xmlns:a14="http://schemas.microsoft.com/office/drawing/2010/main" w="28575" cap="rnd">
                  <a:solidFill>
                    <a:srgbClr val="F7901E"/>
                  </a:solidFill>
                  <a:round/>
                </a14:hiddenLine>
              </a:ext>
            </a:extLst>
          </c:spPr>
          <c:marker>
            <c:symbol val="none"/>
          </c:marker>
          <c:val>
            <c:numLit>
              <c:formatCode>General</c:formatCode>
              <c:ptCount val="1"/>
              <c:pt idx="0">
                <c:v>0</c:v>
              </c:pt>
            </c:numLit>
          </c:val>
          <c:smooth val="0"/>
          <c:extLst>
            <c:ext xmlns:c16="http://schemas.microsoft.com/office/drawing/2014/chart" uri="{C3380CC4-5D6E-409C-BE32-E72D297353CC}">
              <c16:uniqueId val="{00000003-CBD3-4BBF-99A5-970FA0EA1F76}"/>
            </c:ext>
          </c:extLst>
        </c:ser>
        <c:dLbls>
          <c:showLegendKey val="0"/>
          <c:showVal val="0"/>
          <c:showCatName val="0"/>
          <c:showSerName val="0"/>
          <c:showPercent val="0"/>
          <c:showBubbleSize val="0"/>
        </c:dLbls>
        <c:marker val="1"/>
        <c:smooth val="0"/>
        <c:axId val="772370848"/>
        <c:axId val="772376672"/>
      </c:lineChart>
      <c:catAx>
        <c:axId val="543481232"/>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43479984"/>
        <c:crosses val="autoZero"/>
        <c:auto val="1"/>
        <c:lblAlgn val="ctr"/>
        <c:lblOffset val="100"/>
        <c:tickLblSkip val="2"/>
        <c:noMultiLvlLbl val="0"/>
      </c:catAx>
      <c:valAx>
        <c:axId val="543479984"/>
        <c:scaling>
          <c:orientation val="minMax"/>
        </c:scaling>
        <c:delete val="0"/>
        <c:axPos val="l"/>
        <c:majorGridlines>
          <c:spPr>
            <a:ln w="25400" cap="flat" cmpd="sng" algn="ctr">
              <a:noFill/>
              <a:round/>
            </a:ln>
            <a:effectLst/>
          </c:spPr>
        </c:majorGridlines>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43481232"/>
        <c:crosses val="autoZero"/>
        <c:crossBetween val="midCat"/>
      </c:valAx>
      <c:valAx>
        <c:axId val="772376672"/>
        <c:scaling>
          <c:orientation val="minMax"/>
          <c:max val="16"/>
          <c:min val="0"/>
        </c:scaling>
        <c:delete val="0"/>
        <c:axPos val="r"/>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2370848"/>
        <c:crosses val="max"/>
        <c:crossBetween val="between"/>
        <c:majorUnit val="2"/>
        <c:minorUnit val="0.4"/>
      </c:valAx>
      <c:catAx>
        <c:axId val="772370848"/>
        <c:scaling>
          <c:orientation val="minMax"/>
        </c:scaling>
        <c:delete val="1"/>
        <c:axPos val="b"/>
        <c:majorTickMark val="out"/>
        <c:minorTickMark val="none"/>
        <c:tickLblPos val="nextTo"/>
        <c:crossAx val="772376672"/>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113861922375504E-2"/>
          <c:y val="0.18037066117759093"/>
          <c:w val="0.88765721916302498"/>
          <c:h val="0.66042063930101935"/>
        </c:manualLayout>
      </c:layout>
      <c:lineChart>
        <c:grouping val="standard"/>
        <c:varyColors val="0"/>
        <c:ser>
          <c:idx val="0"/>
          <c:order val="0"/>
          <c:tx>
            <c:strRef>
              <c:f>'Drugs (fig4,5)'!$A$3</c:f>
              <c:strCache>
                <c:ptCount val="1"/>
                <c:pt idx="0">
                  <c:v>Australia</c:v>
                </c:pt>
              </c:strCache>
            </c:strRef>
          </c:tx>
          <c:spPr>
            <a:ln w="28575" cap="rnd">
              <a:solidFill>
                <a:schemeClr val="accent1"/>
              </a:solidFill>
              <a:round/>
            </a:ln>
            <a:effectLst/>
          </c:spPr>
          <c:marker>
            <c:symbol val="none"/>
          </c:marker>
          <c:cat>
            <c:numRef>
              <c:f>'Drugs (fig4,5)'!$B$2:$X$2</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'Drugs (fig4,5)'!$B$3:$X$3</c:f>
              <c:numCache>
                <c:formatCode>0.0</c:formatCode>
                <c:ptCount val="23"/>
                <c:pt idx="0">
                  <c:v>9.1468741219999998</c:v>
                </c:pt>
                <c:pt idx="1">
                  <c:v>8.2057630244999995</c:v>
                </c:pt>
                <c:pt idx="2">
                  <c:v>5.3855924345000004</c:v>
                </c:pt>
                <c:pt idx="3">
                  <c:v>4.8179880599000002</c:v>
                </c:pt>
                <c:pt idx="4">
                  <c:v>4.8035423537000002</c:v>
                </c:pt>
                <c:pt idx="5">
                  <c:v>4.8503219789000003</c:v>
                </c:pt>
                <c:pt idx="6">
                  <c:v>4.9957710674999998</c:v>
                </c:pt>
                <c:pt idx="7">
                  <c:v>4.5862809013000003</c:v>
                </c:pt>
                <c:pt idx="8">
                  <c:v>5.2632793878999999</c:v>
                </c:pt>
                <c:pt idx="9">
                  <c:v>6.0568995395999998</c:v>
                </c:pt>
                <c:pt idx="10">
                  <c:v>6.6542076030999997</c:v>
                </c:pt>
                <c:pt idx="11">
                  <c:v>6.4078244113</c:v>
                </c:pt>
                <c:pt idx="12">
                  <c:v>6.4472761037000001</c:v>
                </c:pt>
                <c:pt idx="13">
                  <c:v>6.5</c:v>
                </c:pt>
                <c:pt idx="14">
                  <c:v>6.3</c:v>
                </c:pt>
                <c:pt idx="15">
                  <c:v>7.4</c:v>
                </c:pt>
                <c:pt idx="16">
                  <c:v>7.7</c:v>
                </c:pt>
                <c:pt idx="17">
                  <c:v>7.8</c:v>
                </c:pt>
                <c:pt idx="18">
                  <c:v>8.1999999999999993</c:v>
                </c:pt>
                <c:pt idx="19">
                  <c:v>8</c:v>
                </c:pt>
                <c:pt idx="20">
                  <c:v>7.8</c:v>
                </c:pt>
                <c:pt idx="21">
                  <c:v>7.2</c:v>
                </c:pt>
                <c:pt idx="22">
                  <c:v>6.6</c:v>
                </c:pt>
              </c:numCache>
            </c:numRef>
          </c:val>
          <c:smooth val="0"/>
          <c:extLst>
            <c:ext xmlns:c16="http://schemas.microsoft.com/office/drawing/2014/chart" uri="{C3380CC4-5D6E-409C-BE32-E72D297353CC}">
              <c16:uniqueId val="{00000000-83D3-4C98-99C2-238C7DDDBB96}"/>
            </c:ext>
          </c:extLst>
        </c:ser>
        <c:ser>
          <c:idx val="1"/>
          <c:order val="1"/>
          <c:tx>
            <c:strRef>
              <c:f>'Drugs (fig4,5)'!$A$4</c:f>
              <c:strCache>
                <c:ptCount val="1"/>
                <c:pt idx="0">
                  <c:v>US</c:v>
                </c:pt>
              </c:strCache>
            </c:strRef>
          </c:tx>
          <c:spPr>
            <a:ln w="28575" cap="rnd">
              <a:solidFill>
                <a:schemeClr val="accent2"/>
              </a:solidFill>
              <a:round/>
            </a:ln>
            <a:effectLst/>
          </c:spPr>
          <c:marker>
            <c:symbol val="none"/>
          </c:marker>
          <c:cat>
            <c:numRef>
              <c:f>'Drugs (fig4,5)'!$B$2:$X$2</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'Drugs (fig4,5)'!$B$4:$X$4</c:f>
              <c:numCache>
                <c:formatCode>General</c:formatCode>
                <c:ptCount val="23"/>
                <c:pt idx="0">
                  <c:v>6.7</c:v>
                </c:pt>
                <c:pt idx="1">
                  <c:v>6.9</c:v>
                </c:pt>
                <c:pt idx="2">
                  <c:v>7.5</c:v>
                </c:pt>
                <c:pt idx="3">
                  <c:v>8.9</c:v>
                </c:pt>
                <c:pt idx="4">
                  <c:v>9.6999999999999993</c:v>
                </c:pt>
                <c:pt idx="5">
                  <c:v>10.199999999999999</c:v>
                </c:pt>
                <c:pt idx="6">
                  <c:v>10.9</c:v>
                </c:pt>
                <c:pt idx="7">
                  <c:v>12.4</c:v>
                </c:pt>
                <c:pt idx="8">
                  <c:v>12.5</c:v>
                </c:pt>
                <c:pt idx="9">
                  <c:v>12.5</c:v>
                </c:pt>
                <c:pt idx="10">
                  <c:v>12.5</c:v>
                </c:pt>
                <c:pt idx="11">
                  <c:v>12.9</c:v>
                </c:pt>
                <c:pt idx="12">
                  <c:v>13.8</c:v>
                </c:pt>
                <c:pt idx="13">
                  <c:v>13.7</c:v>
                </c:pt>
                <c:pt idx="14">
                  <c:v>14.4</c:v>
                </c:pt>
                <c:pt idx="15">
                  <c:v>15.4</c:v>
                </c:pt>
                <c:pt idx="16">
                  <c:v>17.100000000000001</c:v>
                </c:pt>
                <c:pt idx="17">
                  <c:v>20.7</c:v>
                </c:pt>
                <c:pt idx="18">
                  <c:v>22.7</c:v>
                </c:pt>
                <c:pt idx="19">
                  <c:v>21.6</c:v>
                </c:pt>
                <c:pt idx="20">
                  <c:v>22.6</c:v>
                </c:pt>
                <c:pt idx="21">
                  <c:v>29.3</c:v>
                </c:pt>
                <c:pt idx="22">
                  <c:v>33.5</c:v>
                </c:pt>
              </c:numCache>
            </c:numRef>
          </c:val>
          <c:smooth val="0"/>
          <c:extLst>
            <c:ext xmlns:c16="http://schemas.microsoft.com/office/drawing/2014/chart" uri="{C3380CC4-5D6E-409C-BE32-E72D297353CC}">
              <c16:uniqueId val="{00000001-83D3-4C98-99C2-238C7DDDBB96}"/>
            </c:ext>
          </c:extLst>
        </c:ser>
        <c:ser>
          <c:idx val="2"/>
          <c:order val="2"/>
          <c:tx>
            <c:strRef>
              <c:f>'Drugs (fig4,5)'!$A$5</c:f>
              <c:strCache>
                <c:ptCount val="1"/>
                <c:pt idx="0">
                  <c:v>UK</c:v>
                </c:pt>
              </c:strCache>
            </c:strRef>
          </c:tx>
          <c:spPr>
            <a:ln w="28575" cap="rnd">
              <a:solidFill>
                <a:schemeClr val="bg2"/>
              </a:solidFill>
              <a:round/>
            </a:ln>
            <a:effectLst/>
          </c:spPr>
          <c:marker>
            <c:symbol val="none"/>
          </c:marker>
          <c:cat>
            <c:numRef>
              <c:f>'Drugs (fig4,5)'!$B$2:$X$2</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'Drugs (fig4,5)'!$B$5:$X$5</c:f>
              <c:numCache>
                <c:formatCode>General</c:formatCode>
                <c:ptCount val="23"/>
                <c:pt idx="0">
                  <c:v>5.88</c:v>
                </c:pt>
                <c:pt idx="1">
                  <c:v>5.5200000000000005</c:v>
                </c:pt>
                <c:pt idx="2">
                  <c:v>5.8100000000000005</c:v>
                </c:pt>
                <c:pt idx="3">
                  <c:v>5.29</c:v>
                </c:pt>
                <c:pt idx="4">
                  <c:v>4.9000000000000004</c:v>
                </c:pt>
                <c:pt idx="5">
                  <c:v>5.21</c:v>
                </c:pt>
                <c:pt idx="6">
                  <c:v>5.09</c:v>
                </c:pt>
                <c:pt idx="7">
                  <c:v>4.7200000000000006</c:v>
                </c:pt>
                <c:pt idx="8">
                  <c:v>4.8</c:v>
                </c:pt>
                <c:pt idx="9">
                  <c:v>5.3</c:v>
                </c:pt>
                <c:pt idx="10">
                  <c:v>5.18</c:v>
                </c:pt>
                <c:pt idx="11">
                  <c:v>4.9399999999999995</c:v>
                </c:pt>
                <c:pt idx="12">
                  <c:v>4.7799999999999994</c:v>
                </c:pt>
                <c:pt idx="13">
                  <c:v>4.66</c:v>
                </c:pt>
                <c:pt idx="14">
                  <c:v>5.2799999999999994</c:v>
                </c:pt>
                <c:pt idx="15">
                  <c:v>5.96</c:v>
                </c:pt>
                <c:pt idx="16">
                  <c:v>6.51</c:v>
                </c:pt>
                <c:pt idx="17">
                  <c:v>6.58</c:v>
                </c:pt>
                <c:pt idx="18">
                  <c:v>6.6099999999999994</c:v>
                </c:pt>
                <c:pt idx="19">
                  <c:v>7.63</c:v>
                </c:pt>
                <c:pt idx="20">
                  <c:v>7.67</c:v>
                </c:pt>
                <c:pt idx="21">
                  <c:v>7.95</c:v>
                </c:pt>
                <c:pt idx="22">
                  <c:v>8.4400000000000013</c:v>
                </c:pt>
              </c:numCache>
            </c:numRef>
          </c:val>
          <c:smooth val="0"/>
          <c:extLst>
            <c:ext xmlns:c16="http://schemas.microsoft.com/office/drawing/2014/chart" uri="{C3380CC4-5D6E-409C-BE32-E72D297353CC}">
              <c16:uniqueId val="{00000002-83D3-4C98-99C2-238C7DDDBB96}"/>
            </c:ext>
          </c:extLst>
        </c:ser>
        <c:dLbls>
          <c:showLegendKey val="0"/>
          <c:showVal val="0"/>
          <c:showCatName val="0"/>
          <c:showSerName val="0"/>
          <c:showPercent val="0"/>
          <c:showBubbleSize val="0"/>
        </c:dLbls>
        <c:marker val="1"/>
        <c:smooth val="0"/>
        <c:axId val="1357795631"/>
        <c:axId val="1357794383"/>
      </c:lineChart>
      <c:lineChart>
        <c:grouping val="standard"/>
        <c:varyColors val="0"/>
        <c:ser>
          <c:idx val="3"/>
          <c:order val="3"/>
          <c:tx>
            <c:v>DUMMY</c:v>
          </c:tx>
          <c:spPr>
            <a:ln w="28575" cap="rnd">
              <a:noFill/>
              <a:round/>
            </a:ln>
            <a:effectLst/>
            <a:extLst>
              <a:ext uri="{91240B29-F687-4F45-9708-019B960494DF}">
                <a14:hiddenLine xmlns:a14="http://schemas.microsoft.com/office/drawing/2010/main" w="28575" cap="rnd">
                  <a:solidFill>
                    <a:srgbClr val="F7901E"/>
                  </a:solidFill>
                  <a:round/>
                </a14:hiddenLine>
              </a:ext>
            </a:extLst>
          </c:spPr>
          <c:marker>
            <c:symbol val="none"/>
          </c:marker>
          <c:val>
            <c:numLit>
              <c:formatCode>General</c:formatCode>
              <c:ptCount val="1"/>
              <c:pt idx="0">
                <c:v>0</c:v>
              </c:pt>
            </c:numLit>
          </c:val>
          <c:smooth val="0"/>
          <c:extLst>
            <c:ext xmlns:c16="http://schemas.microsoft.com/office/drawing/2014/chart" uri="{C3380CC4-5D6E-409C-BE32-E72D297353CC}">
              <c16:uniqueId val="{00000003-83D3-4C98-99C2-238C7DDDBB96}"/>
            </c:ext>
          </c:extLst>
        </c:ser>
        <c:dLbls>
          <c:showLegendKey val="0"/>
          <c:showVal val="0"/>
          <c:showCatName val="0"/>
          <c:showSerName val="0"/>
          <c:showPercent val="0"/>
          <c:showBubbleSize val="0"/>
        </c:dLbls>
        <c:marker val="1"/>
        <c:smooth val="0"/>
        <c:axId val="1502113711"/>
        <c:axId val="1502112463"/>
      </c:lineChart>
      <c:catAx>
        <c:axId val="1357795631"/>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794383"/>
        <c:crosses val="autoZero"/>
        <c:auto val="1"/>
        <c:lblAlgn val="ctr"/>
        <c:lblOffset val="100"/>
        <c:tickLblSkip val="2"/>
        <c:noMultiLvlLbl val="0"/>
      </c:catAx>
      <c:valAx>
        <c:axId val="1357794383"/>
        <c:scaling>
          <c:orientation val="minMax"/>
        </c:scaling>
        <c:delete val="0"/>
        <c:axPos val="l"/>
        <c:majorGridlines>
          <c:spPr>
            <a:ln w="25400" cap="flat" cmpd="sng" algn="ctr">
              <a:noFill/>
              <a:round/>
            </a:ln>
            <a:effectLst/>
          </c:spPr>
        </c:majorGridlines>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7795631"/>
        <c:crosses val="autoZero"/>
        <c:crossBetween val="midCat"/>
      </c:valAx>
      <c:valAx>
        <c:axId val="1502112463"/>
        <c:scaling>
          <c:orientation val="minMax"/>
          <c:max val="40"/>
          <c:min val="0"/>
        </c:scaling>
        <c:delete val="0"/>
        <c:axPos val="r"/>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02113711"/>
        <c:crosses val="max"/>
        <c:crossBetween val="between"/>
        <c:majorUnit val="5"/>
        <c:minorUnit val="1"/>
      </c:valAx>
      <c:catAx>
        <c:axId val="1502113711"/>
        <c:scaling>
          <c:orientation val="minMax"/>
        </c:scaling>
        <c:delete val="1"/>
        <c:axPos val="b"/>
        <c:majorTickMark val="out"/>
        <c:minorTickMark val="none"/>
        <c:tickLblPos val="nextTo"/>
        <c:crossAx val="1502112463"/>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925763150155091E-2"/>
          <c:y val="0.12824625845552509"/>
          <c:w val="0.89967137791539731"/>
          <c:h val="0.76178413947860646"/>
        </c:manualLayout>
      </c:layout>
      <c:lineChart>
        <c:grouping val="standard"/>
        <c:varyColors val="0"/>
        <c:ser>
          <c:idx val="0"/>
          <c:order val="0"/>
          <c:tx>
            <c:strRef>
              <c:f>'Drugs by class, Aus (fig7)'!$A$2</c:f>
              <c:strCache>
                <c:ptCount val="1"/>
                <c:pt idx="0">
                  <c:v>Opioids</c:v>
                </c:pt>
              </c:strCache>
            </c:strRef>
          </c:tx>
          <c:spPr>
            <a:ln w="28575" cap="rnd">
              <a:solidFill>
                <a:schemeClr val="accent1"/>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(fig7)'!$B$2:$X$2</c:f>
              <c:numCache>
                <c:formatCode>0.0</c:formatCode>
                <c:ptCount val="23"/>
                <c:pt idx="0">
                  <c:v>6.5163992642000004</c:v>
                </c:pt>
                <c:pt idx="1">
                  <c:v>5.5108234409000003</c:v>
                </c:pt>
                <c:pt idx="2">
                  <c:v>2.6256517092</c:v>
                </c:pt>
                <c:pt idx="3">
                  <c:v>2.4850677248999999</c:v>
                </c:pt>
                <c:pt idx="4">
                  <c:v>2.3052267631999999</c:v>
                </c:pt>
                <c:pt idx="5">
                  <c:v>2.2911441545</c:v>
                </c:pt>
                <c:pt idx="6">
                  <c:v>2.4913492613999999</c:v>
                </c:pt>
                <c:pt idx="7">
                  <c:v>2.1559536616999999</c:v>
                </c:pt>
                <c:pt idx="8">
                  <c:v>2.865337609</c:v>
                </c:pt>
                <c:pt idx="9">
                  <c:v>3.5459279672999999</c:v>
                </c:pt>
                <c:pt idx="10">
                  <c:v>3.9523715887000002</c:v>
                </c:pt>
                <c:pt idx="11">
                  <c:v>4.0157077057999997</c:v>
                </c:pt>
                <c:pt idx="12">
                  <c:v>4.0375097135000004</c:v>
                </c:pt>
                <c:pt idx="13">
                  <c:v>3.9477112333000002</c:v>
                </c:pt>
                <c:pt idx="14">
                  <c:v>3.8941524645999999</c:v>
                </c:pt>
                <c:pt idx="15">
                  <c:v>4.7509165475000001</c:v>
                </c:pt>
                <c:pt idx="16">
                  <c:v>5.0176571993000003</c:v>
                </c:pt>
                <c:pt idx="17">
                  <c:v>5.3325904740999999</c:v>
                </c:pt>
                <c:pt idx="18">
                  <c:v>5.7563319783000004</c:v>
                </c:pt>
                <c:pt idx="19">
                  <c:v>5.5268023587000004</c:v>
                </c:pt>
                <c:pt idx="20">
                  <c:v>5.0016992119000001</c:v>
                </c:pt>
                <c:pt idx="21">
                  <c:v>4.3253396194000002</c:v>
                </c:pt>
                <c:pt idx="22">
                  <c:v>3.7737859148999999</c:v>
                </c:pt>
              </c:numCache>
              <c:extLst/>
            </c:numRef>
          </c:val>
          <c:smooth val="0"/>
          <c:extLst>
            <c:ext xmlns:c16="http://schemas.microsoft.com/office/drawing/2014/chart" uri="{C3380CC4-5D6E-409C-BE32-E72D297353CC}">
              <c16:uniqueId val="{00000000-2AB1-4E8B-9A52-8BB5D2A7BB55}"/>
            </c:ext>
          </c:extLst>
        </c:ser>
        <c:ser>
          <c:idx val="1"/>
          <c:order val="1"/>
          <c:tx>
            <c:strRef>
              <c:f>'Drugs by class, Aus (fig7)'!$A$3</c:f>
              <c:strCache>
                <c:ptCount val="1"/>
                <c:pt idx="0">
                  <c:v>Depressants</c:v>
                </c:pt>
              </c:strCache>
            </c:strRef>
          </c:tx>
          <c:spPr>
            <a:ln w="28575" cap="rnd">
              <a:solidFill>
                <a:schemeClr val="accent2"/>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(fig7)'!$B$3:$X$3</c:f>
              <c:numCache>
                <c:formatCode>0.0</c:formatCode>
                <c:ptCount val="23"/>
                <c:pt idx="0">
                  <c:v>2.8568630219000002</c:v>
                </c:pt>
                <c:pt idx="1">
                  <c:v>2.2535620615999998</c:v>
                </c:pt>
                <c:pt idx="2">
                  <c:v>1.4475691961999999</c:v>
                </c:pt>
                <c:pt idx="3">
                  <c:v>1.4852124149999999</c:v>
                </c:pt>
                <c:pt idx="4">
                  <c:v>1.2584173376000001</c:v>
                </c:pt>
                <c:pt idx="5">
                  <c:v>1.1819527578</c:v>
                </c:pt>
                <c:pt idx="6">
                  <c:v>1.3504711124</c:v>
                </c:pt>
                <c:pt idx="7">
                  <c:v>1.4148747101000001</c:v>
                </c:pt>
                <c:pt idx="8">
                  <c:v>1.8867777026999999</c:v>
                </c:pt>
                <c:pt idx="9">
                  <c:v>2.1191267186</c:v>
                </c:pt>
                <c:pt idx="10">
                  <c:v>2.5525207431000001</c:v>
                </c:pt>
                <c:pt idx="11">
                  <c:v>2.7457860494999999</c:v>
                </c:pt>
                <c:pt idx="12">
                  <c:v>2.6831765081999999</c:v>
                </c:pt>
                <c:pt idx="13">
                  <c:v>2.9455642363000001</c:v>
                </c:pt>
                <c:pt idx="14">
                  <c:v>2.7803151585000001</c:v>
                </c:pt>
                <c:pt idx="15">
                  <c:v>3.3861448167999999</c:v>
                </c:pt>
                <c:pt idx="16">
                  <c:v>3.3881659286999999</c:v>
                </c:pt>
                <c:pt idx="17">
                  <c:v>3.8176227210999998</c:v>
                </c:pt>
                <c:pt idx="18">
                  <c:v>4.8031796781000002</c:v>
                </c:pt>
                <c:pt idx="19">
                  <c:v>4.9520162886000003</c:v>
                </c:pt>
                <c:pt idx="20">
                  <c:v>4.2713176927000003</c:v>
                </c:pt>
                <c:pt idx="21">
                  <c:v>3.8552859451999999</c:v>
                </c:pt>
                <c:pt idx="22">
                  <c:v>3.4780539082000002</c:v>
                </c:pt>
              </c:numCache>
              <c:extLst/>
            </c:numRef>
          </c:val>
          <c:smooth val="0"/>
          <c:extLst>
            <c:ext xmlns:c16="http://schemas.microsoft.com/office/drawing/2014/chart" uri="{C3380CC4-5D6E-409C-BE32-E72D297353CC}">
              <c16:uniqueId val="{00000001-2AB1-4E8B-9A52-8BB5D2A7BB55}"/>
            </c:ext>
          </c:extLst>
        </c:ser>
        <c:ser>
          <c:idx val="2"/>
          <c:order val="2"/>
          <c:tx>
            <c:strRef>
              <c:f>'Drugs by class, Aus (fig7)'!$A$4</c:f>
              <c:strCache>
                <c:ptCount val="1"/>
                <c:pt idx="0">
                  <c:v>Antidepressants</c:v>
                </c:pt>
              </c:strCache>
            </c:strRef>
          </c:tx>
          <c:spPr>
            <a:ln w="28575" cap="rnd">
              <a:solidFill>
                <a:schemeClr val="accent3"/>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(fig7)'!$B$4:$X$4</c:f>
              <c:numCache>
                <c:formatCode>0.0</c:formatCode>
                <c:ptCount val="23"/>
                <c:pt idx="0">
                  <c:v>1.5895021215</c:v>
                </c:pt>
                <c:pt idx="1">
                  <c:v>1.4061383168999999</c:v>
                </c:pt>
                <c:pt idx="2">
                  <c:v>1.0063229941</c:v>
                </c:pt>
                <c:pt idx="3">
                  <c:v>1.2756723824</c:v>
                </c:pt>
                <c:pt idx="4">
                  <c:v>0.77386170860000003</c:v>
                </c:pt>
                <c:pt idx="5">
                  <c:v>0.93034791760000002</c:v>
                </c:pt>
                <c:pt idx="6">
                  <c:v>0.98574765789999996</c:v>
                </c:pt>
                <c:pt idx="7">
                  <c:v>1.2947822680000001</c:v>
                </c:pt>
                <c:pt idx="8">
                  <c:v>1.2764733500000001</c:v>
                </c:pt>
                <c:pt idx="9">
                  <c:v>1.4572002834</c:v>
                </c:pt>
                <c:pt idx="10">
                  <c:v>1.6958280047000001</c:v>
                </c:pt>
                <c:pt idx="11">
                  <c:v>1.5144036444</c:v>
                </c:pt>
                <c:pt idx="12">
                  <c:v>1.4794771569</c:v>
                </c:pt>
                <c:pt idx="13">
                  <c:v>1.6870928162000001</c:v>
                </c:pt>
                <c:pt idx="14">
                  <c:v>1.6330673573000001</c:v>
                </c:pt>
                <c:pt idx="15">
                  <c:v>2.0225147782000001</c:v>
                </c:pt>
                <c:pt idx="16">
                  <c:v>2.1014538170999999</c:v>
                </c:pt>
                <c:pt idx="17">
                  <c:v>2.1393323157999999</c:v>
                </c:pt>
                <c:pt idx="18">
                  <c:v>2.8780489673999998</c:v>
                </c:pt>
                <c:pt idx="19">
                  <c:v>2.8746498147000001</c:v>
                </c:pt>
                <c:pt idx="20">
                  <c:v>2.5269132390000002</c:v>
                </c:pt>
                <c:pt idx="21">
                  <c:v>2.1440705127999999</c:v>
                </c:pt>
                <c:pt idx="22">
                  <c:v>1.9811236066</c:v>
                </c:pt>
              </c:numCache>
              <c:extLst/>
            </c:numRef>
          </c:val>
          <c:smooth val="0"/>
          <c:extLst>
            <c:ext xmlns:c16="http://schemas.microsoft.com/office/drawing/2014/chart" uri="{C3380CC4-5D6E-409C-BE32-E72D297353CC}">
              <c16:uniqueId val="{00000002-2AB1-4E8B-9A52-8BB5D2A7BB55}"/>
            </c:ext>
          </c:extLst>
        </c:ser>
        <c:ser>
          <c:idx val="3"/>
          <c:order val="3"/>
          <c:tx>
            <c:strRef>
              <c:f>'Drugs by class, Aus (fig7)'!$A$5</c:f>
              <c:strCache>
                <c:ptCount val="1"/>
                <c:pt idx="0">
                  <c:v>Stimulants</c:v>
                </c:pt>
              </c:strCache>
            </c:strRef>
          </c:tx>
          <c:spPr>
            <a:ln w="28575" cap="rnd">
              <a:solidFill>
                <a:schemeClr val="tx2"/>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(fig7)'!$B$5:$X$5</c:f>
              <c:numCache>
                <c:formatCode>0.0</c:formatCode>
                <c:ptCount val="23"/>
                <c:pt idx="0">
                  <c:v>0.39373824909999999</c:v>
                </c:pt>
                <c:pt idx="1">
                  <c:v>0.54054872099999995</c:v>
                </c:pt>
                <c:pt idx="2">
                  <c:v>0.3063384099</c:v>
                </c:pt>
                <c:pt idx="3">
                  <c:v>0.31988659850000001</c:v>
                </c:pt>
                <c:pt idx="4">
                  <c:v>0.1733263588</c:v>
                </c:pt>
                <c:pt idx="5">
                  <c:v>0.306272139</c:v>
                </c:pt>
                <c:pt idx="6">
                  <c:v>0.40252760139999999</c:v>
                </c:pt>
                <c:pt idx="7">
                  <c:v>0.43003977059999998</c:v>
                </c:pt>
                <c:pt idx="8">
                  <c:v>0.45300088910000003</c:v>
                </c:pt>
                <c:pt idx="9">
                  <c:v>0.52761447309999998</c:v>
                </c:pt>
                <c:pt idx="10">
                  <c:v>0.47983687190000002</c:v>
                </c:pt>
                <c:pt idx="11">
                  <c:v>0.49793316570000001</c:v>
                </c:pt>
                <c:pt idx="12">
                  <c:v>0.48348834219999998</c:v>
                </c:pt>
                <c:pt idx="13">
                  <c:v>0.74339455109999997</c:v>
                </c:pt>
                <c:pt idx="14">
                  <c:v>0.74447086630000003</c:v>
                </c:pt>
                <c:pt idx="15">
                  <c:v>1.1527835892</c:v>
                </c:pt>
                <c:pt idx="16">
                  <c:v>1.2806232524000001</c:v>
                </c:pt>
                <c:pt idx="17">
                  <c:v>1.8425037181999999</c:v>
                </c:pt>
                <c:pt idx="18">
                  <c:v>1.9481695346000001</c:v>
                </c:pt>
                <c:pt idx="19">
                  <c:v>2.0648742564</c:v>
                </c:pt>
                <c:pt idx="20">
                  <c:v>2.1394375460999999</c:v>
                </c:pt>
                <c:pt idx="21">
                  <c:v>2.1455198996</c:v>
                </c:pt>
                <c:pt idx="22">
                  <c:v>1.7604135173</c:v>
                </c:pt>
              </c:numCache>
              <c:extLst/>
            </c:numRef>
          </c:val>
          <c:smooth val="0"/>
          <c:extLst>
            <c:ext xmlns:c16="http://schemas.microsoft.com/office/drawing/2014/chart" uri="{C3380CC4-5D6E-409C-BE32-E72D297353CC}">
              <c16:uniqueId val="{00000003-2AB1-4E8B-9A52-8BB5D2A7BB55}"/>
            </c:ext>
          </c:extLst>
        </c:ser>
        <c:ser>
          <c:idx val="4"/>
          <c:order val="4"/>
          <c:tx>
            <c:strRef>
              <c:f>'Drugs by class, Aus (fig7)'!$A$6</c:f>
              <c:strCache>
                <c:ptCount val="1"/>
                <c:pt idx="0">
                  <c:v>Antipsychotics</c:v>
                </c:pt>
              </c:strCache>
            </c:strRef>
          </c:tx>
          <c:spPr>
            <a:ln w="28575" cap="rnd">
              <a:solidFill>
                <a:schemeClr val="accent5"/>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(fig7)'!$B$6:$X$6</c:f>
              <c:numCache>
                <c:formatCode>0.0</c:formatCode>
                <c:ptCount val="23"/>
                <c:pt idx="0">
                  <c:v>0.48405615790000001</c:v>
                </c:pt>
                <c:pt idx="1">
                  <c:v>0.4792778318</c:v>
                </c:pt>
                <c:pt idx="2">
                  <c:v>0.19705284300000001</c:v>
                </c:pt>
                <c:pt idx="3">
                  <c:v>0.190175391</c:v>
                </c:pt>
                <c:pt idx="4">
                  <c:v>0.1470421884</c:v>
                </c:pt>
                <c:pt idx="5">
                  <c:v>8.5399044800000004E-2</c:v>
                </c:pt>
                <c:pt idx="6">
                  <c:v>0.1870043938</c:v>
                </c:pt>
                <c:pt idx="7">
                  <c:v>0.34728186160000002</c:v>
                </c:pt>
                <c:pt idx="8">
                  <c:v>0.33497570599999998</c:v>
                </c:pt>
                <c:pt idx="9">
                  <c:v>0.42140367150000002</c:v>
                </c:pt>
                <c:pt idx="10">
                  <c:v>0.41084163550000002</c:v>
                </c:pt>
                <c:pt idx="11">
                  <c:v>0.61646511150000005</c:v>
                </c:pt>
                <c:pt idx="12">
                  <c:v>0.48816425120000001</c:v>
                </c:pt>
                <c:pt idx="13">
                  <c:v>0.32869478260000001</c:v>
                </c:pt>
                <c:pt idx="14">
                  <c:v>0.27179565119999999</c:v>
                </c:pt>
                <c:pt idx="15">
                  <c:v>0.42263488830000001</c:v>
                </c:pt>
                <c:pt idx="16">
                  <c:v>0.9760210856</c:v>
                </c:pt>
                <c:pt idx="17">
                  <c:v>1.4188050761</c:v>
                </c:pt>
                <c:pt idx="18">
                  <c:v>1.8847163294</c:v>
                </c:pt>
                <c:pt idx="19">
                  <c:v>1.9344307330999999</c:v>
                </c:pt>
                <c:pt idx="20">
                  <c:v>1.6450272105999999</c:v>
                </c:pt>
                <c:pt idx="21">
                  <c:v>1.2272814849</c:v>
                </c:pt>
                <c:pt idx="22">
                  <c:v>1.3457701092000001</c:v>
                </c:pt>
              </c:numCache>
              <c:extLst/>
            </c:numRef>
          </c:val>
          <c:smooth val="0"/>
          <c:extLst>
            <c:ext xmlns:c16="http://schemas.microsoft.com/office/drawing/2014/chart" uri="{C3380CC4-5D6E-409C-BE32-E72D297353CC}">
              <c16:uniqueId val="{00000004-2AB1-4E8B-9A52-8BB5D2A7BB55}"/>
            </c:ext>
          </c:extLst>
        </c:ser>
        <c:ser>
          <c:idx val="5"/>
          <c:order val="5"/>
          <c:tx>
            <c:strRef>
              <c:f>'Drugs by class, Aus (fig7)'!$A$7</c:f>
              <c:strCache>
                <c:ptCount val="1"/>
                <c:pt idx="0">
                  <c:v>Non-opioid analgesics</c:v>
                </c:pt>
              </c:strCache>
            </c:strRef>
          </c:tx>
          <c:spPr>
            <a:ln w="28575" cap="rnd">
              <a:solidFill>
                <a:schemeClr val="bg2"/>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(fig7)'!$B$7:$X$7</c:f>
              <c:numCache>
                <c:formatCode>0.0</c:formatCode>
                <c:ptCount val="23"/>
                <c:pt idx="0">
                  <c:v>0.64582037920000002</c:v>
                </c:pt>
                <c:pt idx="1">
                  <c:v>0.60481845720000005</c:v>
                </c:pt>
                <c:pt idx="2">
                  <c:v>0.51354284959999996</c:v>
                </c:pt>
                <c:pt idx="3">
                  <c:v>0.55813018680000004</c:v>
                </c:pt>
                <c:pt idx="4">
                  <c:v>0.3909869164</c:v>
                </c:pt>
                <c:pt idx="5">
                  <c:v>0.27319903340000001</c:v>
                </c:pt>
                <c:pt idx="6">
                  <c:v>0.4315233899</c:v>
                </c:pt>
                <c:pt idx="7">
                  <c:v>0.65926709510000003</c:v>
                </c:pt>
                <c:pt idx="8">
                  <c:v>0.63512104899999999</c:v>
                </c:pt>
                <c:pt idx="9">
                  <c:v>0.60825519189999999</c:v>
                </c:pt>
                <c:pt idx="10">
                  <c:v>0.85988708189999996</c:v>
                </c:pt>
                <c:pt idx="11">
                  <c:v>0.82948274470000005</c:v>
                </c:pt>
                <c:pt idx="12">
                  <c:v>0.71862624880000003</c:v>
                </c:pt>
                <c:pt idx="13">
                  <c:v>0.74696642280000003</c:v>
                </c:pt>
                <c:pt idx="14">
                  <c:v>0.57588627910000001</c:v>
                </c:pt>
                <c:pt idx="15">
                  <c:v>0.86260484039999996</c:v>
                </c:pt>
                <c:pt idx="16">
                  <c:v>0.91216787889999995</c:v>
                </c:pt>
                <c:pt idx="17">
                  <c:v>0.98464140450000004</c:v>
                </c:pt>
                <c:pt idx="18">
                  <c:v>1.4471050617000001</c:v>
                </c:pt>
                <c:pt idx="19">
                  <c:v>1.5330545699</c:v>
                </c:pt>
                <c:pt idx="20">
                  <c:v>1.2417237702999999</c:v>
                </c:pt>
                <c:pt idx="21">
                  <c:v>0.76518483020000005</c:v>
                </c:pt>
                <c:pt idx="22">
                  <c:v>0.75298503979999998</c:v>
                </c:pt>
              </c:numCache>
              <c:extLst/>
            </c:numRef>
          </c:val>
          <c:smooth val="0"/>
          <c:extLst>
            <c:ext xmlns:c16="http://schemas.microsoft.com/office/drawing/2014/chart" uri="{C3380CC4-5D6E-409C-BE32-E72D297353CC}">
              <c16:uniqueId val="{00000005-2AB1-4E8B-9A52-8BB5D2A7BB55}"/>
            </c:ext>
          </c:extLst>
        </c:ser>
        <c:ser>
          <c:idx val="6"/>
          <c:order val="6"/>
          <c:tx>
            <c:strRef>
              <c:f>'Drugs by class, Aus (fig7)'!$A$8</c:f>
              <c:strCache>
                <c:ptCount val="1"/>
                <c:pt idx="0">
                  <c:v>Cocaine</c:v>
                </c:pt>
              </c:strCache>
            </c:strRef>
          </c:tx>
          <c:spPr>
            <a:ln w="28575" cap="rnd">
              <a:solidFill>
                <a:schemeClr val="accent1">
                  <a:lumMod val="60000"/>
                </a:schemeClr>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(fig7)'!$B$8:$X$8</c:f>
              <c:numCache>
                <c:formatCode>0.0</c:formatCode>
                <c:ptCount val="23"/>
                <c:pt idx="0">
                  <c:v>0.13115509759999999</c:v>
                </c:pt>
                <c:pt idx="1">
                  <c:v>0.1409786445</c:v>
                </c:pt>
                <c:pt idx="2">
                  <c:v>0.1557128757</c:v>
                </c:pt>
                <c:pt idx="3">
                  <c:v>6.7586511500000002E-2</c:v>
                </c:pt>
                <c:pt idx="4">
                  <c:v>5.1305290099999998E-2</c:v>
                </c:pt>
                <c:pt idx="5">
                  <c:v>7.5763930399999999E-2</c:v>
                </c:pt>
                <c:pt idx="6">
                  <c:v>8.6025306999999995E-2</c:v>
                </c:pt>
                <c:pt idx="7">
                  <c:v>8.0030842399999996E-2</c:v>
                </c:pt>
                <c:pt idx="8">
                  <c:v>8.9877253099999999E-2</c:v>
                </c:pt>
                <c:pt idx="9">
                  <c:v>0.11740836189999999</c:v>
                </c:pt>
                <c:pt idx="10">
                  <c:v>0.13954818999999999</c:v>
                </c:pt>
                <c:pt idx="11">
                  <c:v>7.5042308500000002E-2</c:v>
                </c:pt>
                <c:pt idx="12">
                  <c:v>7.36225613E-2</c:v>
                </c:pt>
                <c:pt idx="13">
                  <c:v>0.1165894136</c:v>
                </c:pt>
                <c:pt idx="14">
                  <c:v>9.4545672900000002E-2</c:v>
                </c:pt>
                <c:pt idx="15">
                  <c:v>6.8747689000000001E-2</c:v>
                </c:pt>
                <c:pt idx="16">
                  <c:v>0.2063047351</c:v>
                </c:pt>
                <c:pt idx="17">
                  <c:v>0.14636242150000001</c:v>
                </c:pt>
                <c:pt idx="18">
                  <c:v>0.21900832449999999</c:v>
                </c:pt>
                <c:pt idx="19">
                  <c:v>0.29134766499999998</c:v>
                </c:pt>
                <c:pt idx="20">
                  <c:v>0.3821657946</c:v>
                </c:pt>
                <c:pt idx="21">
                  <c:v>0.34532918400000001</c:v>
                </c:pt>
                <c:pt idx="22">
                  <c:v>0.3250874836</c:v>
                </c:pt>
              </c:numCache>
              <c:extLst/>
            </c:numRef>
          </c:val>
          <c:smooth val="0"/>
          <c:extLst>
            <c:ext xmlns:c16="http://schemas.microsoft.com/office/drawing/2014/chart" uri="{C3380CC4-5D6E-409C-BE32-E72D297353CC}">
              <c16:uniqueId val="{00000006-2AB1-4E8B-9A52-8BB5D2A7BB55}"/>
            </c:ext>
          </c:extLst>
        </c:ser>
        <c:ser>
          <c:idx val="7"/>
          <c:order val="7"/>
          <c:tx>
            <c:strRef>
              <c:f>'Drugs by class, Aus (fig7)'!$A$9</c:f>
              <c:strCache>
                <c:ptCount val="1"/>
                <c:pt idx="0">
                  <c:v>Cannabinoids</c:v>
                </c:pt>
              </c:strCache>
            </c:strRef>
          </c:tx>
          <c:spPr>
            <a:ln w="28575" cap="rnd">
              <a:solidFill>
                <a:schemeClr val="accent6"/>
              </a:solidFill>
              <a:round/>
            </a:ln>
            <a:effectLst/>
          </c:spPr>
          <c:marker>
            <c:symbol val="none"/>
          </c:marker>
          <c:cat>
            <c:numRef>
              <c:f>'Drugs by class, Aus (fig7)'!$B$1:$X$1</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extLst/>
            </c:numRef>
          </c:cat>
          <c:val>
            <c:numRef>
              <c:f>'Drugs by class, Aus (fig7)'!$B$9:$X$9</c:f>
              <c:numCache>
                <c:formatCode>0.0</c:formatCode>
                <c:ptCount val="23"/>
                <c:pt idx="0">
                  <c:v>0.20473554930000001</c:v>
                </c:pt>
                <c:pt idx="1">
                  <c:v>0.25560795359999999</c:v>
                </c:pt>
                <c:pt idx="2">
                  <c:v>0.14541891370000001</c:v>
                </c:pt>
                <c:pt idx="3">
                  <c:v>0.1190622819</c:v>
                </c:pt>
                <c:pt idx="4">
                  <c:v>5.6699044699999999E-2</c:v>
                </c:pt>
                <c:pt idx="5">
                  <c:v>6.1912813400000002E-2</c:v>
                </c:pt>
                <c:pt idx="6">
                  <c:v>0.10029986840000001</c:v>
                </c:pt>
                <c:pt idx="7">
                  <c:v>0.18077652459999999</c:v>
                </c:pt>
                <c:pt idx="8">
                  <c:v>0.18825188509999999</c:v>
                </c:pt>
                <c:pt idx="9">
                  <c:v>0.25293374759999998</c:v>
                </c:pt>
                <c:pt idx="10">
                  <c:v>0.30008002830000002</c:v>
                </c:pt>
                <c:pt idx="11">
                  <c:v>0.32712476870000001</c:v>
                </c:pt>
                <c:pt idx="12">
                  <c:v>0.39123568019999999</c:v>
                </c:pt>
                <c:pt idx="13">
                  <c:v>0.40156743950000001</c:v>
                </c:pt>
                <c:pt idx="14">
                  <c:v>0.24496852760000001</c:v>
                </c:pt>
                <c:pt idx="15">
                  <c:v>0.51155921419999995</c:v>
                </c:pt>
                <c:pt idx="16">
                  <c:v>0.60317134589999999</c:v>
                </c:pt>
                <c:pt idx="17">
                  <c:v>0.78706856859999996</c:v>
                </c:pt>
                <c:pt idx="18">
                  <c:v>1.1795314914999999</c:v>
                </c:pt>
                <c:pt idx="19">
                  <c:v>1.3609218447</c:v>
                </c:pt>
                <c:pt idx="20">
                  <c:v>0.87031510670000001</c:v>
                </c:pt>
                <c:pt idx="21">
                  <c:v>0.44367700450000003</c:v>
                </c:pt>
                <c:pt idx="22">
                  <c:v>0.31211420239999998</c:v>
                </c:pt>
              </c:numCache>
              <c:extLst/>
            </c:numRef>
          </c:val>
          <c:smooth val="0"/>
          <c:extLst>
            <c:ext xmlns:c16="http://schemas.microsoft.com/office/drawing/2014/chart" uri="{C3380CC4-5D6E-409C-BE32-E72D297353CC}">
              <c16:uniqueId val="{00000007-2AB1-4E8B-9A52-8BB5D2A7BB55}"/>
            </c:ext>
          </c:extLst>
        </c:ser>
        <c:dLbls>
          <c:showLegendKey val="0"/>
          <c:showVal val="0"/>
          <c:showCatName val="0"/>
          <c:showSerName val="0"/>
          <c:showPercent val="0"/>
          <c:showBubbleSize val="0"/>
        </c:dLbls>
        <c:marker val="1"/>
        <c:smooth val="0"/>
        <c:axId val="209206255"/>
        <c:axId val="209206671"/>
      </c:lineChart>
      <c:lineChart>
        <c:grouping val="standard"/>
        <c:varyColors val="0"/>
        <c:ser>
          <c:idx val="8"/>
          <c:order val="8"/>
          <c:tx>
            <c:v>DUMMY</c:v>
          </c:tx>
          <c:spPr>
            <a:ln w="28575" cap="rnd">
              <a:noFill/>
              <a:round/>
            </a:ln>
            <a:effectLst/>
            <a:extLst>
              <a:ext uri="{91240B29-F687-4F45-9708-019B960494DF}">
                <a14:hiddenLine xmlns:a14="http://schemas.microsoft.com/office/drawing/2010/main" w="28575" cap="rnd">
                  <a:solidFill>
                    <a:srgbClr val="3A6FAF">
                      <a:lumMod val="60000"/>
                    </a:srgbClr>
                  </a:solidFill>
                  <a:round/>
                </a14:hiddenLine>
              </a:ext>
            </a:extLst>
          </c:spPr>
          <c:marker>
            <c:symbol val="none"/>
          </c:marker>
          <c:cat>
            <c:strLit>
              <c:ptCount val="1"/>
              <c:pt idx="0">
                <c:v>1</c:v>
              </c:pt>
              <c:extLst>
                <c:ext xmlns:c15="http://schemas.microsoft.com/office/drawing/2012/chart" uri="{02D57815-91ED-43cb-92C2-25804820EDAC}">
                  <c15:autoCat val="1"/>
                </c:ext>
              </c:extLst>
            </c:strLit>
          </c:cat>
          <c:val>
            <c:numLit>
              <c:formatCode>General</c:formatCode>
              <c:ptCount val="1"/>
              <c:pt idx="0">
                <c:v>0</c:v>
              </c:pt>
            </c:numLit>
          </c:val>
          <c:smooth val="0"/>
          <c:extLst>
            <c:ext xmlns:c16="http://schemas.microsoft.com/office/drawing/2014/chart" uri="{C3380CC4-5D6E-409C-BE32-E72D297353CC}">
              <c16:uniqueId val="{00000008-2AB1-4E8B-9A52-8BB5D2A7BB55}"/>
            </c:ext>
          </c:extLst>
        </c:ser>
        <c:dLbls>
          <c:showLegendKey val="0"/>
          <c:showVal val="0"/>
          <c:showCatName val="0"/>
          <c:showSerName val="0"/>
          <c:showPercent val="0"/>
          <c:showBubbleSize val="0"/>
        </c:dLbls>
        <c:marker val="1"/>
        <c:smooth val="0"/>
        <c:axId val="1605959695"/>
        <c:axId val="1605958447"/>
      </c:lineChart>
      <c:catAx>
        <c:axId val="209206255"/>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9206671"/>
        <c:crosses val="autoZero"/>
        <c:auto val="1"/>
        <c:lblAlgn val="ctr"/>
        <c:lblOffset val="100"/>
        <c:tickLblSkip val="2"/>
        <c:noMultiLvlLbl val="0"/>
      </c:catAx>
      <c:valAx>
        <c:axId val="209206671"/>
        <c:scaling>
          <c:orientation val="minMax"/>
        </c:scaling>
        <c:delete val="0"/>
        <c:axPos val="l"/>
        <c:majorGridlines>
          <c:spPr>
            <a:ln w="25400" cap="flat" cmpd="sng" algn="ctr">
              <a:noFill/>
              <a:round/>
            </a:ln>
            <a:effectLst/>
          </c:spPr>
        </c:majorGridlines>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9206255"/>
        <c:crosses val="autoZero"/>
        <c:crossBetween val="midCat"/>
      </c:valAx>
      <c:valAx>
        <c:axId val="1605958447"/>
        <c:scaling>
          <c:orientation val="minMax"/>
          <c:max val="7"/>
          <c:min val="0"/>
        </c:scaling>
        <c:delete val="0"/>
        <c:axPos val="r"/>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05959695"/>
        <c:crosses val="max"/>
        <c:crossBetween val="between"/>
        <c:majorUnit val="1"/>
        <c:minorUnit val="0.2"/>
      </c:valAx>
      <c:catAx>
        <c:axId val="1605959695"/>
        <c:scaling>
          <c:orientation val="minMax"/>
        </c:scaling>
        <c:delete val="1"/>
        <c:axPos val="b"/>
        <c:numFmt formatCode="General" sourceLinked="1"/>
        <c:majorTickMark val="out"/>
        <c:minorTickMark val="none"/>
        <c:tickLblPos val="nextTo"/>
        <c:crossAx val="1605958447"/>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9.0935942073088871E-3"/>
          <c:y val="4.7014946148626315E-2"/>
          <c:w val="0.9836898422046596"/>
          <c:h val="0.8703333739321073"/>
        </c:manualLayout>
      </c:layout>
      <c:lineChart>
        <c:grouping val="standard"/>
        <c:varyColors val="0"/>
        <c:ser>
          <c:idx val="1"/>
          <c:order val="0"/>
          <c:tx>
            <c:strRef>
              <c:f>'Drugs opiods Aus, US (fig5)'!$D$7</c:f>
              <c:strCache>
                <c:ptCount val="1"/>
                <c:pt idx="0">
                  <c:v>Australia</c:v>
                </c:pt>
              </c:strCache>
            </c:strRef>
          </c:tx>
          <c:spPr>
            <a:ln w="28575" cap="rnd">
              <a:solidFill>
                <a:sysClr val="windowText" lastClr="000000"/>
              </a:solidFill>
              <a:round/>
            </a:ln>
            <a:effectLst/>
          </c:spPr>
          <c:marker>
            <c:symbol val="none"/>
          </c:marker>
          <c:cat>
            <c:numRef>
              <c:f>'Drugs opiods Aus, US (fig5)'!$E$6:$AA$6</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'Drugs opiods Aus, US (fig5)'!$E$7:$AA$7</c:f>
              <c:numCache>
                <c:formatCode>General</c:formatCode>
                <c:ptCount val="23"/>
                <c:pt idx="0">
                  <c:v>0.35804454390000001</c:v>
                </c:pt>
                <c:pt idx="1">
                  <c:v>0.22600853930000001</c:v>
                </c:pt>
                <c:pt idx="2">
                  <c:v>0.14008319459999999</c:v>
                </c:pt>
                <c:pt idx="3">
                  <c:v>9.7820722499999999E-2</c:v>
                </c:pt>
                <c:pt idx="4">
                  <c:v>0.1117548751</c:v>
                </c:pt>
                <c:pt idx="5">
                  <c:v>5.59695318E-2</c:v>
                </c:pt>
                <c:pt idx="6">
                  <c:v>0.1143428175</c:v>
                </c:pt>
                <c:pt idx="7">
                  <c:v>9.0601875299999995E-2</c:v>
                </c:pt>
                <c:pt idx="8">
                  <c:v>9.0858218800000001E-2</c:v>
                </c:pt>
                <c:pt idx="9">
                  <c:v>0.1449480182</c:v>
                </c:pt>
                <c:pt idx="10">
                  <c:v>0.14829786549999999</c:v>
                </c:pt>
                <c:pt idx="11">
                  <c:v>0.2593100062</c:v>
                </c:pt>
                <c:pt idx="12">
                  <c:v>0.34193026650000002</c:v>
                </c:pt>
                <c:pt idx="13">
                  <c:v>0.55272643430000001</c:v>
                </c:pt>
                <c:pt idx="14">
                  <c:v>0.76736537910000002</c:v>
                </c:pt>
                <c:pt idx="15">
                  <c:v>0.88977777120000001</c:v>
                </c:pt>
                <c:pt idx="16">
                  <c:v>1.1374258286000001</c:v>
                </c:pt>
                <c:pt idx="17">
                  <c:v>1.1450431887000001</c:v>
                </c:pt>
                <c:pt idx="18">
                  <c:v>1.2729546868999999</c:v>
                </c:pt>
                <c:pt idx="19">
                  <c:v>1.1877546938000001</c:v>
                </c:pt>
                <c:pt idx="20">
                  <c:v>0.92972972239999996</c:v>
                </c:pt>
                <c:pt idx="21">
                  <c:v>0.85675488799999999</c:v>
                </c:pt>
                <c:pt idx="22" formatCode="0.000000">
                  <c:v>0.66912984880000004</c:v>
                </c:pt>
              </c:numCache>
            </c:numRef>
          </c:val>
          <c:smooth val="0"/>
          <c:extLst>
            <c:ext xmlns:c16="http://schemas.microsoft.com/office/drawing/2014/chart" uri="{C3380CC4-5D6E-409C-BE32-E72D297353CC}">
              <c16:uniqueId val="{00000000-AE49-4113-AABC-04948401D3D8}"/>
            </c:ext>
          </c:extLst>
        </c:ser>
        <c:ser>
          <c:idx val="2"/>
          <c:order val="1"/>
          <c:tx>
            <c:strRef>
              <c:f>'Drugs opiods Aus, US (fig5)'!$D$8</c:f>
              <c:strCache>
                <c:ptCount val="1"/>
                <c:pt idx="0">
                  <c:v>US</c:v>
                </c:pt>
              </c:strCache>
            </c:strRef>
          </c:tx>
          <c:spPr>
            <a:ln w="28575" cap="rnd">
              <a:solidFill>
                <a:srgbClr val="1E75BA"/>
              </a:solidFill>
              <a:round/>
            </a:ln>
            <a:effectLst/>
          </c:spPr>
          <c:marker>
            <c:symbol val="none"/>
          </c:marker>
          <c:cat>
            <c:numRef>
              <c:f>'Drugs opiods Aus, US (fig5)'!$E$6:$AA$6</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'Drugs opiods Aus, US (fig5)'!$E$8:$AA$8</c:f>
              <c:numCache>
                <c:formatCode>General</c:formatCode>
                <c:ptCount val="23"/>
                <c:pt idx="0">
                  <c:v>0.3</c:v>
                </c:pt>
                <c:pt idx="1">
                  <c:v>0.3</c:v>
                </c:pt>
                <c:pt idx="2">
                  <c:v>0.3</c:v>
                </c:pt>
                <c:pt idx="3">
                  <c:v>0.4</c:v>
                </c:pt>
                <c:pt idx="4">
                  <c:v>0.5</c:v>
                </c:pt>
                <c:pt idx="5">
                  <c:v>0.6</c:v>
                </c:pt>
                <c:pt idx="6">
                  <c:v>0.6</c:v>
                </c:pt>
                <c:pt idx="7">
                  <c:v>0.9</c:v>
                </c:pt>
                <c:pt idx="8">
                  <c:v>0.7</c:v>
                </c:pt>
                <c:pt idx="9">
                  <c:v>0.8</c:v>
                </c:pt>
                <c:pt idx="10">
                  <c:v>1</c:v>
                </c:pt>
                <c:pt idx="11">
                  <c:v>1</c:v>
                </c:pt>
                <c:pt idx="12">
                  <c:v>0.8</c:v>
                </c:pt>
                <c:pt idx="13">
                  <c:v>0.8</c:v>
                </c:pt>
                <c:pt idx="14">
                  <c:v>1</c:v>
                </c:pt>
                <c:pt idx="15">
                  <c:v>1.8</c:v>
                </c:pt>
                <c:pt idx="16">
                  <c:v>3.1</c:v>
                </c:pt>
                <c:pt idx="17">
                  <c:v>6.2</c:v>
                </c:pt>
                <c:pt idx="18">
                  <c:v>9</c:v>
                </c:pt>
                <c:pt idx="19">
                  <c:v>9.9</c:v>
                </c:pt>
                <c:pt idx="20">
                  <c:v>11.4</c:v>
                </c:pt>
                <c:pt idx="21">
                  <c:v>17.8</c:v>
                </c:pt>
                <c:pt idx="22">
                  <c:v>21.8</c:v>
                </c:pt>
              </c:numCache>
            </c:numRef>
          </c:val>
          <c:smooth val="0"/>
          <c:extLst>
            <c:ext xmlns:c16="http://schemas.microsoft.com/office/drawing/2014/chart" uri="{C3380CC4-5D6E-409C-BE32-E72D297353CC}">
              <c16:uniqueId val="{00000001-AE49-4113-AABC-04948401D3D8}"/>
            </c:ext>
          </c:extLst>
        </c:ser>
        <c:dLbls>
          <c:showLegendKey val="0"/>
          <c:showVal val="0"/>
          <c:showCatName val="0"/>
          <c:showSerName val="0"/>
          <c:showPercent val="0"/>
          <c:showBubbleSize val="0"/>
        </c:dLbls>
        <c:marker val="1"/>
        <c:smooth val="0"/>
        <c:axId val="543481232"/>
        <c:axId val="543479984"/>
      </c:lineChart>
      <c:lineChart>
        <c:grouping val="standard"/>
        <c:varyColors val="0"/>
        <c:ser>
          <c:idx val="0"/>
          <c:order val="2"/>
          <c:tx>
            <c:v>DUMMY</c:v>
          </c:tx>
          <c:spPr>
            <a:ln w="28575" cap="rnd">
              <a:solidFill>
                <a:schemeClr val="accent1"/>
              </a:solidFill>
              <a:round/>
            </a:ln>
            <a:effectLst/>
          </c:spPr>
          <c:marker>
            <c:symbol val="none"/>
          </c:marker>
          <c:val>
            <c:numLit>
              <c:formatCode>General</c:formatCode>
              <c:ptCount val="1"/>
              <c:pt idx="0">
                <c:v>0</c:v>
              </c:pt>
            </c:numLit>
          </c:val>
          <c:smooth val="0"/>
          <c:extLst>
            <c:ext xmlns:c16="http://schemas.microsoft.com/office/drawing/2014/chart" uri="{C3380CC4-5D6E-409C-BE32-E72D297353CC}">
              <c16:uniqueId val="{00000002-AE49-4113-AABC-04948401D3D8}"/>
            </c:ext>
          </c:extLst>
        </c:ser>
        <c:dLbls>
          <c:showLegendKey val="0"/>
          <c:showVal val="0"/>
          <c:showCatName val="0"/>
          <c:showSerName val="0"/>
          <c:showPercent val="0"/>
          <c:showBubbleSize val="0"/>
        </c:dLbls>
        <c:marker val="1"/>
        <c:smooth val="0"/>
        <c:axId val="1055140687"/>
        <c:axId val="1057134351"/>
      </c:lineChart>
      <c:catAx>
        <c:axId val="543481232"/>
        <c:scaling>
          <c:orientation val="minMax"/>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543479984"/>
        <c:crosses val="autoZero"/>
        <c:auto val="1"/>
        <c:lblAlgn val="ctr"/>
        <c:lblOffset val="100"/>
        <c:tickLblSkip val="2"/>
        <c:tickMarkSkip val="2"/>
        <c:noMultiLvlLbl val="0"/>
      </c:catAx>
      <c:valAx>
        <c:axId val="543479984"/>
        <c:scaling>
          <c:orientation val="minMax"/>
        </c:scaling>
        <c:delete val="0"/>
        <c:axPos val="l"/>
        <c:majorGridlines>
          <c:spPr>
            <a:ln w="25400" cap="flat" cmpd="sng" algn="ctr">
              <a:noFill/>
              <a:round/>
            </a:ln>
            <a:effectLst/>
          </c:spPr>
        </c:majorGridlines>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AU"/>
                  <a:t>Deaths</a:t>
                </a:r>
                <a:r>
                  <a:rPr lang="en-AU" baseline="0"/>
                  <a:t> per 100,000</a:t>
                </a:r>
                <a:endParaRPr lang="en-AU"/>
              </a:p>
            </c:rich>
          </c:tx>
          <c:layout>
            <c:manualLayout>
              <c:xMode val="edge"/>
              <c:yMode val="edge"/>
              <c:x val="6.2879412800672649E-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543481232"/>
        <c:crosses val="autoZero"/>
        <c:crossBetween val="between"/>
      </c:valAx>
      <c:valAx>
        <c:axId val="1057134351"/>
        <c:scaling>
          <c:orientation val="minMax"/>
          <c:max val="25"/>
          <c:min val="0"/>
        </c:scaling>
        <c:delete val="0"/>
        <c:axPos val="r"/>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AU"/>
                  <a:t>Deaths</a:t>
                </a:r>
                <a:r>
                  <a:rPr lang="en-AU" baseline="0"/>
                  <a:t> per 100,000</a:t>
                </a:r>
                <a:endParaRPr lang="en-AU"/>
              </a:p>
            </c:rich>
          </c:tx>
          <c:layout>
            <c:manualLayout>
              <c:xMode val="edge"/>
              <c:yMode val="edge"/>
              <c:x val="0.81761007146833919"/>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055140687"/>
        <c:crosses val="max"/>
        <c:crossBetween val="between"/>
        <c:majorUnit val="5"/>
        <c:minorUnit val="1"/>
      </c:valAx>
      <c:catAx>
        <c:axId val="1055140687"/>
        <c:scaling>
          <c:orientation val="minMax"/>
        </c:scaling>
        <c:delete val="1"/>
        <c:axPos val="b"/>
        <c:majorTickMark val="out"/>
        <c:minorTickMark val="none"/>
        <c:tickLblPos val="nextTo"/>
        <c:crossAx val="1057134351"/>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b"/>
      <c:legendEntry>
        <c:idx val="2"/>
        <c:delete val="1"/>
      </c:legendEntry>
      <c:layout>
        <c:manualLayout>
          <c:xMode val="edge"/>
          <c:yMode val="edge"/>
          <c:x val="0.28456352046903227"/>
          <c:y val="0.93355837042108869"/>
          <c:w val="0.39046891865789501"/>
          <c:h val="6.560959059036417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05334316617503E-2"/>
          <c:y val="0.14256914466248144"/>
          <c:w val="0.87577826941986237"/>
          <c:h val="0.74681301322293803"/>
        </c:manualLayout>
      </c:layout>
      <c:lineChart>
        <c:grouping val="standard"/>
        <c:varyColors val="0"/>
        <c:ser>
          <c:idx val="0"/>
          <c:order val="0"/>
          <c:tx>
            <c:strRef>
              <c:f>'Alcohol (fig8,9)'!$A$4</c:f>
              <c:strCache>
                <c:ptCount val="1"/>
                <c:pt idx="0">
                  <c:v>Australia</c:v>
                </c:pt>
              </c:strCache>
            </c:strRef>
          </c:tx>
          <c:spPr>
            <a:ln w="28575" cap="rnd">
              <a:solidFill>
                <a:schemeClr val="accent1"/>
              </a:solidFill>
              <a:round/>
            </a:ln>
            <a:effectLst/>
          </c:spPr>
          <c:marker>
            <c:symbol val="none"/>
          </c:marker>
          <c:cat>
            <c:numRef>
              <c:f>'Alcohol (fig8,9)'!$B$3:$X$3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'Alcohol (fig8,9)'!$B$4:$X$4</c:f>
              <c:numCache>
                <c:formatCode>General</c:formatCode>
                <c:ptCount val="23"/>
                <c:pt idx="0">
                  <c:v>5.9593021331999996</c:v>
                </c:pt>
                <c:pt idx="1">
                  <c:v>5.4038447715000002</c:v>
                </c:pt>
                <c:pt idx="2">
                  <c:v>5.3567069526999997</c:v>
                </c:pt>
                <c:pt idx="3">
                  <c:v>5.8471527925000002</c:v>
                </c:pt>
                <c:pt idx="4">
                  <c:v>5.3763695549000001</c:v>
                </c:pt>
                <c:pt idx="5">
                  <c:v>5.2448864097000003</c:v>
                </c:pt>
                <c:pt idx="6">
                  <c:v>5.2812993640999997</c:v>
                </c:pt>
                <c:pt idx="7">
                  <c:v>5.2441387375000001</c:v>
                </c:pt>
                <c:pt idx="8">
                  <c:v>5.1638237874000001</c:v>
                </c:pt>
                <c:pt idx="9">
                  <c:v>5.3585829440000001</c:v>
                </c:pt>
                <c:pt idx="10">
                  <c:v>5.0842514006000004</c:v>
                </c:pt>
                <c:pt idx="11">
                  <c:v>5.0114821361999997</c:v>
                </c:pt>
                <c:pt idx="12">
                  <c:v>4.7086665056000001</c:v>
                </c:pt>
                <c:pt idx="13">
                  <c:v>4.5</c:v>
                </c:pt>
                <c:pt idx="14">
                  <c:v>4.9000000000000004</c:v>
                </c:pt>
                <c:pt idx="15">
                  <c:v>5</c:v>
                </c:pt>
                <c:pt idx="16">
                  <c:v>5.2</c:v>
                </c:pt>
                <c:pt idx="17">
                  <c:v>4.8</c:v>
                </c:pt>
                <c:pt idx="18">
                  <c:v>5.3</c:v>
                </c:pt>
                <c:pt idx="19">
                  <c:v>4.7</c:v>
                </c:pt>
                <c:pt idx="20">
                  <c:v>4.9000000000000004</c:v>
                </c:pt>
                <c:pt idx="21">
                  <c:v>5.0999999999999996</c:v>
                </c:pt>
                <c:pt idx="22">
                  <c:v>5.4</c:v>
                </c:pt>
              </c:numCache>
            </c:numRef>
          </c:val>
          <c:smooth val="0"/>
          <c:extLst>
            <c:ext xmlns:c16="http://schemas.microsoft.com/office/drawing/2014/chart" uri="{C3380CC4-5D6E-409C-BE32-E72D297353CC}">
              <c16:uniqueId val="{00000000-E05D-40B2-BAF8-6A2A841AE792}"/>
            </c:ext>
          </c:extLst>
        </c:ser>
        <c:ser>
          <c:idx val="1"/>
          <c:order val="1"/>
          <c:tx>
            <c:strRef>
              <c:f>'Alcohol (fig8,9)'!$A$5</c:f>
              <c:strCache>
                <c:ptCount val="1"/>
                <c:pt idx="0">
                  <c:v>US</c:v>
                </c:pt>
              </c:strCache>
            </c:strRef>
          </c:tx>
          <c:spPr>
            <a:ln w="28575" cap="rnd">
              <a:solidFill>
                <a:schemeClr val="accent2"/>
              </a:solidFill>
              <a:round/>
            </a:ln>
            <a:effectLst/>
          </c:spPr>
          <c:marker>
            <c:symbol val="none"/>
          </c:marker>
          <c:cat>
            <c:numRef>
              <c:f>'Alcohol (fig8,9)'!$B$3:$X$3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'Alcohol (fig8,9)'!$B$5:$X$5</c:f>
              <c:numCache>
                <c:formatCode>General</c:formatCode>
                <c:ptCount val="23"/>
                <c:pt idx="0">
                  <c:v>7.1</c:v>
                </c:pt>
                <c:pt idx="1">
                  <c:v>7</c:v>
                </c:pt>
                <c:pt idx="2">
                  <c:v>7</c:v>
                </c:pt>
                <c:pt idx="3">
                  <c:v>6.9</c:v>
                </c:pt>
                <c:pt idx="4">
                  <c:v>7</c:v>
                </c:pt>
                <c:pt idx="5">
                  <c:v>7</c:v>
                </c:pt>
                <c:pt idx="6">
                  <c:v>7</c:v>
                </c:pt>
                <c:pt idx="7">
                  <c:v>7</c:v>
                </c:pt>
                <c:pt idx="8">
                  <c:v>7.2</c:v>
                </c:pt>
                <c:pt idx="9">
                  <c:v>7.4</c:v>
                </c:pt>
                <c:pt idx="10">
                  <c:v>7.4</c:v>
                </c:pt>
                <c:pt idx="11">
                  <c:v>7.6</c:v>
                </c:pt>
                <c:pt idx="12">
                  <c:v>7.7</c:v>
                </c:pt>
                <c:pt idx="13">
                  <c:v>8</c:v>
                </c:pt>
                <c:pt idx="14">
                  <c:v>8.1999999999999993</c:v>
                </c:pt>
                <c:pt idx="15">
                  <c:v>8.5</c:v>
                </c:pt>
                <c:pt idx="16">
                  <c:v>9.1</c:v>
                </c:pt>
                <c:pt idx="17">
                  <c:v>9.5</c:v>
                </c:pt>
                <c:pt idx="18">
                  <c:v>9.6</c:v>
                </c:pt>
                <c:pt idx="19">
                  <c:v>10</c:v>
                </c:pt>
                <c:pt idx="20">
                  <c:v>10.4</c:v>
                </c:pt>
                <c:pt idx="21">
                  <c:v>13.1</c:v>
                </c:pt>
                <c:pt idx="22">
                  <c:v>14.4</c:v>
                </c:pt>
              </c:numCache>
            </c:numRef>
          </c:val>
          <c:smooth val="0"/>
          <c:extLst>
            <c:ext xmlns:c16="http://schemas.microsoft.com/office/drawing/2014/chart" uri="{C3380CC4-5D6E-409C-BE32-E72D297353CC}">
              <c16:uniqueId val="{00000001-E05D-40B2-BAF8-6A2A841AE792}"/>
            </c:ext>
          </c:extLst>
        </c:ser>
        <c:ser>
          <c:idx val="2"/>
          <c:order val="2"/>
          <c:tx>
            <c:strRef>
              <c:f>'Alcohol (fig8,9)'!$A$6</c:f>
              <c:strCache>
                <c:ptCount val="1"/>
                <c:pt idx="0">
                  <c:v>UK</c:v>
                </c:pt>
              </c:strCache>
            </c:strRef>
          </c:tx>
          <c:spPr>
            <a:ln w="28575" cap="rnd">
              <a:solidFill>
                <a:schemeClr val="bg2"/>
              </a:solidFill>
              <a:round/>
            </a:ln>
            <a:effectLst/>
          </c:spPr>
          <c:marker>
            <c:symbol val="none"/>
          </c:marker>
          <c:dPt>
            <c:idx val="3"/>
            <c:marker>
              <c:symbol val="none"/>
            </c:marker>
            <c:bubble3D val="0"/>
            <c:spPr>
              <a:ln w="28575" cap="rnd">
                <a:noFill/>
                <a:round/>
              </a:ln>
              <a:effectLst/>
            </c:spPr>
            <c:extLst>
              <c:ext xmlns:c16="http://schemas.microsoft.com/office/drawing/2014/chart" uri="{C3380CC4-5D6E-409C-BE32-E72D297353CC}">
                <c16:uniqueId val="{00000003-E05D-40B2-BAF8-6A2A841AE792}"/>
              </c:ext>
            </c:extLst>
          </c:dPt>
          <c:cat>
            <c:numRef>
              <c:f>'Alcohol (fig8,9)'!$B$3:$X$3</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'Alcohol (fig8,9)'!$B$6:$X$6</c:f>
              <c:numCache>
                <c:formatCode>General</c:formatCode>
                <c:ptCount val="23"/>
                <c:pt idx="2">
                  <c:v>0</c:v>
                </c:pt>
                <c:pt idx="3">
                  <c:v>10.9</c:v>
                </c:pt>
                <c:pt idx="4">
                  <c:v>11.4</c:v>
                </c:pt>
                <c:pt idx="5">
                  <c:v>11.5</c:v>
                </c:pt>
                <c:pt idx="6">
                  <c:v>11.8</c:v>
                </c:pt>
                <c:pt idx="7">
                  <c:v>12.3</c:v>
                </c:pt>
                <c:pt idx="8">
                  <c:v>12.2</c:v>
                </c:pt>
                <c:pt idx="9">
                  <c:v>12.7</c:v>
                </c:pt>
                <c:pt idx="10">
                  <c:v>11.8</c:v>
                </c:pt>
                <c:pt idx="11">
                  <c:v>12</c:v>
                </c:pt>
                <c:pt idx="12">
                  <c:v>12</c:v>
                </c:pt>
                <c:pt idx="13">
                  <c:v>11.1</c:v>
                </c:pt>
                <c:pt idx="14">
                  <c:v>11.2</c:v>
                </c:pt>
                <c:pt idx="15">
                  <c:v>11.4</c:v>
                </c:pt>
                <c:pt idx="16">
                  <c:v>11.3</c:v>
                </c:pt>
                <c:pt idx="17">
                  <c:v>11.7</c:v>
                </c:pt>
                <c:pt idx="18">
                  <c:v>12.2</c:v>
                </c:pt>
                <c:pt idx="19">
                  <c:v>11.9</c:v>
                </c:pt>
                <c:pt idx="20">
                  <c:v>11.8</c:v>
                </c:pt>
                <c:pt idx="21">
                  <c:v>14</c:v>
                </c:pt>
                <c:pt idx="22">
                  <c:v>14.8</c:v>
                </c:pt>
              </c:numCache>
            </c:numRef>
          </c:val>
          <c:smooth val="0"/>
          <c:extLst>
            <c:ext xmlns:c16="http://schemas.microsoft.com/office/drawing/2014/chart" uri="{C3380CC4-5D6E-409C-BE32-E72D297353CC}">
              <c16:uniqueId val="{00000004-E05D-40B2-BAF8-6A2A841AE792}"/>
            </c:ext>
          </c:extLst>
        </c:ser>
        <c:dLbls>
          <c:showLegendKey val="0"/>
          <c:showVal val="0"/>
          <c:showCatName val="0"/>
          <c:showSerName val="0"/>
          <c:showPercent val="0"/>
          <c:showBubbleSize val="0"/>
        </c:dLbls>
        <c:marker val="1"/>
        <c:smooth val="0"/>
        <c:axId val="1832336767"/>
        <c:axId val="1832339679"/>
      </c:lineChart>
      <c:lineChart>
        <c:grouping val="standard"/>
        <c:varyColors val="0"/>
        <c:ser>
          <c:idx val="3"/>
          <c:order val="3"/>
          <c:tx>
            <c:v>DUMMY</c:v>
          </c:tx>
          <c:spPr>
            <a:ln w="28575" cap="rnd">
              <a:noFill/>
              <a:round/>
            </a:ln>
            <a:effectLst/>
            <a:extLst>
              <a:ext uri="{91240B29-F687-4F45-9708-019B960494DF}">
                <a14:hiddenLine xmlns:a14="http://schemas.microsoft.com/office/drawing/2010/main" w="28575" cap="rnd">
                  <a:solidFill>
                    <a:srgbClr val="F7901E"/>
                  </a:solidFill>
                  <a:round/>
                </a14:hiddenLine>
              </a:ext>
            </a:extLst>
          </c:spPr>
          <c:marker>
            <c:symbol val="none"/>
          </c:marker>
          <c:val>
            <c:numLit>
              <c:formatCode>General</c:formatCode>
              <c:ptCount val="1"/>
              <c:pt idx="0">
                <c:v>0</c:v>
              </c:pt>
            </c:numLit>
          </c:val>
          <c:smooth val="0"/>
          <c:extLst>
            <c:ext xmlns:c16="http://schemas.microsoft.com/office/drawing/2014/chart" uri="{C3380CC4-5D6E-409C-BE32-E72D297353CC}">
              <c16:uniqueId val="{00000005-E05D-40B2-BAF8-6A2A841AE792}"/>
            </c:ext>
          </c:extLst>
        </c:ser>
        <c:dLbls>
          <c:showLegendKey val="0"/>
          <c:showVal val="0"/>
          <c:showCatName val="0"/>
          <c:showSerName val="0"/>
          <c:showPercent val="0"/>
          <c:showBubbleSize val="0"/>
        </c:dLbls>
        <c:marker val="1"/>
        <c:smooth val="0"/>
        <c:axId val="1823288575"/>
        <c:axId val="1823266527"/>
      </c:lineChart>
      <c:catAx>
        <c:axId val="1832336767"/>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32339679"/>
        <c:crosses val="autoZero"/>
        <c:auto val="1"/>
        <c:lblAlgn val="ctr"/>
        <c:lblOffset val="100"/>
        <c:tickLblSkip val="2"/>
        <c:noMultiLvlLbl val="0"/>
      </c:catAx>
      <c:valAx>
        <c:axId val="1832339679"/>
        <c:scaling>
          <c:orientation val="minMax"/>
          <c:max val="18"/>
        </c:scaling>
        <c:delete val="0"/>
        <c:axPos val="l"/>
        <c:majorGridlines>
          <c:spPr>
            <a:ln w="25400" cap="flat" cmpd="sng" algn="ctr">
              <a:noFill/>
              <a:round/>
            </a:ln>
            <a:effectLst/>
          </c:spPr>
        </c:majorGridlines>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32336767"/>
        <c:crosses val="autoZero"/>
        <c:crossBetween val="midCat"/>
      </c:valAx>
      <c:valAx>
        <c:axId val="1823266527"/>
        <c:scaling>
          <c:orientation val="minMax"/>
          <c:max val="18"/>
          <c:min val="0"/>
        </c:scaling>
        <c:delete val="0"/>
        <c:axPos val="r"/>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23288575"/>
        <c:crosses val="max"/>
        <c:crossBetween val="between"/>
        <c:majorUnit val="2"/>
        <c:minorUnit val="0.4"/>
      </c:valAx>
      <c:catAx>
        <c:axId val="1823288575"/>
        <c:scaling>
          <c:orientation val="minMax"/>
        </c:scaling>
        <c:delete val="1"/>
        <c:axPos val="b"/>
        <c:majorTickMark val="out"/>
        <c:minorTickMark val="none"/>
        <c:tickLblPos val="nextTo"/>
        <c:crossAx val="1823266527"/>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0.26659</cdr:x>
      <cdr:y>0.11112</cdr:y>
    </cdr:to>
    <cdr:sp macro="" textlink="">
      <cdr:nvSpPr>
        <cdr:cNvPr id="2" name="TextBox 1">
          <a:extLst xmlns:a="http://schemas.openxmlformats.org/drawingml/2006/main">
            <a:ext uri="{FF2B5EF4-FFF2-40B4-BE49-F238E27FC236}">
              <a16:creationId xmlns:a16="http://schemas.microsoft.com/office/drawing/2014/main" id="{65DFEF82-42AC-AE86-6F45-64EFB1524AD5}"/>
            </a:ext>
          </a:extLst>
        </cdr:cNvPr>
        <cdr:cNvSpPr txBox="1"/>
      </cdr:nvSpPr>
      <cdr:spPr>
        <a:xfrm xmlns:a="http://schemas.openxmlformats.org/drawingml/2006/main">
          <a:off x="-7635692" y="-4247413"/>
          <a:ext cx="1084507" cy="205251"/>
        </a:xfrm>
        <a:prstGeom xmlns:a="http://schemas.openxmlformats.org/drawingml/2006/main" prst="rect">
          <a:avLst/>
        </a:prstGeom>
      </cdr:spPr>
      <cdr:txBody>
        <a:bodyPr xmlns:a="http://schemas.openxmlformats.org/drawingml/2006/main" wrap="none" rtlCol="0"/>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Deaths per 100,000</a:t>
          </a:r>
        </a:p>
      </cdr:txBody>
    </cdr:sp>
  </cdr:relSizeAnchor>
  <cdr:relSizeAnchor xmlns:cdr="http://schemas.openxmlformats.org/drawingml/2006/chartDrawing">
    <cdr:from>
      <cdr:x>0.73341</cdr:x>
      <cdr:y>0</cdr:y>
    </cdr:from>
    <cdr:to>
      <cdr:x>1</cdr:x>
      <cdr:y>0.11112</cdr:y>
    </cdr:to>
    <cdr:sp macro="" textlink="">
      <cdr:nvSpPr>
        <cdr:cNvPr id="3" name="TextBox 1">
          <a:extLst xmlns:a="http://schemas.openxmlformats.org/drawingml/2006/main">
            <a:ext uri="{FF2B5EF4-FFF2-40B4-BE49-F238E27FC236}">
              <a16:creationId xmlns:a16="http://schemas.microsoft.com/office/drawing/2014/main" id="{EDBE574F-60CA-F355-BB02-C0553D871D19}"/>
            </a:ext>
          </a:extLst>
        </cdr:cNvPr>
        <cdr:cNvSpPr txBox="1"/>
      </cdr:nvSpPr>
      <cdr:spPr>
        <a:xfrm xmlns:a="http://schemas.openxmlformats.org/drawingml/2006/main">
          <a:off x="2983493" y="-4247413"/>
          <a:ext cx="1084507" cy="2052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Deaths per 100,000</a:t>
          </a:r>
        </a:p>
      </cdr:txBody>
    </cdr:sp>
  </cdr:relSizeAnchor>
  <cdr:relSizeAnchor xmlns:cdr="http://schemas.openxmlformats.org/drawingml/2006/chartDrawing">
    <cdr:from>
      <cdr:x>0.09088</cdr:x>
      <cdr:y>0.56909</cdr:y>
    </cdr:from>
    <cdr:to>
      <cdr:x>0.36837</cdr:x>
      <cdr:y>0.8017</cdr:y>
    </cdr:to>
    <cdr:sp macro="" textlink="">
      <cdr:nvSpPr>
        <cdr:cNvPr id="4" name="Series Label">
          <a:extLst xmlns:a="http://schemas.openxmlformats.org/drawingml/2006/main">
            <a:ext uri="{FF2B5EF4-FFF2-40B4-BE49-F238E27FC236}">
              <a16:creationId xmlns:a16="http://schemas.microsoft.com/office/drawing/2014/main" id="{56E8F528-40E9-ED20-6671-BB5D8379771F}"/>
            </a:ext>
          </a:extLst>
        </cdr:cNvPr>
        <cdr:cNvSpPr txBox="1"/>
      </cdr:nvSpPr>
      <cdr:spPr>
        <a:xfrm xmlns:a="http://schemas.openxmlformats.org/drawingml/2006/main">
          <a:off x="369700" y="1129480"/>
          <a:ext cx="1128835" cy="461665"/>
        </a:xfrm>
        <a:prstGeom xmlns:a="http://schemas.openxmlformats.org/drawingml/2006/main" prst="rect">
          <a:avLst/>
        </a:prstGeom>
      </cdr:spPr>
      <cdr:txBody>
        <a:bodyPr xmlns:a="http://schemas.openxmlformats.org/drawingml/2006/main" vert="horz" wrap="non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1" kern="0" dirty="0">
              <a:solidFill>
                <a:srgbClr val="1E75BA"/>
              </a:solidFill>
              <a:latin typeface="Arial" panose="020B0604020202020204" pitchFamily="34" charset="0"/>
            </a:rPr>
            <a:t>US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1" i="0" u="none" strike="noStrike" kern="0" cap="none" spc="0" normalizeH="0" baseline="0" noProof="0" dirty="0">
              <a:ln>
                <a:noFill/>
              </a:ln>
              <a:solidFill>
                <a:srgbClr val="002C47"/>
              </a:solidFill>
              <a:effectLst/>
              <a:uLnTx/>
              <a:uFillTx/>
              <a:latin typeface="Arial" panose="020B0604020202020204" pitchFamily="34" charset="0"/>
              <a:ea typeface="+mn-ea"/>
              <a:cs typeface="+mn-cs"/>
            </a:rPr>
            <a:t>Australia</a:t>
          </a:r>
        </a:p>
        <a:p xmlns:a="http://schemas.openxmlformats.org/drawingml/2006/main">
          <a:pPr>
            <a:defRPr/>
          </a:pPr>
          <a:r>
            <a:rPr kumimoji="0" lang="en-AU" sz="800" b="1" i="0" u="none" strike="noStrike" kern="0" cap="none" spc="0" normalizeH="0" baseline="0" noProof="0" dirty="0">
              <a:ln>
                <a:noFill/>
              </a:ln>
              <a:solidFill>
                <a:srgbClr val="4DBC8D"/>
              </a:solidFill>
              <a:effectLst/>
              <a:uLnTx/>
              <a:uFillTx/>
              <a:latin typeface="Arial" panose="020B0604020202020204" pitchFamily="34" charset="0"/>
              <a:ea typeface="+mn-ea"/>
              <a:cs typeface="+mn-cs"/>
            </a:rPr>
            <a:t>England and Wales</a:t>
          </a:r>
        </a:p>
      </cdr:txBody>
    </cdr:sp>
  </cdr:relSizeAnchor>
</c:userShapes>
</file>

<file path=word/drawings/drawing2.xml><?xml version="1.0" encoding="utf-8"?>
<c:userShapes xmlns:c="http://schemas.openxmlformats.org/drawingml/2006/chart">
  <cdr:relSizeAnchor xmlns:cdr="http://schemas.openxmlformats.org/drawingml/2006/chartDrawing">
    <cdr:from>
      <cdr:x>0.73922</cdr:x>
      <cdr:y>0</cdr:y>
    </cdr:from>
    <cdr:to>
      <cdr:x>0.97994</cdr:x>
      <cdr:y>0.18051</cdr:y>
    </cdr:to>
    <cdr:sp macro="" textlink="">
      <cdr:nvSpPr>
        <cdr:cNvPr id="2" name="TextBox 1">
          <a:extLst xmlns:a="http://schemas.openxmlformats.org/drawingml/2006/main">
            <a:ext uri="{FF2B5EF4-FFF2-40B4-BE49-F238E27FC236}">
              <a16:creationId xmlns:a16="http://schemas.microsoft.com/office/drawing/2014/main" id="{F1AF4756-458F-4B0D-8DCB-7BF85337182A}"/>
            </a:ext>
          </a:extLst>
        </cdr:cNvPr>
        <cdr:cNvSpPr txBox="1"/>
      </cdr:nvSpPr>
      <cdr:spPr>
        <a:xfrm xmlns:a="http://schemas.openxmlformats.org/drawingml/2006/main">
          <a:off x="3007132" y="0"/>
          <a:ext cx="979268" cy="243000"/>
        </a:xfrm>
        <a:prstGeom xmlns:a="http://schemas.openxmlformats.org/drawingml/2006/main" prst="rect">
          <a:avLst/>
        </a:prstGeom>
      </cdr:spPr>
      <cdr:txBody>
        <a:bodyPr xmlns:a="http://schemas.openxmlformats.org/drawingml/2006/main" wrap="none" rtlCol="0"/>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ea typeface="+mn-ea"/>
              <a:cs typeface="Arial" panose="020B0604020202020204" pitchFamily="34" charset="0"/>
            </a:rPr>
            <a:t>Deaths per 100,000</a:t>
          </a:r>
        </a:p>
      </cdr:txBody>
    </cdr:sp>
  </cdr:relSizeAnchor>
  <cdr:relSizeAnchor xmlns:cdr="http://schemas.openxmlformats.org/drawingml/2006/chartDrawing">
    <cdr:from>
      <cdr:x>0</cdr:x>
      <cdr:y>0</cdr:y>
    </cdr:from>
    <cdr:to>
      <cdr:x>0.24072</cdr:x>
      <cdr:y>0.18051</cdr:y>
    </cdr:to>
    <cdr:sp macro="" textlink="">
      <cdr:nvSpPr>
        <cdr:cNvPr id="3" name="TextBox 1">
          <a:extLst xmlns:a="http://schemas.openxmlformats.org/drawingml/2006/main">
            <a:ext uri="{FF2B5EF4-FFF2-40B4-BE49-F238E27FC236}">
              <a16:creationId xmlns:a16="http://schemas.microsoft.com/office/drawing/2014/main" id="{F1AF4756-458F-4B0D-8DCB-7BF85337182A}"/>
            </a:ext>
          </a:extLst>
        </cdr:cNvPr>
        <cdr:cNvSpPr txBox="1"/>
      </cdr:nvSpPr>
      <cdr:spPr>
        <a:xfrm xmlns:a="http://schemas.openxmlformats.org/drawingml/2006/main">
          <a:off x="0" y="0"/>
          <a:ext cx="979268" cy="243000"/>
        </a:xfrm>
        <a:prstGeom xmlns:a="http://schemas.openxmlformats.org/drawingml/2006/main" prst="rect">
          <a:avLst/>
        </a:prstGeom>
      </cdr:spPr>
      <cdr:txBody>
        <a:bodyPr xmlns:a="http://schemas.openxmlformats.org/drawingml/2006/main" wrap="none" rtlCol="0"/>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chemeClr val="tx1"/>
              </a:solidFill>
              <a:effectLst/>
              <a:uLnTx/>
              <a:uFillTx/>
              <a:latin typeface="Arial" panose="020B0604020202020204" pitchFamily="34" charset="0"/>
              <a:cs typeface="Arial" panose="020B0604020202020204" pitchFamily="34" charset="0"/>
            </a:rPr>
            <a:t>Deaths per 100,000</a:t>
          </a:r>
        </a:p>
      </cdr:txBody>
    </cdr:sp>
  </cdr:relSizeAnchor>
  <cdr:relSizeAnchor xmlns:cdr="http://schemas.openxmlformats.org/drawingml/2006/chartDrawing">
    <cdr:from>
      <cdr:x>0.07391</cdr:x>
      <cdr:y>0.25559</cdr:y>
    </cdr:from>
    <cdr:to>
      <cdr:x>0.35987</cdr:x>
      <cdr:y>0.56934</cdr:y>
    </cdr:to>
    <cdr:sp macro="" textlink="">
      <cdr:nvSpPr>
        <cdr:cNvPr id="4" name="Series Label">
          <a:extLst xmlns:a="http://schemas.openxmlformats.org/drawingml/2006/main">
            <a:ext uri="{FF2B5EF4-FFF2-40B4-BE49-F238E27FC236}">
              <a16:creationId xmlns:a16="http://schemas.microsoft.com/office/drawing/2014/main" id="{94089F3F-790C-421B-9223-EE1DCDA54A92}"/>
            </a:ext>
          </a:extLst>
        </cdr:cNvPr>
        <cdr:cNvSpPr txBox="1"/>
      </cdr:nvSpPr>
      <cdr:spPr>
        <a:xfrm xmlns:a="http://schemas.openxmlformats.org/drawingml/2006/main">
          <a:off x="300666" y="376087"/>
          <a:ext cx="1163285" cy="461665"/>
        </a:xfrm>
        <a:prstGeom xmlns:a="http://schemas.openxmlformats.org/drawingml/2006/main" prst="rect">
          <a:avLst/>
        </a:prstGeom>
      </cdr:spPr>
      <cdr:txBody>
        <a:bodyPr xmlns:a="http://schemas.openxmlformats.org/drawingml/2006/main" vert="horz"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1" kern="0" dirty="0">
              <a:solidFill>
                <a:srgbClr val="1E75BA"/>
              </a:solidFill>
              <a:latin typeface="Arial" panose="020B0604020202020204" pitchFamily="34" charset="0"/>
            </a:rPr>
            <a:t>US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1" i="0" u="none" strike="noStrike" kern="0" cap="none" spc="0" normalizeH="0" baseline="0" noProof="0" dirty="0">
              <a:ln>
                <a:noFill/>
              </a:ln>
              <a:solidFill>
                <a:srgbClr val="002C47"/>
              </a:solidFill>
              <a:effectLst/>
              <a:uLnTx/>
              <a:uFillTx/>
              <a:latin typeface="Arial" panose="020B0604020202020204" pitchFamily="34" charset="0"/>
              <a:ea typeface="+mn-ea"/>
              <a:cs typeface="+mn-cs"/>
            </a:rPr>
            <a:t>Australia</a:t>
          </a:r>
        </a:p>
        <a:p xmlns:a="http://schemas.openxmlformats.org/drawingml/2006/main">
          <a:pPr>
            <a:defRPr/>
          </a:pPr>
          <a:r>
            <a:rPr kumimoji="0" lang="en-AU" sz="800" b="1" i="0" u="none" strike="noStrike" kern="0" cap="none" spc="0" normalizeH="0" baseline="0" noProof="0" dirty="0">
              <a:ln>
                <a:noFill/>
              </a:ln>
              <a:solidFill>
                <a:srgbClr val="4DBC8D"/>
              </a:solidFill>
              <a:effectLst/>
              <a:uLnTx/>
              <a:uFillTx/>
              <a:latin typeface="Arial" panose="020B0604020202020204" pitchFamily="34" charset="0"/>
              <a:ea typeface="+mn-ea"/>
              <a:cs typeface="+mn-cs"/>
            </a:rPr>
            <a:t>England and Wales</a:t>
          </a:r>
        </a:p>
      </cdr:txBody>
    </cdr:sp>
  </cdr:relSizeAnchor>
</c:userShapes>
</file>

<file path=word/drawings/drawing3.xml><?xml version="1.0" encoding="utf-8"?>
<c:userShapes xmlns:c="http://schemas.openxmlformats.org/drawingml/2006/chart">
  <cdr:relSizeAnchor xmlns:cdr="http://schemas.openxmlformats.org/drawingml/2006/chartDrawing">
    <cdr:from>
      <cdr:x>0.74364</cdr:x>
      <cdr:y>0</cdr:y>
    </cdr:from>
    <cdr:to>
      <cdr:x>1</cdr:x>
      <cdr:y>0.11112</cdr:y>
    </cdr:to>
    <cdr:sp macro="" textlink="">
      <cdr:nvSpPr>
        <cdr:cNvPr id="2" name="TextBox 1">
          <a:extLst xmlns:a="http://schemas.openxmlformats.org/drawingml/2006/main">
            <a:ext uri="{FF2B5EF4-FFF2-40B4-BE49-F238E27FC236}">
              <a16:creationId xmlns:a16="http://schemas.microsoft.com/office/drawing/2014/main" id="{035C456D-B4B7-190B-006C-7B1302F616E2}"/>
            </a:ext>
          </a:extLst>
        </cdr:cNvPr>
        <cdr:cNvSpPr txBox="1"/>
      </cdr:nvSpPr>
      <cdr:spPr>
        <a:xfrm xmlns:a="http://schemas.openxmlformats.org/drawingml/2006/main">
          <a:off x="3025121" y="-4491439"/>
          <a:ext cx="1042879" cy="2052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ea typeface="+mn-ea"/>
              <a:cs typeface="Arial" panose="020B0604020202020204" pitchFamily="34" charset="0"/>
            </a:rPr>
            <a:t>Deaths per 100,000</a:t>
          </a:r>
        </a:p>
      </cdr:txBody>
    </cdr:sp>
  </cdr:relSizeAnchor>
  <cdr:relSizeAnchor xmlns:cdr="http://schemas.openxmlformats.org/drawingml/2006/chartDrawing">
    <cdr:from>
      <cdr:x>0</cdr:x>
      <cdr:y>0</cdr:y>
    </cdr:from>
    <cdr:to>
      <cdr:x>0.25636</cdr:x>
      <cdr:y>0.11112</cdr:y>
    </cdr:to>
    <cdr:sp macro="" textlink="">
      <cdr:nvSpPr>
        <cdr:cNvPr id="3" name="TextBox 1">
          <a:extLst xmlns:a="http://schemas.openxmlformats.org/drawingml/2006/main">
            <a:ext uri="{FF2B5EF4-FFF2-40B4-BE49-F238E27FC236}">
              <a16:creationId xmlns:a16="http://schemas.microsoft.com/office/drawing/2014/main" id="{035C456D-B4B7-190B-006C-7B1302F616E2}"/>
            </a:ext>
          </a:extLst>
        </cdr:cNvPr>
        <cdr:cNvSpPr txBox="1"/>
      </cdr:nvSpPr>
      <cdr:spPr>
        <a:xfrm xmlns:a="http://schemas.openxmlformats.org/drawingml/2006/main">
          <a:off x="-7635692" y="-4491439"/>
          <a:ext cx="1042879" cy="2052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ea typeface="+mn-ea"/>
              <a:cs typeface="Arial" panose="020B0604020202020204" pitchFamily="34" charset="0"/>
            </a:rPr>
            <a:t>Deaths per 100,000</a:t>
          </a:r>
        </a:p>
      </cdr:txBody>
    </cdr:sp>
  </cdr:relSizeAnchor>
  <cdr:relSizeAnchor xmlns:cdr="http://schemas.openxmlformats.org/drawingml/2006/chartDrawing">
    <cdr:from>
      <cdr:x>0.12439</cdr:x>
      <cdr:y>0.13259</cdr:y>
    </cdr:from>
    <cdr:to>
      <cdr:x>0.34917</cdr:x>
      <cdr:y>0.50897</cdr:y>
    </cdr:to>
    <cdr:sp macro="" textlink="">
      <cdr:nvSpPr>
        <cdr:cNvPr id="4" name="TextBox 3">
          <a:extLst xmlns:a="http://schemas.openxmlformats.org/drawingml/2006/main">
            <a:ext uri="{FF2B5EF4-FFF2-40B4-BE49-F238E27FC236}">
              <a16:creationId xmlns:a16="http://schemas.microsoft.com/office/drawing/2014/main" id="{0D9C53B5-66D7-496E-AC88-0F8DB9A636A3}"/>
            </a:ext>
          </a:extLst>
        </cdr:cNvPr>
        <cdr:cNvSpPr txBox="1"/>
      </cdr:nvSpPr>
      <cdr:spPr>
        <a:xfrm xmlns:a="http://schemas.openxmlformats.org/drawingml/2006/main">
          <a:off x="506019" y="236479"/>
          <a:ext cx="914405" cy="6712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lvl="0" algn="l" rtl="0">
            <a:defRPr/>
          </a:pPr>
          <a:r>
            <a:rPr lang="en-AU" sz="800" b="1" dirty="0">
              <a:solidFill>
                <a:srgbClr val="002C47"/>
              </a:solidFill>
              <a:latin typeface="Arial" panose="020B0604020202020204" pitchFamily="34" charset="0"/>
            </a:rPr>
            <a:t>Opioids</a:t>
          </a:r>
        </a:p>
        <a:p xmlns:a="http://schemas.openxmlformats.org/drawingml/2006/main">
          <a:pPr algn="l" rtl="0">
            <a:defRPr/>
          </a:pPr>
          <a:r>
            <a:rPr lang="en-AU" sz="800" b="1" dirty="0">
              <a:solidFill>
                <a:srgbClr val="1E75BA"/>
              </a:solidFill>
              <a:latin typeface="Arial" panose="020B0604020202020204" pitchFamily="34" charset="0"/>
            </a:rPr>
            <a:t>Depressants</a:t>
          </a:r>
        </a:p>
        <a:p xmlns:a="http://schemas.openxmlformats.org/drawingml/2006/main">
          <a:pPr algn="l" rtl="0">
            <a:defRPr/>
          </a:pPr>
          <a:r>
            <a:rPr lang="en-AU" sz="800" b="1" dirty="0">
              <a:solidFill>
                <a:srgbClr val="38AFCF"/>
              </a:solidFill>
              <a:latin typeface="Arial" panose="020B0604020202020204" pitchFamily="34" charset="0"/>
            </a:rPr>
            <a:t>Stimulants</a:t>
          </a:r>
        </a:p>
        <a:p xmlns:a="http://schemas.openxmlformats.org/drawingml/2006/main">
          <a:pPr algn="l" rtl="0">
            <a:defRPr/>
          </a:pPr>
          <a:r>
            <a:rPr lang="en-AU" sz="800" b="1" dirty="0">
              <a:solidFill>
                <a:srgbClr val="CF542F"/>
              </a:solidFill>
              <a:latin typeface="Arial" panose="020B0604020202020204" pitchFamily="34" charset="0"/>
            </a:rPr>
            <a:t>Antidepressants</a:t>
          </a:r>
        </a:p>
      </cdr:txBody>
    </cdr:sp>
  </cdr:relSizeAnchor>
  <cdr:relSizeAnchor xmlns:cdr="http://schemas.openxmlformats.org/drawingml/2006/chartDrawing">
    <cdr:from>
      <cdr:x>0.34746</cdr:x>
      <cdr:y>0.13036</cdr:y>
    </cdr:from>
    <cdr:to>
      <cdr:x>0.65254</cdr:x>
      <cdr:y>0.50897</cdr:y>
    </cdr:to>
    <cdr:sp macro="" textlink="">
      <cdr:nvSpPr>
        <cdr:cNvPr id="5" name="TextBox 1">
          <a:extLst xmlns:a="http://schemas.openxmlformats.org/drawingml/2006/main">
            <a:ext uri="{FF2B5EF4-FFF2-40B4-BE49-F238E27FC236}">
              <a16:creationId xmlns:a16="http://schemas.microsoft.com/office/drawing/2014/main" id="{2B92381C-52C8-4FE8-AE2F-BEC58DACB921}"/>
            </a:ext>
          </a:extLst>
        </cdr:cNvPr>
        <cdr:cNvSpPr txBox="1"/>
      </cdr:nvSpPr>
      <cdr:spPr>
        <a:xfrm xmlns:a="http://schemas.openxmlformats.org/drawingml/2006/main">
          <a:off x="1413467" y="232501"/>
          <a:ext cx="1241066" cy="67526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a:pPr>
          <a:r>
            <a:rPr lang="en-AU" sz="800" b="1" dirty="0">
              <a:solidFill>
                <a:srgbClr val="9E928F"/>
              </a:solidFill>
              <a:latin typeface="Arial" panose="020B0604020202020204" pitchFamily="34" charset="0"/>
            </a:rPr>
            <a:t>Antipsychotics</a:t>
          </a:r>
        </a:p>
        <a:p xmlns:a="http://schemas.openxmlformats.org/drawingml/2006/main">
          <a:pPr algn="l" rtl="0">
            <a:defRPr/>
          </a:pPr>
          <a:r>
            <a:rPr lang="en-AU" sz="800" b="1" dirty="0">
              <a:solidFill>
                <a:srgbClr val="4DBC8D"/>
              </a:solidFill>
              <a:latin typeface="Arial" panose="020B0604020202020204" pitchFamily="34" charset="0"/>
            </a:rPr>
            <a:t>Non-opioid analgesics</a:t>
          </a:r>
        </a:p>
        <a:p xmlns:a="http://schemas.openxmlformats.org/drawingml/2006/main">
          <a:pPr lvl="0" algn="l" rtl="0">
            <a:defRPr/>
          </a:pPr>
          <a:r>
            <a:rPr lang="en-AU" sz="800" b="1" dirty="0">
              <a:solidFill>
                <a:srgbClr val="277F98"/>
              </a:solidFill>
              <a:latin typeface="Arial" panose="020B0604020202020204" pitchFamily="34" charset="0"/>
            </a:rPr>
            <a:t>Cannabinoids</a:t>
          </a:r>
        </a:p>
        <a:p xmlns:a="http://schemas.openxmlformats.org/drawingml/2006/main">
          <a:pPr lvl="0" algn="l" rtl="0">
            <a:defRPr/>
          </a:pPr>
          <a:r>
            <a:rPr lang="en-AU" sz="800" b="1" dirty="0">
              <a:solidFill>
                <a:srgbClr val="001A2B"/>
              </a:solidFill>
              <a:latin typeface="Arial" panose="020B0604020202020204" pitchFamily="34" charset="0"/>
            </a:rPr>
            <a:t>Cocaine</a:t>
          </a:r>
          <a:endParaRPr lang="en-AU" sz="800" b="1" dirty="0">
            <a:solidFill>
              <a:srgbClr val="277F98"/>
            </a:solidFill>
            <a:latin typeface="Arial" panose="020B0604020202020204" pitchFamily="34" charset="0"/>
          </a:endParaRPr>
        </a:p>
        <a:p xmlns:a="http://schemas.openxmlformats.org/drawingml/2006/main">
          <a:pPr lvl="0" algn="l" rtl="0">
            <a:defRPr/>
          </a:pPr>
          <a:endParaRPr lang="en-AU" sz="800" b="1" dirty="0">
            <a:solidFill>
              <a:srgbClr val="002C47"/>
            </a:solidFill>
            <a:latin typeface="Arial" panose="020B0604020202020204" pitchFamily="34" charset="0"/>
          </a:endParaRPr>
        </a:p>
        <a:p xmlns:a="http://schemas.openxmlformats.org/drawingml/2006/main">
          <a:pPr lvl="0" algn="l" rtl="0">
            <a:defRPr/>
          </a:pPr>
          <a:endParaRPr lang="en-AU" sz="800" b="1" dirty="0">
            <a:solidFill>
              <a:srgbClr val="002C47"/>
            </a:solidFill>
            <a:latin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0.07352</cdr:x>
      <cdr:y>0.11835</cdr:y>
    </cdr:from>
    <cdr:to>
      <cdr:x>0.35948</cdr:x>
      <cdr:y>0.40672</cdr:y>
    </cdr:to>
    <cdr:sp macro="" textlink="">
      <cdr:nvSpPr>
        <cdr:cNvPr id="2" name="Series Label">
          <a:extLst xmlns:a="http://schemas.openxmlformats.org/drawingml/2006/main">
            <a:ext uri="{FF2B5EF4-FFF2-40B4-BE49-F238E27FC236}">
              <a16:creationId xmlns:a16="http://schemas.microsoft.com/office/drawing/2014/main" id="{F4827F0A-501F-A2F2-710F-7DC92AF22A78}"/>
            </a:ext>
          </a:extLst>
        </cdr:cNvPr>
        <cdr:cNvSpPr txBox="1"/>
      </cdr:nvSpPr>
      <cdr:spPr>
        <a:xfrm xmlns:a="http://schemas.openxmlformats.org/drawingml/2006/main">
          <a:off x="299079" y="189473"/>
          <a:ext cx="1163286" cy="461665"/>
        </a:xfrm>
        <a:prstGeom xmlns:a="http://schemas.openxmlformats.org/drawingml/2006/main" prst="rect">
          <a:avLst/>
        </a:prstGeom>
      </cdr:spPr>
      <cdr:txBody>
        <a:bodyPr xmlns:a="http://schemas.openxmlformats.org/drawingml/2006/main" vert="horz"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defRPr/>
          </a:pPr>
          <a:r>
            <a:rPr lang="en-AU" sz="800" b="1" dirty="0">
              <a:solidFill>
                <a:srgbClr val="4DBC8D"/>
              </a:solidFill>
              <a:latin typeface="Arial" panose="020B0604020202020204" pitchFamily="34" charset="0"/>
            </a:rPr>
            <a:t>UK</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1" kern="0" dirty="0">
              <a:solidFill>
                <a:srgbClr val="1E75BA"/>
              </a:solidFill>
              <a:latin typeface="Arial" panose="020B0604020202020204" pitchFamily="34" charset="0"/>
            </a:rPr>
            <a:t>US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1" i="0" u="none" strike="noStrike" kern="0" cap="none" spc="0" normalizeH="0" baseline="0" noProof="0" dirty="0">
              <a:ln>
                <a:noFill/>
              </a:ln>
              <a:solidFill>
                <a:srgbClr val="002C47"/>
              </a:solidFill>
              <a:effectLst/>
              <a:uLnTx/>
              <a:uFillTx/>
              <a:latin typeface="Arial" panose="020B0604020202020204" pitchFamily="34" charset="0"/>
              <a:ea typeface="+mn-ea"/>
              <a:cs typeface="+mn-cs"/>
            </a:rPr>
            <a:t>Australia</a:t>
          </a:r>
        </a:p>
      </cdr:txBody>
    </cdr:sp>
  </cdr:relSizeAnchor>
  <cdr:relSizeAnchor xmlns:cdr="http://schemas.openxmlformats.org/drawingml/2006/chartDrawing">
    <cdr:from>
      <cdr:x>0</cdr:x>
      <cdr:y>0</cdr:y>
    </cdr:from>
    <cdr:to>
      <cdr:x>0.25636</cdr:x>
      <cdr:y>0.1118</cdr:y>
    </cdr:to>
    <cdr:sp macro="" textlink="">
      <cdr:nvSpPr>
        <cdr:cNvPr id="3" name="TextBox 1">
          <a:extLst xmlns:a="http://schemas.openxmlformats.org/drawingml/2006/main">
            <a:ext uri="{FF2B5EF4-FFF2-40B4-BE49-F238E27FC236}">
              <a16:creationId xmlns:a16="http://schemas.microsoft.com/office/drawing/2014/main" id="{C89DF6D7-E895-03FC-3CF4-C7E8947239E9}"/>
            </a:ext>
          </a:extLst>
        </cdr:cNvPr>
        <cdr:cNvSpPr txBox="1"/>
      </cdr:nvSpPr>
      <cdr:spPr>
        <a:xfrm xmlns:a="http://schemas.openxmlformats.org/drawingml/2006/main">
          <a:off x="-7456832" y="-5130735"/>
          <a:ext cx="1042879" cy="2052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ea typeface="+mn-ea"/>
              <a:cs typeface="Arial" panose="020B0604020202020204" pitchFamily="34" charset="0"/>
            </a:rPr>
            <a:t>Deaths per 100,000</a:t>
          </a:r>
        </a:p>
      </cdr:txBody>
    </cdr:sp>
  </cdr:relSizeAnchor>
  <cdr:relSizeAnchor xmlns:cdr="http://schemas.openxmlformats.org/drawingml/2006/chartDrawing">
    <cdr:from>
      <cdr:x>0.74364</cdr:x>
      <cdr:y>0</cdr:y>
    </cdr:from>
    <cdr:to>
      <cdr:x>1</cdr:x>
      <cdr:y>0.1118</cdr:y>
    </cdr:to>
    <cdr:sp macro="" textlink="">
      <cdr:nvSpPr>
        <cdr:cNvPr id="4" name="TextBox 1">
          <a:extLst xmlns:a="http://schemas.openxmlformats.org/drawingml/2006/main">
            <a:ext uri="{FF2B5EF4-FFF2-40B4-BE49-F238E27FC236}">
              <a16:creationId xmlns:a16="http://schemas.microsoft.com/office/drawing/2014/main" id="{C89DF6D7-E895-03FC-3CF4-C7E8947239E9}"/>
            </a:ext>
          </a:extLst>
        </cdr:cNvPr>
        <cdr:cNvSpPr txBox="1"/>
      </cdr:nvSpPr>
      <cdr:spPr>
        <a:xfrm xmlns:a="http://schemas.openxmlformats.org/drawingml/2006/main">
          <a:off x="3025121" y="-5130735"/>
          <a:ext cx="1042879" cy="2052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dirty="0">
              <a:ln>
                <a:noFill/>
              </a:ln>
              <a:solidFill>
                <a:sysClr val="windowText" lastClr="000000"/>
              </a:solidFill>
              <a:effectLst/>
              <a:uLnTx/>
              <a:uFillTx/>
              <a:latin typeface="Arial" panose="020B0604020202020204" pitchFamily="34" charset="0"/>
              <a:ea typeface="+mn-ea"/>
              <a:cs typeface="Arial" panose="020B0604020202020204" pitchFamily="34" charset="0"/>
            </a:rPr>
            <a:t>Deaths per 100,000</a:t>
          </a:r>
        </a:p>
      </cdr:txBody>
    </cdr:sp>
  </cdr:relSizeAnchor>
</c:userShapes>
</file>

<file path=word/theme/theme1.xml><?xml version="1.0" encoding="utf-8"?>
<a:theme xmlns:a="http://schemas.openxmlformats.org/drawingml/2006/main" name="TSYBrand">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71B34DE557A49A844A497C42917F5" ma:contentTypeVersion="14" ma:contentTypeDescription="Create a new document." ma:contentTypeScope="" ma:versionID="7546faf18f3a2daba0123406678dc456">
  <xsd:schema xmlns:xsd="http://www.w3.org/2001/XMLSchema" xmlns:xs="http://www.w3.org/2001/XMLSchema" xmlns:p="http://schemas.microsoft.com/office/2006/metadata/properties" xmlns:ns2="fe39d773-a83d-4623-ae74-f25711a76616" xmlns:ns3="8a0f7cc3-c266-472c-a05b-c6f864bb8450" xmlns:ns4="42f9a59b-0137-452b-8ae7-8982314ddc2f" targetNamespace="http://schemas.microsoft.com/office/2006/metadata/properties" ma:root="true" ma:fieldsID="c68d97ee0f6327429178a13b8317157f" ns2:_="" ns3:_="" ns4:_="">
    <xsd:import namespace="fe39d773-a83d-4623-ae74-f25711a76616"/>
    <xsd:import namespace="8a0f7cc3-c266-472c-a05b-c6f864bb8450"/>
    <xsd:import namespace="42f9a59b-0137-452b-8ae7-8982314ddc2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de4344074cba4e98bbe1fa5c4b47b5e2"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Population|dfc189bb-46ec-4771-b471-77807c301c0c"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d30ce89a-1134-4700-94d0-04c364853b4b"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ecd10e0-8510-4710-9b20-d817c2b0e527"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e1836263-94d0-4953-b054-95b6ac1c6ed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da8ad6-4f00-43fc-8358-94d0f8dade0d}"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1da8ad6-4f00-43fc-8358-94d0f8dade0d}"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de4344074cba4e98bbe1fa5c4b47b5e2" ma:index="24" nillable="true" ma:taxonomy="true" ma:internalName="de4344074cba4e98bbe1fa5c4b47b5e2" ma:taxonomyFieldName="Project" ma:displayName="Project" ma:default="" ma:fieldId="{de434407-4cba-4e98-bbe1-fa5c4b47b5e2}" ma:taxonomyMulti="true" ma:sspId="218240cd-c75f-40bd-87f4-262ac964b25b" ma:termSetId="649ad160-e6c3-41d9-a3c9-274de9f4b258"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9a59b-0137-452b-8ae7-8982314ddc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Paper (Analysis or Research or Report)</TermName>
          <TermId xmlns="http://schemas.microsoft.com/office/infopath/2007/PartnerControls">6ad78538-b056-4e5b-8c06-e0b6c43f0ffa</TermId>
        </TermInfo>
      </Terms>
    </kfc39f3e4e2747ae990d3c8bb74a5a64>
    <lcf76f155ced4ddcb4097134ff3c332f xmlns="42f9a59b-0137-452b-8ae7-8982314ddc2f">
      <Terms xmlns="http://schemas.microsoft.com/office/infopath/2007/PartnerControls"/>
    </lcf76f155ced4ddcb4097134ff3c332f>
    <de4344074cba4e98bbe1fa5c4b47b5e2 xmlns="8a0f7cc3-c266-472c-a05b-c6f864bb8450">
      <Terms xmlns="http://schemas.microsoft.com/office/infopath/2007/PartnerControls"/>
    </de4344074cba4e98bbe1fa5c4b47b5e2>
    <ge25bdd0d6464e36b066695d9e81d63d xmlns="fe39d773-a83d-4623-ae74-f25711a76616">
      <Terms xmlns="http://schemas.microsoft.com/office/infopath/2007/PartnerControls"/>
    </ge25bdd0d6464e36b066695d9e81d63d>
    <TaxCatchAll xmlns="8a0f7cc3-c266-472c-a05b-c6f864bb8450">
      <Value>92</Value>
      <Value>95</Value>
      <Value>1</Value>
      <Value>127</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Population</TermName>
          <TermId xmlns="http://schemas.microsoft.com/office/infopath/2007/PartnerControls">dfc189bb-46ec-4771-b471-77807c301c0c</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Natural increase - mortality</TermName>
          <TermId xmlns="http://schemas.microsoft.com/office/infopath/2007/PartnerControls">8d2fcadb-1b14-467f-8683-2d6ffbe56b5a</TermId>
        </TermInfo>
      </Terms>
    </gfba5f33532c49208d2320ce38cc3c2b>
    <_dlc_DocId xmlns="fe39d773-a83d-4623-ae74-f25711a76616">KFKJJFZ4YKUM-1581742123-1975</_dlc_DocId>
    <_dlc_DocIdUrl xmlns="fe39d773-a83d-4623-ae74-f25711a76616">
      <Url>https://austreasury.sharepoint.com/sites/cenpop-function/_layouts/15/DocIdRedir.aspx?ID=KFKJJFZ4YKUM-1581742123-1975</Url>
      <Description>KFKJJFZ4YKUM-1581742123-1975</Description>
    </_dlc_DocIdUrl>
  </documentManagement>
</p:properties>
</file>

<file path=customXml/itemProps1.xml><?xml version="1.0" encoding="utf-8"?>
<ds:datastoreItem xmlns:ds="http://schemas.openxmlformats.org/officeDocument/2006/customXml" ds:itemID="{CBCF50BF-9114-4470-ADA4-1BAAE0A55EAB}">
  <ds:schemaRefs>
    <ds:schemaRef ds:uri="http://schemas.microsoft.com/sharepoint/v3/contenttype/forms"/>
  </ds:schemaRefs>
</ds:datastoreItem>
</file>

<file path=customXml/itemProps2.xml><?xml version="1.0" encoding="utf-8"?>
<ds:datastoreItem xmlns:ds="http://schemas.openxmlformats.org/officeDocument/2006/customXml" ds:itemID="{6B722E72-05EA-4FFB-A7F4-379D8DE45F5B}">
  <ds:schemaRefs>
    <ds:schemaRef ds:uri="http://schemas.microsoft.com/sharepoint/events"/>
  </ds:schemaRefs>
</ds:datastoreItem>
</file>

<file path=customXml/itemProps3.xml><?xml version="1.0" encoding="utf-8"?>
<ds:datastoreItem xmlns:ds="http://schemas.openxmlformats.org/officeDocument/2006/customXml" ds:itemID="{6F7D48C2-E76B-47EC-9078-C0305A26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42f9a59b-0137-452b-8ae7-8982314dd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E7052-5E32-4334-B26D-D3FD1F3BE8F1}">
  <ds:schemaRefs>
    <ds:schemaRef ds:uri="http://schemas.microsoft.com/office/2006/metadata/properties"/>
    <ds:schemaRef ds:uri="42f9a59b-0137-452b-8ae7-8982314ddc2f"/>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8a0f7cc3-c266-472c-a05b-c6f864bb8450"/>
    <ds:schemaRef ds:uri="fe39d773-a83d-4623-ae74-f25711a766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4524</Words>
  <Characters>25789</Characters>
  <Application>Microsoft Office Word</Application>
  <DocSecurity>0</DocSecurity>
  <Lines>214</Lines>
  <Paragraphs>60</Paragraphs>
  <ScaleCrop>false</ScaleCrop>
  <Company/>
  <LinksUpToDate>false</LinksUpToDate>
  <CharactersWithSpaces>30253</CharactersWithSpaces>
  <SharedDoc>false</SharedDoc>
  <HLinks>
    <vt:vector size="402" baseType="variant">
      <vt:variant>
        <vt:i4>105</vt:i4>
      </vt:variant>
      <vt:variant>
        <vt:i4>198</vt:i4>
      </vt:variant>
      <vt:variant>
        <vt:i4>0</vt:i4>
      </vt:variant>
      <vt:variant>
        <vt:i4>5</vt:i4>
      </vt:variant>
      <vt:variant>
        <vt:lpwstr>mailto:media@treasury.gov.au</vt:lpwstr>
      </vt:variant>
      <vt:variant>
        <vt:lpwstr/>
      </vt:variant>
      <vt:variant>
        <vt:i4>5111827</vt:i4>
      </vt:variant>
      <vt:variant>
        <vt:i4>195</vt:i4>
      </vt:variant>
      <vt:variant>
        <vt:i4>0</vt:i4>
      </vt:variant>
      <vt:variant>
        <vt:i4>5</vt:i4>
      </vt:variant>
      <vt:variant>
        <vt:lpwstr>http://creativecommons.org/licenses/by/3.0/au/deed.en</vt:lpwstr>
      </vt:variant>
      <vt:variant>
        <vt:lpwstr/>
      </vt:variant>
      <vt:variant>
        <vt:i4>5111827</vt:i4>
      </vt:variant>
      <vt:variant>
        <vt:i4>192</vt:i4>
      </vt:variant>
      <vt:variant>
        <vt:i4>0</vt:i4>
      </vt:variant>
      <vt:variant>
        <vt:i4>5</vt:i4>
      </vt:variant>
      <vt:variant>
        <vt:lpwstr>http://creativecommons.org/licenses/by/3.0/au/deed.en</vt:lpwstr>
      </vt:variant>
      <vt:variant>
        <vt:lpwstr/>
      </vt:variant>
      <vt:variant>
        <vt:i4>1245262</vt:i4>
      </vt:variant>
      <vt:variant>
        <vt:i4>189</vt:i4>
      </vt:variant>
      <vt:variant>
        <vt:i4>0</vt:i4>
      </vt:variant>
      <vt:variant>
        <vt:i4>5</vt:i4>
      </vt:variant>
      <vt:variant>
        <vt:lpwstr>https://www.abs.gov.au/statistics/health/causes-death/causes-death-australia/2021</vt:lpwstr>
      </vt:variant>
      <vt:variant>
        <vt:lpwstr/>
      </vt:variant>
      <vt:variant>
        <vt:i4>6946848</vt:i4>
      </vt:variant>
      <vt:variant>
        <vt:i4>186</vt:i4>
      </vt:variant>
      <vt:variant>
        <vt:i4>0</vt:i4>
      </vt:variant>
      <vt:variant>
        <vt:i4>5</vt:i4>
      </vt:variant>
      <vt:variant>
        <vt:lpwstr>https://www.cdc.gov/nchs/products/databriefs/db448.htm</vt:lpwstr>
      </vt:variant>
      <vt:variant>
        <vt:lpwstr/>
      </vt:variant>
      <vt:variant>
        <vt:i4>2031695</vt:i4>
      </vt:variant>
      <vt:variant>
        <vt:i4>183</vt:i4>
      </vt:variant>
      <vt:variant>
        <vt:i4>0</vt:i4>
      </vt:variant>
      <vt:variant>
        <vt:i4>5</vt:i4>
      </vt:variant>
      <vt:variant>
        <vt:lpwstr>https://www.aihw.gov.au/reports/alcohol/alcohol-tobacco-other-drugs-australia/contents/impacts/health-impacts</vt:lpwstr>
      </vt:variant>
      <vt:variant>
        <vt:lpwstr/>
      </vt:variant>
      <vt:variant>
        <vt:i4>6946848</vt:i4>
      </vt:variant>
      <vt:variant>
        <vt:i4>180</vt:i4>
      </vt:variant>
      <vt:variant>
        <vt:i4>0</vt:i4>
      </vt:variant>
      <vt:variant>
        <vt:i4>5</vt:i4>
      </vt:variant>
      <vt:variant>
        <vt:lpwstr>https://www.cdc.gov/nchs/products/databriefs/db448.htm</vt:lpwstr>
      </vt:variant>
      <vt:variant>
        <vt:lpwstr/>
      </vt:variant>
      <vt:variant>
        <vt:i4>131092</vt:i4>
      </vt:variant>
      <vt:variant>
        <vt:i4>177</vt:i4>
      </vt:variant>
      <vt:variant>
        <vt:i4>0</vt:i4>
      </vt:variant>
      <vt:variant>
        <vt:i4>5</vt:i4>
      </vt:variant>
      <vt:variant>
        <vt:lpwstr>https://www.ons.gov.uk/peoplepopulationandcommunity/birthsdeathsandmarriages/deaths/bulletins/alcoholspecificdeathsintheuk/2021registrations</vt:lpwstr>
      </vt:variant>
      <vt:variant>
        <vt:lpwstr/>
      </vt:variant>
      <vt:variant>
        <vt:i4>1245262</vt:i4>
      </vt:variant>
      <vt:variant>
        <vt:i4>174</vt:i4>
      </vt:variant>
      <vt:variant>
        <vt:i4>0</vt:i4>
      </vt:variant>
      <vt:variant>
        <vt:i4>5</vt:i4>
      </vt:variant>
      <vt:variant>
        <vt:lpwstr>https://www.abs.gov.au/statistics/health/causes-death/causes-death-australia/2021</vt:lpwstr>
      </vt:variant>
      <vt:variant>
        <vt:lpwstr/>
      </vt:variant>
      <vt:variant>
        <vt:i4>2490481</vt:i4>
      </vt:variant>
      <vt:variant>
        <vt:i4>171</vt:i4>
      </vt:variant>
      <vt:variant>
        <vt:i4>0</vt:i4>
      </vt:variant>
      <vt:variant>
        <vt:i4>5</vt:i4>
      </vt:variant>
      <vt:variant>
        <vt:lpwstr>https://www.abs.gov.au/statistics/health/causes-death/causes-death-australia/latest-release</vt:lpwstr>
      </vt:variant>
      <vt:variant>
        <vt:lpwstr/>
      </vt:variant>
      <vt:variant>
        <vt:i4>852062</vt:i4>
      </vt:variant>
      <vt:variant>
        <vt:i4>168</vt:i4>
      </vt:variant>
      <vt:variant>
        <vt:i4>0</vt:i4>
      </vt:variant>
      <vt:variant>
        <vt:i4>5</vt:i4>
      </vt:variant>
      <vt:variant>
        <vt:lpwstr>https://jamanetwork.com/journals/jamanetworkopen/fullarticle/2807706</vt:lpwstr>
      </vt:variant>
      <vt:variant>
        <vt:lpwstr/>
      </vt:variant>
      <vt:variant>
        <vt:i4>852062</vt:i4>
      </vt:variant>
      <vt:variant>
        <vt:i4>165</vt:i4>
      </vt:variant>
      <vt:variant>
        <vt:i4>0</vt:i4>
      </vt:variant>
      <vt:variant>
        <vt:i4>5</vt:i4>
      </vt:variant>
      <vt:variant>
        <vt:lpwstr>https://jamanetwork.com/journals/jamanetworkopen/fullarticle/2807706</vt:lpwstr>
      </vt:variant>
      <vt:variant>
        <vt:lpwstr/>
      </vt:variant>
      <vt:variant>
        <vt:i4>852062</vt:i4>
      </vt:variant>
      <vt:variant>
        <vt:i4>162</vt:i4>
      </vt:variant>
      <vt:variant>
        <vt:i4>0</vt:i4>
      </vt:variant>
      <vt:variant>
        <vt:i4>5</vt:i4>
      </vt:variant>
      <vt:variant>
        <vt:lpwstr>https://jamanetwork.com/journals/jamanetworkopen/fullarticle/2807706</vt:lpwstr>
      </vt:variant>
      <vt:variant>
        <vt:lpwstr/>
      </vt:variant>
      <vt:variant>
        <vt:i4>852062</vt:i4>
      </vt:variant>
      <vt:variant>
        <vt:i4>159</vt:i4>
      </vt:variant>
      <vt:variant>
        <vt:i4>0</vt:i4>
      </vt:variant>
      <vt:variant>
        <vt:i4>5</vt:i4>
      </vt:variant>
      <vt:variant>
        <vt:lpwstr>https://jamanetwork.com/journals/jamanetworkopen/fullarticle/2807706</vt:lpwstr>
      </vt:variant>
      <vt:variant>
        <vt:lpwstr/>
      </vt:variant>
      <vt:variant>
        <vt:i4>852062</vt:i4>
      </vt:variant>
      <vt:variant>
        <vt:i4>156</vt:i4>
      </vt:variant>
      <vt:variant>
        <vt:i4>0</vt:i4>
      </vt:variant>
      <vt:variant>
        <vt:i4>5</vt:i4>
      </vt:variant>
      <vt:variant>
        <vt:lpwstr>https://jamanetwork.com/journals/jamanetworkopen/fullarticle/2807706</vt:lpwstr>
      </vt:variant>
      <vt:variant>
        <vt:lpwstr/>
      </vt:variant>
      <vt:variant>
        <vt:i4>131092</vt:i4>
      </vt:variant>
      <vt:variant>
        <vt:i4>153</vt:i4>
      </vt:variant>
      <vt:variant>
        <vt:i4>0</vt:i4>
      </vt:variant>
      <vt:variant>
        <vt:i4>5</vt:i4>
      </vt:variant>
      <vt:variant>
        <vt:lpwstr>https://www.ons.gov.uk/peoplepopulationandcommunity/birthsdeathsandmarriages/deaths/bulletins/alcoholspecificdeathsintheuk/2021registrations</vt:lpwstr>
      </vt:variant>
      <vt:variant>
        <vt:lpwstr/>
      </vt:variant>
      <vt:variant>
        <vt:i4>1245262</vt:i4>
      </vt:variant>
      <vt:variant>
        <vt:i4>150</vt:i4>
      </vt:variant>
      <vt:variant>
        <vt:i4>0</vt:i4>
      </vt:variant>
      <vt:variant>
        <vt:i4>5</vt:i4>
      </vt:variant>
      <vt:variant>
        <vt:lpwstr>https://www.abs.gov.au/statistics/health/causes-death/causes-death-australia/2021</vt:lpwstr>
      </vt:variant>
      <vt:variant>
        <vt:lpwstr/>
      </vt:variant>
      <vt:variant>
        <vt:i4>4849692</vt:i4>
      </vt:variant>
      <vt:variant>
        <vt:i4>147</vt:i4>
      </vt:variant>
      <vt:variant>
        <vt:i4>0</vt:i4>
      </vt:variant>
      <vt:variant>
        <vt:i4>5</vt:i4>
      </vt:variant>
      <vt:variant>
        <vt:lpwstr>https://www.cdc.gov/stopoverdose/fentanyl/index.html</vt:lpwstr>
      </vt:variant>
      <vt:variant>
        <vt:lpwstr/>
      </vt:variant>
      <vt:variant>
        <vt:i4>6946854</vt:i4>
      </vt:variant>
      <vt:variant>
        <vt:i4>144</vt:i4>
      </vt:variant>
      <vt:variant>
        <vt:i4>0</vt:i4>
      </vt:variant>
      <vt:variant>
        <vt:i4>5</vt:i4>
      </vt:variant>
      <vt:variant>
        <vt:lpwstr>https://www.cdc.gov/nchs/products/databriefs/db428.htm</vt:lpwstr>
      </vt:variant>
      <vt:variant>
        <vt:lpwstr/>
      </vt:variant>
      <vt:variant>
        <vt:i4>8192053</vt:i4>
      </vt:variant>
      <vt:variant>
        <vt:i4>141</vt:i4>
      </vt:variant>
      <vt:variant>
        <vt:i4>0</vt:i4>
      </vt:variant>
      <vt:variant>
        <vt:i4>5</vt:i4>
      </vt:variant>
      <vt:variant>
        <vt:lpwstr>https://wonder.cdc.gov/ucd-icd10-expanded.html</vt:lpwstr>
      </vt:variant>
      <vt:variant>
        <vt:lpwstr/>
      </vt:variant>
      <vt:variant>
        <vt:i4>5242974</vt:i4>
      </vt:variant>
      <vt:variant>
        <vt:i4>138</vt:i4>
      </vt:variant>
      <vt:variant>
        <vt:i4>0</vt:i4>
      </vt:variant>
      <vt:variant>
        <vt:i4>5</vt:i4>
      </vt:variant>
      <vt:variant>
        <vt:lpwstr>https://wonder.cdc.gov/ucd-icd10.html</vt:lpwstr>
      </vt:variant>
      <vt:variant>
        <vt:lpwstr/>
      </vt:variant>
      <vt:variant>
        <vt:i4>1245262</vt:i4>
      </vt:variant>
      <vt:variant>
        <vt:i4>135</vt:i4>
      </vt:variant>
      <vt:variant>
        <vt:i4>0</vt:i4>
      </vt:variant>
      <vt:variant>
        <vt:i4>5</vt:i4>
      </vt:variant>
      <vt:variant>
        <vt:lpwstr>https://www.abs.gov.au/statistics/health/causes-death/causes-death-australia/2021</vt:lpwstr>
      </vt:variant>
      <vt:variant>
        <vt:lpwstr/>
      </vt:variant>
      <vt:variant>
        <vt:i4>1245262</vt:i4>
      </vt:variant>
      <vt:variant>
        <vt:i4>132</vt:i4>
      </vt:variant>
      <vt:variant>
        <vt:i4>0</vt:i4>
      </vt:variant>
      <vt:variant>
        <vt:i4>5</vt:i4>
      </vt:variant>
      <vt:variant>
        <vt:lpwstr>https://www.abs.gov.au/statistics/health/causes-death/causes-death-australia/2021</vt:lpwstr>
      </vt:variant>
      <vt:variant>
        <vt:lpwstr/>
      </vt:variant>
      <vt:variant>
        <vt:i4>1245262</vt:i4>
      </vt:variant>
      <vt:variant>
        <vt:i4>129</vt:i4>
      </vt:variant>
      <vt:variant>
        <vt:i4>0</vt:i4>
      </vt:variant>
      <vt:variant>
        <vt:i4>5</vt:i4>
      </vt:variant>
      <vt:variant>
        <vt:lpwstr>https://www.abs.gov.au/statistics/health/causes-death/causes-death-australia/2021</vt:lpwstr>
      </vt:variant>
      <vt:variant>
        <vt:lpwstr/>
      </vt:variant>
      <vt:variant>
        <vt:i4>6684712</vt:i4>
      </vt:variant>
      <vt:variant>
        <vt:i4>126</vt:i4>
      </vt:variant>
      <vt:variant>
        <vt:i4>0</vt:i4>
      </vt:variant>
      <vt:variant>
        <vt:i4>5</vt:i4>
      </vt:variant>
      <vt:variant>
        <vt:lpwstr>https://www.aihw.gov.au/reports/alcohol/alcohol-tobacco-other-drugs-australia/datahttps:/www.aihw.gov.au/reports/alcohol/alcohol-tobacco-other-drugs-australia/data</vt:lpwstr>
      </vt:variant>
      <vt:variant>
        <vt:lpwstr/>
      </vt:variant>
      <vt:variant>
        <vt:i4>5701703</vt:i4>
      </vt:variant>
      <vt:variant>
        <vt:i4>123</vt:i4>
      </vt:variant>
      <vt:variant>
        <vt:i4>0</vt:i4>
      </vt:variant>
      <vt:variant>
        <vt:i4>5</vt:i4>
      </vt:variant>
      <vt:variant>
        <vt:lpwstr>https://www.ons.gov.uk/peoplepopulationandcommunity/birthsdeathsandmarriages/deaths/bulletins/deathsrelatedtodrugpoisoninginenglandandwales/2021registrations</vt:lpwstr>
      </vt:variant>
      <vt:variant>
        <vt:lpwstr/>
      </vt:variant>
      <vt:variant>
        <vt:i4>2031695</vt:i4>
      </vt:variant>
      <vt:variant>
        <vt:i4>120</vt:i4>
      </vt:variant>
      <vt:variant>
        <vt:i4>0</vt:i4>
      </vt:variant>
      <vt:variant>
        <vt:i4>5</vt:i4>
      </vt:variant>
      <vt:variant>
        <vt:lpwstr>https://www.aihw.gov.au/reports/alcohol/alcohol-tobacco-other-drugs-australia/contents/impacts/health-impacts</vt:lpwstr>
      </vt:variant>
      <vt:variant>
        <vt:lpwstr/>
      </vt:variant>
      <vt:variant>
        <vt:i4>3670048</vt:i4>
      </vt:variant>
      <vt:variant>
        <vt:i4>117</vt:i4>
      </vt:variant>
      <vt:variant>
        <vt:i4>0</vt:i4>
      </vt:variant>
      <vt:variant>
        <vt:i4>5</vt:i4>
      </vt:variant>
      <vt:variant>
        <vt:lpwstr>https://www.aihw.gov.au/reports/alcohol/alcohol-tobacco-other-drugs-australia/data</vt:lpwstr>
      </vt:variant>
      <vt:variant>
        <vt:lpwstr/>
      </vt:variant>
      <vt:variant>
        <vt:i4>5308481</vt:i4>
      </vt:variant>
      <vt:variant>
        <vt:i4>114</vt:i4>
      </vt:variant>
      <vt:variant>
        <vt:i4>0</vt:i4>
      </vt:variant>
      <vt:variant>
        <vt:i4>5</vt:i4>
      </vt:variant>
      <vt:variant>
        <vt:lpwstr>https://www.aihw.gov.au/reports/alcohol/alcohol-tobacco-other-drugs-australia/contents/drug-types/non-medical-use-of-pharmaceutical-drugs</vt:lpwstr>
      </vt:variant>
      <vt:variant>
        <vt:lpwstr/>
      </vt:variant>
      <vt:variant>
        <vt:i4>7078008</vt:i4>
      </vt:variant>
      <vt:variant>
        <vt:i4>111</vt:i4>
      </vt:variant>
      <vt:variant>
        <vt:i4>0</vt:i4>
      </vt:variant>
      <vt:variant>
        <vt:i4>5</vt:i4>
      </vt:variant>
      <vt:variant>
        <vt:lpwstr>https://nida.nih.gov/research-topics/trends-statistics/overdose-death-rates</vt:lpwstr>
      </vt:variant>
      <vt:variant>
        <vt:lpwstr/>
      </vt:variant>
      <vt:variant>
        <vt:i4>6946854</vt:i4>
      </vt:variant>
      <vt:variant>
        <vt:i4>108</vt:i4>
      </vt:variant>
      <vt:variant>
        <vt:i4>0</vt:i4>
      </vt:variant>
      <vt:variant>
        <vt:i4>5</vt:i4>
      </vt:variant>
      <vt:variant>
        <vt:lpwstr>https://www.cdc.gov/nchs/products/databriefs/db428.htm</vt:lpwstr>
      </vt:variant>
      <vt:variant>
        <vt:lpwstr/>
      </vt:variant>
      <vt:variant>
        <vt:i4>3801125</vt:i4>
      </vt:variant>
      <vt:variant>
        <vt:i4>105</vt:i4>
      </vt:variant>
      <vt:variant>
        <vt:i4>0</vt:i4>
      </vt:variant>
      <vt:variant>
        <vt:i4>5</vt:i4>
      </vt:variant>
      <vt:variant>
        <vt:lpwstr>https://www.nytimes.com/interactive/2021/07/14/upshot/drug-overdose-deaths.html</vt:lpwstr>
      </vt:variant>
      <vt:variant>
        <vt:lpwstr/>
      </vt:variant>
      <vt:variant>
        <vt:i4>8192053</vt:i4>
      </vt:variant>
      <vt:variant>
        <vt:i4>102</vt:i4>
      </vt:variant>
      <vt:variant>
        <vt:i4>0</vt:i4>
      </vt:variant>
      <vt:variant>
        <vt:i4>5</vt:i4>
      </vt:variant>
      <vt:variant>
        <vt:lpwstr>https://wonder.cdc.gov/ucd-icd10-expanded.html</vt:lpwstr>
      </vt:variant>
      <vt:variant>
        <vt:lpwstr/>
      </vt:variant>
      <vt:variant>
        <vt:i4>5242974</vt:i4>
      </vt:variant>
      <vt:variant>
        <vt:i4>99</vt:i4>
      </vt:variant>
      <vt:variant>
        <vt:i4>0</vt:i4>
      </vt:variant>
      <vt:variant>
        <vt:i4>5</vt:i4>
      </vt:variant>
      <vt:variant>
        <vt:lpwstr>https://wonder.cdc.gov/ucd-icd10.html</vt:lpwstr>
      </vt:variant>
      <vt:variant>
        <vt:lpwstr/>
      </vt:variant>
      <vt:variant>
        <vt:i4>2490464</vt:i4>
      </vt:variant>
      <vt:variant>
        <vt:i4>96</vt:i4>
      </vt:variant>
      <vt:variant>
        <vt:i4>0</vt:i4>
      </vt:variant>
      <vt:variant>
        <vt:i4>5</vt:i4>
      </vt:variant>
      <vt:variant>
        <vt:lpwstr>https://www.cdc.gov/drugoverdose/deaths/index.html</vt:lpwstr>
      </vt:variant>
      <vt:variant>
        <vt:lpwstr/>
      </vt:variant>
      <vt:variant>
        <vt:i4>7078008</vt:i4>
      </vt:variant>
      <vt:variant>
        <vt:i4>93</vt:i4>
      </vt:variant>
      <vt:variant>
        <vt:i4>0</vt:i4>
      </vt:variant>
      <vt:variant>
        <vt:i4>5</vt:i4>
      </vt:variant>
      <vt:variant>
        <vt:lpwstr>https://nida.nih.gov/research-topics/trends-statistics/overdose-death-rates</vt:lpwstr>
      </vt:variant>
      <vt:variant>
        <vt:lpwstr/>
      </vt:variant>
      <vt:variant>
        <vt:i4>5701703</vt:i4>
      </vt:variant>
      <vt:variant>
        <vt:i4>90</vt:i4>
      </vt:variant>
      <vt:variant>
        <vt:i4>0</vt:i4>
      </vt:variant>
      <vt:variant>
        <vt:i4>5</vt:i4>
      </vt:variant>
      <vt:variant>
        <vt:lpwstr>https://www.ons.gov.uk/peoplepopulationandcommunity/birthsdeathsandmarriages/deaths/bulletins/deathsrelatedtodrugpoisoninginenglandandwales/2021registrations</vt:lpwstr>
      </vt:variant>
      <vt:variant>
        <vt:lpwstr/>
      </vt:variant>
      <vt:variant>
        <vt:i4>2031695</vt:i4>
      </vt:variant>
      <vt:variant>
        <vt:i4>87</vt:i4>
      </vt:variant>
      <vt:variant>
        <vt:i4>0</vt:i4>
      </vt:variant>
      <vt:variant>
        <vt:i4>5</vt:i4>
      </vt:variant>
      <vt:variant>
        <vt:lpwstr>https://www.aihw.gov.au/reports/alcohol/alcohol-tobacco-other-drugs-australia/contents/impacts/health-impacts</vt:lpwstr>
      </vt:variant>
      <vt:variant>
        <vt:lpwstr/>
      </vt:variant>
      <vt:variant>
        <vt:i4>1966091</vt:i4>
      </vt:variant>
      <vt:variant>
        <vt:i4>84</vt:i4>
      </vt:variant>
      <vt:variant>
        <vt:i4>0</vt:i4>
      </vt:variant>
      <vt:variant>
        <vt:i4>5</vt:i4>
      </vt:variant>
      <vt:variant>
        <vt:lpwstr>https://www.aihw.gov.au/reports/illicit-use-of-drugs/illicit-drug-use</vt:lpwstr>
      </vt:variant>
      <vt:variant>
        <vt:lpwstr/>
      </vt:variant>
      <vt:variant>
        <vt:i4>6488164</vt:i4>
      </vt:variant>
      <vt:variant>
        <vt:i4>81</vt:i4>
      </vt:variant>
      <vt:variant>
        <vt:i4>0</vt:i4>
      </vt:variant>
      <vt:variant>
        <vt:i4>5</vt:i4>
      </vt:variant>
      <vt:variant>
        <vt:lpwstr>https://www.aihw.gov.au/reports/life-expectancy-death/deaths-in-australia/contents/leading-causes-of-death</vt:lpwstr>
      </vt:variant>
      <vt:variant>
        <vt:lpwstr/>
      </vt:variant>
      <vt:variant>
        <vt:i4>1703936</vt:i4>
      </vt:variant>
      <vt:variant>
        <vt:i4>78</vt:i4>
      </vt:variant>
      <vt:variant>
        <vt:i4>0</vt:i4>
      </vt:variant>
      <vt:variant>
        <vt:i4>5</vt:i4>
      </vt:variant>
      <vt:variant>
        <vt:lpwstr>https://www.cdc.gov/suicide/suicide-data-statistics.html</vt:lpwstr>
      </vt:variant>
      <vt:variant>
        <vt:lpwstr/>
      </vt:variant>
      <vt:variant>
        <vt:i4>7602276</vt:i4>
      </vt:variant>
      <vt:variant>
        <vt:i4>75</vt:i4>
      </vt:variant>
      <vt:variant>
        <vt:i4>0</vt:i4>
      </vt:variant>
      <vt:variant>
        <vt:i4>5</vt:i4>
      </vt:variant>
      <vt:variant>
        <vt:lpwstr>https://www.ons.gov.uk/peoplepopulationandcommunity/birthsdeathsandmarriages/deaths/bulletins/suicidesintheunitedkingdom/2021registrations</vt:lpwstr>
      </vt:variant>
      <vt:variant>
        <vt:lpwstr/>
      </vt:variant>
      <vt:variant>
        <vt:i4>327692</vt:i4>
      </vt:variant>
      <vt:variant>
        <vt:i4>72</vt:i4>
      </vt:variant>
      <vt:variant>
        <vt:i4>0</vt:i4>
      </vt:variant>
      <vt:variant>
        <vt:i4>5</vt:i4>
      </vt:variant>
      <vt:variant>
        <vt:lpwstr>https://www.aihw.gov.au/suicide-self-harm-monitoring/data/ambulance-attendances/ambulance-attendances-for-suicidal-behaviours</vt:lpwstr>
      </vt:variant>
      <vt:variant>
        <vt:lpwstr/>
      </vt:variant>
      <vt:variant>
        <vt:i4>1</vt:i4>
      </vt:variant>
      <vt:variant>
        <vt:i4>69</vt:i4>
      </vt:variant>
      <vt:variant>
        <vt:i4>0</vt:i4>
      </vt:variant>
      <vt:variant>
        <vt:i4>5</vt:i4>
      </vt:variant>
      <vt:variant>
        <vt:lpwstr>https://www.aihw.gov.au/suicide-self-harm-monitoring/data/deaths-by-suicide-in-australia/suicide-deaths-over-time</vt:lpwstr>
      </vt:variant>
      <vt:variant>
        <vt:lpwstr/>
      </vt:variant>
      <vt:variant>
        <vt:i4>8323077</vt:i4>
      </vt:variant>
      <vt:variant>
        <vt:i4>66</vt:i4>
      </vt:variant>
      <vt:variant>
        <vt:i4>0</vt:i4>
      </vt:variant>
      <vt:variant>
        <vt:i4>5</vt:i4>
      </vt:variant>
      <vt:variant>
        <vt:lpwstr>https://www.aph.gov.au/About_Parliament/Parliamentary_departments/Parliamentary_Library/pubs/rp/BudgetReview202021/MentalHealth</vt:lpwstr>
      </vt:variant>
      <vt:variant>
        <vt:lpwstr/>
      </vt:variant>
      <vt:variant>
        <vt:i4>4128864</vt:i4>
      </vt:variant>
      <vt:variant>
        <vt:i4>63</vt:i4>
      </vt:variant>
      <vt:variant>
        <vt:i4>0</vt:i4>
      </vt:variant>
      <vt:variant>
        <vt:i4>5</vt:i4>
      </vt:variant>
      <vt:variant>
        <vt:lpwstr>https://sprc.org/about-suicide/scope-of-the-problem/racial-and-ethnic-disparities/</vt:lpwstr>
      </vt:variant>
      <vt:variant>
        <vt:lpwstr/>
      </vt:variant>
      <vt:variant>
        <vt:i4>1703936</vt:i4>
      </vt:variant>
      <vt:variant>
        <vt:i4>60</vt:i4>
      </vt:variant>
      <vt:variant>
        <vt:i4>0</vt:i4>
      </vt:variant>
      <vt:variant>
        <vt:i4>5</vt:i4>
      </vt:variant>
      <vt:variant>
        <vt:lpwstr>https://www.cdc.gov/suicide/suicide-data-statistics.html</vt:lpwstr>
      </vt:variant>
      <vt:variant>
        <vt:lpwstr/>
      </vt:variant>
      <vt:variant>
        <vt:i4>5242974</vt:i4>
      </vt:variant>
      <vt:variant>
        <vt:i4>57</vt:i4>
      </vt:variant>
      <vt:variant>
        <vt:i4>0</vt:i4>
      </vt:variant>
      <vt:variant>
        <vt:i4>5</vt:i4>
      </vt:variant>
      <vt:variant>
        <vt:lpwstr>https://wonder.cdc.gov/ucd-icd10.html</vt:lpwstr>
      </vt:variant>
      <vt:variant>
        <vt:lpwstr/>
      </vt:variant>
      <vt:variant>
        <vt:i4>6357031</vt:i4>
      </vt:variant>
      <vt:variant>
        <vt:i4>54</vt:i4>
      </vt:variant>
      <vt:variant>
        <vt:i4>0</vt:i4>
      </vt:variant>
      <vt:variant>
        <vt:i4>5</vt:i4>
      </vt:variant>
      <vt:variant>
        <vt:lpwstr>https://www.cdc.gov/nchs/products/databriefs/db433.htm</vt:lpwstr>
      </vt:variant>
      <vt:variant>
        <vt:lpwstr/>
      </vt:variant>
      <vt:variant>
        <vt:i4>5570565</vt:i4>
      </vt:variant>
      <vt:variant>
        <vt:i4>51</vt:i4>
      </vt:variant>
      <vt:variant>
        <vt:i4>0</vt:i4>
      </vt:variant>
      <vt:variant>
        <vt:i4>5</vt:i4>
      </vt:variant>
      <vt:variant>
        <vt:lpwstr>https://www.ons.gov.uk/peoplepopulationandcommunity/birthsdeathsandmarriages/deaths/datasets/suicideinenglandandwales</vt:lpwstr>
      </vt:variant>
      <vt:variant>
        <vt:lpwstr/>
      </vt:variant>
      <vt:variant>
        <vt:i4>7798892</vt:i4>
      </vt:variant>
      <vt:variant>
        <vt:i4>48</vt:i4>
      </vt:variant>
      <vt:variant>
        <vt:i4>0</vt:i4>
      </vt:variant>
      <vt:variant>
        <vt:i4>5</vt:i4>
      </vt:variant>
      <vt:variant>
        <vt:lpwstr>https://www.ons.gov.uk/peoplepopulationandcommunity/birthsdeathsandmarriages/deaths/bulletins/suicidesintheunitedkingdom/2019registrations</vt:lpwstr>
      </vt:variant>
      <vt:variant>
        <vt:lpwstr/>
      </vt:variant>
      <vt:variant>
        <vt:i4>5570565</vt:i4>
      </vt:variant>
      <vt:variant>
        <vt:i4>45</vt:i4>
      </vt:variant>
      <vt:variant>
        <vt:i4>0</vt:i4>
      </vt:variant>
      <vt:variant>
        <vt:i4>5</vt:i4>
      </vt:variant>
      <vt:variant>
        <vt:lpwstr>https://www.ons.gov.uk/peoplepopulationandcommunity/birthsdeathsandmarriages/deaths/datasets/suicideinenglandandwales</vt:lpwstr>
      </vt:variant>
      <vt:variant>
        <vt:lpwstr/>
      </vt:variant>
      <vt:variant>
        <vt:i4>6488164</vt:i4>
      </vt:variant>
      <vt:variant>
        <vt:i4>42</vt:i4>
      </vt:variant>
      <vt:variant>
        <vt:i4>0</vt:i4>
      </vt:variant>
      <vt:variant>
        <vt:i4>5</vt:i4>
      </vt:variant>
      <vt:variant>
        <vt:lpwstr>https://www.aihw.gov.au/reports/life-expectancy-death/deaths-in-australia/contents/leading-causes-of-death</vt:lpwstr>
      </vt:variant>
      <vt:variant>
        <vt:lpwstr/>
      </vt:variant>
      <vt:variant>
        <vt:i4>5701640</vt:i4>
      </vt:variant>
      <vt:variant>
        <vt:i4>39</vt:i4>
      </vt:variant>
      <vt:variant>
        <vt:i4>0</vt:i4>
      </vt:variant>
      <vt:variant>
        <vt:i4>5</vt:i4>
      </vt:variant>
      <vt:variant>
        <vt:lpwstr>https://www.aihw.gov.au/suicide-self-harm-monitoring/data/data-downloads</vt:lpwstr>
      </vt:variant>
      <vt:variant>
        <vt:lpwstr/>
      </vt:variant>
      <vt:variant>
        <vt:i4>1310791</vt:i4>
      </vt:variant>
      <vt:variant>
        <vt:i4>36</vt:i4>
      </vt:variant>
      <vt:variant>
        <vt:i4>0</vt:i4>
      </vt:variant>
      <vt:variant>
        <vt:i4>5</vt:i4>
      </vt:variant>
      <vt:variant>
        <vt:lpwstr>https://www.ncbi.nlm.nih.gov/pmc/articles/PMC7144704/</vt:lpwstr>
      </vt:variant>
      <vt:variant>
        <vt:lpwstr/>
      </vt:variant>
      <vt:variant>
        <vt:i4>5242974</vt:i4>
      </vt:variant>
      <vt:variant>
        <vt:i4>33</vt:i4>
      </vt:variant>
      <vt:variant>
        <vt:i4>0</vt:i4>
      </vt:variant>
      <vt:variant>
        <vt:i4>5</vt:i4>
      </vt:variant>
      <vt:variant>
        <vt:lpwstr>https://wonder.cdc.gov/ucd-icd10.html</vt:lpwstr>
      </vt:variant>
      <vt:variant>
        <vt:lpwstr/>
      </vt:variant>
      <vt:variant>
        <vt:i4>8192053</vt:i4>
      </vt:variant>
      <vt:variant>
        <vt:i4>30</vt:i4>
      </vt:variant>
      <vt:variant>
        <vt:i4>0</vt:i4>
      </vt:variant>
      <vt:variant>
        <vt:i4>5</vt:i4>
      </vt:variant>
      <vt:variant>
        <vt:lpwstr>https://wonder.cdc.gov/ucd-icd10-expanded.html</vt:lpwstr>
      </vt:variant>
      <vt:variant>
        <vt:lpwstr/>
      </vt:variant>
      <vt:variant>
        <vt:i4>131092</vt:i4>
      </vt:variant>
      <vt:variant>
        <vt:i4>27</vt:i4>
      </vt:variant>
      <vt:variant>
        <vt:i4>0</vt:i4>
      </vt:variant>
      <vt:variant>
        <vt:i4>5</vt:i4>
      </vt:variant>
      <vt:variant>
        <vt:lpwstr>https://www.ons.gov.uk/peoplepopulationandcommunity/birthsdeathsandmarriages/deaths/bulletins/alcoholspecificdeathsintheuk/2021registrations</vt:lpwstr>
      </vt:variant>
      <vt:variant>
        <vt:lpwstr/>
      </vt:variant>
      <vt:variant>
        <vt:i4>5701703</vt:i4>
      </vt:variant>
      <vt:variant>
        <vt:i4>24</vt:i4>
      </vt:variant>
      <vt:variant>
        <vt:i4>0</vt:i4>
      </vt:variant>
      <vt:variant>
        <vt:i4>5</vt:i4>
      </vt:variant>
      <vt:variant>
        <vt:lpwstr>https://www.ons.gov.uk/peoplepopulationandcommunity/birthsdeathsandmarriages/deaths/bulletins/deathsrelatedtodrugpoisoninginenglandandwales/2021registrations</vt:lpwstr>
      </vt:variant>
      <vt:variant>
        <vt:lpwstr/>
      </vt:variant>
      <vt:variant>
        <vt:i4>7602276</vt:i4>
      </vt:variant>
      <vt:variant>
        <vt:i4>21</vt:i4>
      </vt:variant>
      <vt:variant>
        <vt:i4>0</vt:i4>
      </vt:variant>
      <vt:variant>
        <vt:i4>5</vt:i4>
      </vt:variant>
      <vt:variant>
        <vt:lpwstr>https://www.ons.gov.uk/peoplepopulationandcommunity/birthsdeathsandmarriages/deaths/bulletins/suicidesintheunitedkingdom/2021registrations</vt:lpwstr>
      </vt:variant>
      <vt:variant>
        <vt:lpwstr/>
      </vt:variant>
      <vt:variant>
        <vt:i4>262144</vt:i4>
      </vt:variant>
      <vt:variant>
        <vt:i4>18</vt:i4>
      </vt:variant>
      <vt:variant>
        <vt:i4>0</vt:i4>
      </vt:variant>
      <vt:variant>
        <vt:i4>5</vt:i4>
      </vt:variant>
      <vt:variant>
        <vt:lpwstr>https://www.abs.gov.au/statistics/health/mental-health/mental-health/2017-18</vt:lpwstr>
      </vt:variant>
      <vt:variant>
        <vt:lpwstr/>
      </vt:variant>
      <vt:variant>
        <vt:i4>4456468</vt:i4>
      </vt:variant>
      <vt:variant>
        <vt:i4>15</vt:i4>
      </vt:variant>
      <vt:variant>
        <vt:i4>0</vt:i4>
      </vt:variant>
      <vt:variant>
        <vt:i4>5</vt:i4>
      </vt:variant>
      <vt:variant>
        <vt:lpwstr>https://www.aihw.gov.au/reports/alcohol/alcohol-tobacco-other-drugs-australia/contents/about</vt:lpwstr>
      </vt:variant>
      <vt:variant>
        <vt:lpwstr/>
      </vt:variant>
      <vt:variant>
        <vt:i4>327696</vt:i4>
      </vt:variant>
      <vt:variant>
        <vt:i4>12</vt:i4>
      </vt:variant>
      <vt:variant>
        <vt:i4>0</vt:i4>
      </vt:variant>
      <vt:variant>
        <vt:i4>5</vt:i4>
      </vt:variant>
      <vt:variant>
        <vt:lpwstr>https://www.aihw.gov.au/suicide-self-harm-monitoring</vt:lpwstr>
      </vt:variant>
      <vt:variant>
        <vt:lpwstr/>
      </vt:variant>
      <vt:variant>
        <vt:i4>2490481</vt:i4>
      </vt:variant>
      <vt:variant>
        <vt:i4>9</vt:i4>
      </vt:variant>
      <vt:variant>
        <vt:i4>0</vt:i4>
      </vt:variant>
      <vt:variant>
        <vt:i4>5</vt:i4>
      </vt:variant>
      <vt:variant>
        <vt:lpwstr>https://www.abs.gov.au/statistics/health/causes-death/causes-death-australia/latest-release</vt:lpwstr>
      </vt:variant>
      <vt:variant>
        <vt:lpwstr/>
      </vt:variant>
      <vt:variant>
        <vt:i4>589911</vt:i4>
      </vt:variant>
      <vt:variant>
        <vt:i4>6</vt:i4>
      </vt:variant>
      <vt:variant>
        <vt:i4>0</vt:i4>
      </vt:variant>
      <vt:variant>
        <vt:i4>5</vt:i4>
      </vt:variant>
      <vt:variant>
        <vt:lpwstr>https://treasury.gov.au/publication/2023-intergenerational-report</vt:lpwstr>
      </vt:variant>
      <vt:variant>
        <vt:lpwstr/>
      </vt:variant>
      <vt:variant>
        <vt:i4>3276844</vt:i4>
      </vt:variant>
      <vt:variant>
        <vt:i4>3</vt:i4>
      </vt:variant>
      <vt:variant>
        <vt:i4>0</vt:i4>
      </vt:variant>
      <vt:variant>
        <vt:i4>5</vt:i4>
      </vt:variant>
      <vt:variant>
        <vt:lpwstr>https://population.gov.au/publications/statements/2022-population-statement</vt:lpwstr>
      </vt:variant>
      <vt:variant>
        <vt:lpwstr/>
      </vt:variant>
      <vt:variant>
        <vt:i4>4587612</vt:i4>
      </vt:variant>
      <vt:variant>
        <vt:i4>0</vt:i4>
      </vt:variant>
      <vt:variant>
        <vt:i4>0</vt:i4>
      </vt:variant>
      <vt:variant>
        <vt:i4>5</vt:i4>
      </vt:variant>
      <vt:variant>
        <vt:lpwstr>http://www.population.gov.au/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Deaths of despair. Final</dc:title>
  <dc:subject/>
  <dc:creator/>
  <cp:keywords/>
  <dc:description/>
  <cp:lastModifiedBy/>
  <cp:revision>1</cp:revision>
  <dcterms:created xsi:type="dcterms:W3CDTF">2024-10-14T22:31:00Z</dcterms:created>
  <dcterms:modified xsi:type="dcterms:W3CDTF">2024-10-14T22:31:00Z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2024-10-11T00:24:43Z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b5279945-c916-46df-a441-800e6fd7e3bf</vt:lpwstr>
  </property>
  <property fmtid="{D5CDD505-2E9C-101B-9397-08002B2CF9AE}" pid="8" name="MSIP_Label_91eac348-12d5-45ad-abaa-2c34f170cf6b_ContentBits">
    <vt:lpwstr>0</vt:lpwstr>
  </property>
  <property fmtid="{D5CDD505-2E9C-101B-9397-08002B2CF9AE}" pid="9" name="ContentTypeId">
    <vt:lpwstr>0x010100CC571B34DE557A49A844A497C42917F5</vt:lpwstr>
  </property>
  <property fmtid="{D5CDD505-2E9C-101B-9397-08002B2CF9AE}" pid="10" name="eTheme">
    <vt:lpwstr>1;#Population|dfc189bb-46ec-4771-b471-77807c301c0c</vt:lpwstr>
  </property>
  <property fmtid="{D5CDD505-2E9C-101B-9397-08002B2CF9AE}" pid="11" name="_dlc_DocIdItemGuid">
    <vt:lpwstr>cdc0b51a-252f-4dc0-8ff9-ad427e3672e7</vt:lpwstr>
  </property>
  <property fmtid="{D5CDD505-2E9C-101B-9397-08002B2CF9AE}" pid="12" name="Project">
    <vt:lpwstr/>
  </property>
  <property fmtid="{D5CDD505-2E9C-101B-9397-08002B2CF9AE}" pid="13" name="TSYStatus">
    <vt:lpwstr/>
  </property>
  <property fmtid="{D5CDD505-2E9C-101B-9397-08002B2CF9AE}" pid="14" name="MediaServiceImageTags">
    <vt:lpwstr/>
  </property>
  <property fmtid="{D5CDD505-2E9C-101B-9397-08002B2CF9AE}" pid="15" name="eDocumentType">
    <vt:lpwstr>92;#Paper (Analysis or Research or Report)|6ad78538-b056-4e5b-8c06-e0b6c43f0ffa</vt:lpwstr>
  </property>
  <property fmtid="{D5CDD505-2E9C-101B-9397-08002B2CF9AE}" pid="16" name="eTopic">
    <vt:lpwstr>127;#Natural increase - mortality|8d2fcadb-1b14-467f-8683-2d6ffbe56b5a</vt:lpwstr>
  </property>
  <property fmtid="{D5CDD505-2E9C-101B-9397-08002B2CF9AE}" pid="17" name="eActivity">
    <vt:lpwstr>95;#Analysis|1c05f84f-a96d-4b64-970a-14a4c22445cc</vt:lpwstr>
  </property>
</Properties>
</file>